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C96" w14:textId="77777777" w:rsidR="00AE7F95" w:rsidRPr="00AE7F95" w:rsidRDefault="00AE7F95" w:rsidP="00AE7F95">
      <w:pPr>
        <w:spacing w:line="276" w:lineRule="auto"/>
        <w:jc w:val="center"/>
        <w:rPr>
          <w:rFonts w:ascii="Verdana" w:hAnsi="Verdana"/>
          <w:sz w:val="22"/>
          <w:szCs w:val="22"/>
        </w:rPr>
      </w:pPr>
      <w:r w:rsidRPr="00AE7F95">
        <w:rPr>
          <w:rFonts w:ascii="Verdana" w:hAnsi="Verdana"/>
          <w:b/>
          <w:bCs/>
          <w:sz w:val="22"/>
          <w:szCs w:val="22"/>
        </w:rPr>
        <w:t>CONCEPTO 52 DE 2015</w:t>
      </w:r>
    </w:p>
    <w:p w14:paraId="3A500FC7" w14:textId="77777777" w:rsidR="00AE7F95" w:rsidRPr="00AE7F95" w:rsidRDefault="00AE7F95" w:rsidP="00AE7F95">
      <w:pPr>
        <w:spacing w:line="276" w:lineRule="auto"/>
        <w:jc w:val="center"/>
        <w:rPr>
          <w:rFonts w:ascii="Verdana" w:hAnsi="Verdana"/>
          <w:sz w:val="22"/>
          <w:szCs w:val="22"/>
        </w:rPr>
      </w:pPr>
      <w:r w:rsidRPr="00AE7F95">
        <w:rPr>
          <w:rFonts w:ascii="Verdana" w:hAnsi="Verdana"/>
          <w:sz w:val="22"/>
          <w:szCs w:val="22"/>
        </w:rPr>
        <w:t>(mayo 11)</w:t>
      </w:r>
    </w:p>
    <w:p w14:paraId="6484C776" w14:textId="77777777" w:rsidR="00AE7F95" w:rsidRPr="00AE7F95" w:rsidRDefault="00AE7F95" w:rsidP="00AE7F95">
      <w:pPr>
        <w:spacing w:line="276" w:lineRule="auto"/>
        <w:jc w:val="center"/>
        <w:rPr>
          <w:rFonts w:ascii="Verdana" w:hAnsi="Verdana"/>
          <w:sz w:val="22"/>
          <w:szCs w:val="22"/>
        </w:rPr>
      </w:pPr>
      <w:r w:rsidRPr="00AE7F95">
        <w:rPr>
          <w:rFonts w:ascii="Verdana" w:hAnsi="Verdana"/>
          <w:b/>
          <w:bCs/>
          <w:sz w:val="22"/>
          <w:szCs w:val="22"/>
        </w:rPr>
        <w:t>INSTITUTO COLOMBIANO DE BIENESTAR FAMILIAR – ICBF</w:t>
      </w:r>
    </w:p>
    <w:p w14:paraId="26705FF6" w14:textId="77777777" w:rsidR="00AE7F95" w:rsidRDefault="00AE7F95" w:rsidP="00AE7F95">
      <w:pPr>
        <w:spacing w:line="276" w:lineRule="auto"/>
        <w:jc w:val="both"/>
        <w:rPr>
          <w:rFonts w:ascii="Verdana" w:hAnsi="Verdana"/>
          <w:sz w:val="22"/>
          <w:szCs w:val="22"/>
        </w:rPr>
      </w:pPr>
    </w:p>
    <w:p w14:paraId="58CF8841" w14:textId="21CF3D53"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PARA:</w:t>
      </w:r>
      <w:r>
        <w:rPr>
          <w:rFonts w:ascii="Verdana" w:hAnsi="Verdana"/>
          <w:b/>
          <w:bCs/>
          <w:sz w:val="22"/>
          <w:szCs w:val="22"/>
        </w:rPr>
        <w:t xml:space="preserve"> </w:t>
      </w:r>
      <w:proofErr w:type="gramStart"/>
      <w:r w:rsidRPr="00AE7F95">
        <w:rPr>
          <w:rFonts w:ascii="Verdana" w:hAnsi="Verdana"/>
          <w:sz w:val="22"/>
          <w:szCs w:val="22"/>
        </w:rPr>
        <w:t>Jefe</w:t>
      </w:r>
      <w:proofErr w:type="gramEnd"/>
      <w:r w:rsidRPr="00AE7F95">
        <w:rPr>
          <w:rFonts w:ascii="Verdana" w:hAnsi="Verdana"/>
          <w:sz w:val="22"/>
          <w:szCs w:val="22"/>
        </w:rPr>
        <w:t xml:space="preserve"> Oficina Aseguramiento a la Calidad</w:t>
      </w:r>
    </w:p>
    <w:p w14:paraId="38E9EA66" w14:textId="3433BA7E" w:rsidR="00AE7F95" w:rsidRDefault="00AE7F95" w:rsidP="00AE7F95">
      <w:pPr>
        <w:spacing w:line="276" w:lineRule="auto"/>
        <w:jc w:val="both"/>
        <w:rPr>
          <w:rFonts w:ascii="Verdana" w:hAnsi="Verdana"/>
          <w:sz w:val="22"/>
          <w:szCs w:val="22"/>
        </w:rPr>
      </w:pPr>
      <w:r w:rsidRPr="00AE7F95">
        <w:rPr>
          <w:rFonts w:ascii="Verdana" w:hAnsi="Verdana"/>
          <w:b/>
          <w:bCs/>
          <w:sz w:val="22"/>
          <w:szCs w:val="22"/>
        </w:rPr>
        <w:t>ASUNTO:</w:t>
      </w:r>
      <w:r w:rsidRPr="00AE7F95">
        <w:rPr>
          <w:rFonts w:ascii="Verdana" w:hAnsi="Verdana"/>
          <w:b/>
          <w:bCs/>
          <w:sz w:val="22"/>
          <w:szCs w:val="22"/>
        </w:rPr>
        <w:t xml:space="preserve"> </w:t>
      </w:r>
      <w:r w:rsidRPr="00AE7F95">
        <w:rPr>
          <w:rFonts w:ascii="Verdana" w:hAnsi="Verdana"/>
          <w:sz w:val="22"/>
          <w:szCs w:val="22"/>
        </w:rPr>
        <w:t>Solicitud de concepto.</w:t>
      </w:r>
    </w:p>
    <w:p w14:paraId="76E3CEDB" w14:textId="2DC6A663"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consulta solicitada, sobre el caso en cuestión, en los términos que siguen:</w:t>
      </w:r>
    </w:p>
    <w:p w14:paraId="1C83B09B"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u w:val="single"/>
        </w:rPr>
        <w:t>1. CONSULTA</w:t>
      </w:r>
    </w:p>
    <w:p w14:paraId="031AE655"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¿Debe el ICBF reconocer la personería jurídica a las entidades públicas que quieren prestar </w:t>
      </w:r>
      <w:proofErr w:type="gramStart"/>
      <w:r w:rsidRPr="00AE7F95">
        <w:rPr>
          <w:rFonts w:ascii="Verdana" w:hAnsi="Verdana"/>
          <w:sz w:val="22"/>
          <w:szCs w:val="22"/>
        </w:rPr>
        <w:t>el servicios</w:t>
      </w:r>
      <w:proofErr w:type="gramEnd"/>
      <w:r w:rsidRPr="00AE7F95">
        <w:rPr>
          <w:rFonts w:ascii="Verdana" w:hAnsi="Verdana"/>
          <w:sz w:val="22"/>
          <w:szCs w:val="22"/>
        </w:rPr>
        <w:t xml:space="preserve"> &lt;sic&gt; de protección a niños, niñas y adolescentes en el Sistema Público de Bienestar Familiar?</w:t>
      </w:r>
    </w:p>
    <w:p w14:paraId="3A02EAF3"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u w:val="single"/>
        </w:rPr>
        <w:t>2. ANÁLISIS</w:t>
      </w:r>
    </w:p>
    <w:p w14:paraId="1CFC3C3B"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El presente problema jurídico se abordará así: (2.1) el servicio público de Bienestar familiar, (2.2) Reconocimiento de las personerías jurídicas para los programas que prestan servicios de protección integral por el ICBF y (2.3) las preguntas en concreto.</w:t>
      </w:r>
    </w:p>
    <w:p w14:paraId="139F66A6"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u w:val="single"/>
        </w:rPr>
        <w:t>(2.1) El Servicio Público de Bienestar Familiar</w:t>
      </w:r>
    </w:p>
    <w:p w14:paraId="65319F28"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AE7F95">
        <w:rPr>
          <w:rFonts w:ascii="Verdana" w:hAnsi="Verdana"/>
          <w:sz w:val="22"/>
          <w:szCs w:val="22"/>
          <w:vertAlign w:val="subscript"/>
        </w:rPr>
        <w:t>[1]</w:t>
      </w:r>
    </w:p>
    <w:p w14:paraId="3BB3ABDB" w14:textId="7FA59633"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AE7F95">
        <w:rPr>
          <w:rFonts w:ascii="Verdana" w:hAnsi="Verdana"/>
          <w:sz w:val="22"/>
          <w:szCs w:val="22"/>
        </w:rPr>
        <w:t>los mismos</w:t>
      </w:r>
      <w:proofErr w:type="gramEnd"/>
      <w:r w:rsidRPr="00AE7F95">
        <w:rPr>
          <w:rFonts w:ascii="Verdana" w:hAnsi="Verdana"/>
          <w:sz w:val="22"/>
          <w:szCs w:val="22"/>
        </w:rPr>
        <w:t xml:space="preserve"> en los ámbitos nacional, departamental, distrital y municipal.</w:t>
      </w:r>
    </w:p>
    <w:p w14:paraId="76D4C0BB" w14:textId="51FC1159"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El Decreto 936 de 2013</w:t>
      </w:r>
      <w:r w:rsidRPr="00AE7F95">
        <w:rPr>
          <w:rFonts w:ascii="Verdana" w:hAnsi="Verdana"/>
          <w:sz w:val="22"/>
          <w:szCs w:val="22"/>
          <w:vertAlign w:val="subscript"/>
        </w:rPr>
        <w:t>[2]</w:t>
      </w:r>
      <w:r w:rsidRPr="00AE7F95">
        <w:rPr>
          <w:rFonts w:ascii="Verdana" w:hAnsi="Verdana"/>
          <w:sz w:val="22"/>
          <w:szCs w:val="22"/>
        </w:rPr>
        <w:t> establece los principios rectores del Sistema Nacional de Bienestar Familiar, indicando que:</w:t>
      </w:r>
    </w:p>
    <w:p w14:paraId="5AF2AD69" w14:textId="29244677" w:rsidR="00AE7F95" w:rsidRPr="00AE7F95" w:rsidRDefault="00AE7F95" w:rsidP="00AE7F95">
      <w:pPr>
        <w:spacing w:line="276" w:lineRule="auto"/>
        <w:jc w:val="both"/>
        <w:rPr>
          <w:rFonts w:ascii="Verdana" w:hAnsi="Verdana"/>
          <w:sz w:val="22"/>
          <w:szCs w:val="22"/>
        </w:rPr>
      </w:pPr>
      <w:r w:rsidRPr="00AE7F95">
        <w:rPr>
          <w:rFonts w:ascii="Verdana" w:hAnsi="Verdana"/>
          <w:i/>
          <w:iCs/>
          <w:sz w:val="22"/>
          <w:szCs w:val="22"/>
        </w:rPr>
        <w:lastRenderedPageBreak/>
        <w:t>“El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2AF36924"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En el marco de la necesaria articulación y coordinación el mismo Decreto dispone los objetivos del Sistema Nacional de Bienestar Familiar, así:</w:t>
      </w:r>
    </w:p>
    <w:p w14:paraId="5715554E"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68767942"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2416D6B5"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Lograr que la primera infancia, la infancia y la adolescencia y el fortalecimiento familiar sean una prioridad social, política, técnica y financiera en el ámbito nacional y territorial.</w:t>
      </w:r>
    </w:p>
    <w:p w14:paraId="1B37AFA7"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Mejorar el ejercicio de la participación y movilización social en torno a la protección integral de la primera infancia, la infancia, la adolescencia y el fortalecimiento familiar en los niveles nacional y territorial.</w:t>
      </w:r>
    </w:p>
    <w:p w14:paraId="425A6199"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Evaluar y hacer seguimiento del estado de realización de derechos de los niños, niñas y adolescentes.</w:t>
      </w:r>
    </w:p>
    <w:p w14:paraId="205F12CF" w14:textId="09C48500" w:rsidR="00AE7F95" w:rsidRPr="00AE7F95" w:rsidRDefault="00AE7F95" w:rsidP="00AE7F95">
      <w:pPr>
        <w:spacing w:line="276" w:lineRule="auto"/>
        <w:jc w:val="both"/>
        <w:rPr>
          <w:rFonts w:ascii="Verdana" w:hAnsi="Verdana"/>
          <w:sz w:val="22"/>
          <w:szCs w:val="22"/>
        </w:rPr>
      </w:pPr>
      <w:proofErr w:type="gramStart"/>
      <w:r w:rsidRPr="00AE7F95">
        <w:rPr>
          <w:rFonts w:ascii="Verdana" w:hAnsi="Verdana"/>
          <w:sz w:val="22"/>
          <w:szCs w:val="22"/>
        </w:rPr>
        <w:t>En relación a</w:t>
      </w:r>
      <w:proofErr w:type="gramEnd"/>
      <w:r w:rsidRPr="00AE7F95">
        <w:rPr>
          <w:rFonts w:ascii="Verdana" w:hAnsi="Verdana"/>
          <w:sz w:val="22"/>
          <w:szCs w:val="22"/>
        </w:rPr>
        <w:t xml:space="preserve"> lo anterior y teniendo en cuenta que mediante el Decreto 2388 de 1979, se reglamentan las Leyes 75 de 1968, 27 de 1974 y 7o. de 1979 se dispuso entre otras cosas que:</w:t>
      </w:r>
    </w:p>
    <w:p w14:paraId="7A615C13" w14:textId="41F66E3A"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Artículo </w:t>
      </w:r>
      <w:r w:rsidRPr="00AE7F95">
        <w:rPr>
          <w:rFonts w:ascii="Verdana" w:hAnsi="Verdana"/>
          <w:sz w:val="22"/>
          <w:szCs w:val="22"/>
        </w:rPr>
        <w:t>6</w:t>
      </w:r>
      <w:r w:rsidRPr="00AE7F95">
        <w:rPr>
          <w:rFonts w:ascii="Verdana" w:hAnsi="Verdana"/>
          <w:b/>
          <w:bCs/>
          <w:sz w:val="22"/>
          <w:szCs w:val="22"/>
        </w:rPr>
        <w:t>. </w:t>
      </w:r>
      <w:r w:rsidRPr="00AE7F95">
        <w:rPr>
          <w:rFonts w:ascii="Verdana" w:hAnsi="Verdana"/>
          <w:sz w:val="22"/>
          <w:szCs w:val="22"/>
        </w:rPr>
        <w:t>Integran el Sistema Nacional de Bienestar Familiar;</w:t>
      </w:r>
    </w:p>
    <w:p w14:paraId="04162CAF"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a) El Instituto Colombiano de Bienestar Familiar (ICBF) sus regionales o agencias en los Departamentos, en el Distrito Especial de Bogotá, en las Intendencias, Comisarías y en los Municipios;</w:t>
      </w:r>
    </w:p>
    <w:p w14:paraId="61BCD8B7"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w:t>
      </w:r>
    </w:p>
    <w:p w14:paraId="24D2C597" w14:textId="1DBC2546"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lastRenderedPageBreak/>
        <w:t>Artículo </w:t>
      </w:r>
      <w:r w:rsidRPr="00AE7F95">
        <w:rPr>
          <w:rFonts w:ascii="Verdana" w:hAnsi="Verdana"/>
          <w:sz w:val="22"/>
          <w:szCs w:val="22"/>
        </w:rPr>
        <w:t>8</w:t>
      </w:r>
      <w:r w:rsidRPr="00AE7F95">
        <w:rPr>
          <w:rFonts w:ascii="Verdana" w:hAnsi="Verdana"/>
          <w:b/>
          <w:bCs/>
          <w:sz w:val="22"/>
          <w:szCs w:val="22"/>
        </w:rPr>
        <w:t>. </w:t>
      </w:r>
      <w:r w:rsidRPr="00AE7F95">
        <w:rPr>
          <w:rFonts w:ascii="Verdana" w:hAnsi="Verdana"/>
          <w:sz w:val="22"/>
          <w:szCs w:val="22"/>
        </w:rPr>
        <w:t xml:space="preserve">Hacen parte también del Sistema Nacional de Bienestar Familiar las entidades públicas o privadas, de carácter nacional, distrital, departamental, </w:t>
      </w:r>
      <w:proofErr w:type="spellStart"/>
      <w:r w:rsidRPr="00AE7F95">
        <w:rPr>
          <w:rFonts w:ascii="Verdana" w:hAnsi="Verdana"/>
          <w:sz w:val="22"/>
          <w:szCs w:val="22"/>
        </w:rPr>
        <w:t>comisarial</w:t>
      </w:r>
      <w:proofErr w:type="spellEnd"/>
      <w:r w:rsidRPr="00AE7F95">
        <w:rPr>
          <w:rFonts w:ascii="Verdana" w:hAnsi="Verdana"/>
          <w:sz w:val="22"/>
          <w:szCs w:val="22"/>
        </w:rPr>
        <w:t xml:space="preserve">, </w:t>
      </w:r>
      <w:proofErr w:type="spellStart"/>
      <w:r w:rsidRPr="00AE7F95">
        <w:rPr>
          <w:rFonts w:ascii="Verdana" w:hAnsi="Verdana"/>
          <w:sz w:val="22"/>
          <w:szCs w:val="22"/>
        </w:rPr>
        <w:t>intendencial</w:t>
      </w:r>
      <w:proofErr w:type="spellEnd"/>
      <w:r w:rsidRPr="00AE7F95">
        <w:rPr>
          <w:rFonts w:ascii="Verdana" w:hAnsi="Verdana"/>
          <w:sz w:val="22"/>
          <w:szCs w:val="22"/>
        </w:rPr>
        <w:t xml:space="preserve"> o municipal, que habitualmente realicen actividades relacionadas con la protección preventiva y especial del menor, la garantía de sus derechos y la realización e integración armónica de la familia.</w:t>
      </w:r>
    </w:p>
    <w:p w14:paraId="44F2F4EB" w14:textId="238596AC"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Artículo </w:t>
      </w:r>
      <w:r w:rsidRPr="00AE7F95">
        <w:rPr>
          <w:rFonts w:ascii="Verdana" w:hAnsi="Verdana"/>
          <w:sz w:val="22"/>
          <w:szCs w:val="22"/>
        </w:rPr>
        <w:t>12</w:t>
      </w:r>
      <w:r w:rsidRPr="00AE7F95">
        <w:rPr>
          <w:rFonts w:ascii="Verdana" w:hAnsi="Verdana"/>
          <w:b/>
          <w:bCs/>
          <w:sz w:val="22"/>
          <w:szCs w:val="22"/>
        </w:rPr>
        <w:t>. </w:t>
      </w:r>
      <w:r w:rsidRPr="00AE7F95">
        <w:rPr>
          <w:rFonts w:ascii="Verdana" w:hAnsi="Verdana"/>
          <w:sz w:val="22"/>
          <w:szCs w:val="22"/>
        </w:rPr>
        <w:t xml:space="preserve">Las actividades que realicen las entidades mencionadas en los artículos </w:t>
      </w:r>
      <w:proofErr w:type="gramStart"/>
      <w:r w:rsidRPr="00AE7F95">
        <w:rPr>
          <w:rFonts w:ascii="Verdana" w:hAnsi="Verdana"/>
          <w:sz w:val="22"/>
          <w:szCs w:val="22"/>
        </w:rPr>
        <w:t>anteriores,</w:t>
      </w:r>
      <w:proofErr w:type="gramEnd"/>
      <w:r w:rsidRPr="00AE7F95">
        <w:rPr>
          <w:rFonts w:ascii="Verdana" w:hAnsi="Verdana"/>
          <w:sz w:val="22"/>
          <w:szCs w:val="22"/>
        </w:rPr>
        <w:t xml:space="preserve"> deberán cumplirse con estricta sujeción a las normas del servicio y a los reglamentos dictados por el ICBF.</w:t>
      </w:r>
    </w:p>
    <w:p w14:paraId="37AAA4A7" w14:textId="02A8080A"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Artículo </w:t>
      </w:r>
      <w:r w:rsidRPr="00AE7F95">
        <w:rPr>
          <w:rFonts w:ascii="Verdana" w:hAnsi="Verdana"/>
          <w:sz w:val="22"/>
          <w:szCs w:val="22"/>
        </w:rPr>
        <w:t>20</w:t>
      </w:r>
      <w:r w:rsidRPr="00AE7F95">
        <w:rPr>
          <w:rFonts w:ascii="Verdana" w:hAnsi="Verdana"/>
          <w:b/>
          <w:bCs/>
          <w:sz w:val="22"/>
          <w:szCs w:val="22"/>
        </w:rPr>
        <w:t>. </w:t>
      </w:r>
      <w:r w:rsidRPr="00AE7F95">
        <w:rPr>
          <w:rFonts w:ascii="Verdana" w:hAnsi="Verdana"/>
          <w:sz w:val="22"/>
          <w:szCs w:val="22"/>
        </w:rPr>
        <w:t>De conformidad con lo previsto en la ley 7 de 1979 y de modo especial en los artículos 12, 14, 15, 19, 20 y 21, la dirección del Sistema Nacional de Bienestar Familiar está a cargo del ICBF. En ejercicio de ella le corresponde:</w:t>
      </w:r>
    </w:p>
    <w:p w14:paraId="287B66DF"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w:t>
      </w:r>
    </w:p>
    <w:p w14:paraId="21264870"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9. Supervisar y controlar el funcionamiento de las entidades que constituyen el sistema y prestarle asesoría a las mismas.</w:t>
      </w:r>
    </w:p>
    <w:p w14:paraId="54B5B8D8" w14:textId="65FB6746"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Artículo </w:t>
      </w:r>
      <w:r w:rsidRPr="00AE7F95">
        <w:rPr>
          <w:rFonts w:ascii="Verdana" w:hAnsi="Verdana"/>
          <w:sz w:val="22"/>
          <w:szCs w:val="22"/>
        </w:rPr>
        <w:t>27</w:t>
      </w:r>
      <w:r w:rsidRPr="00AE7F95">
        <w:rPr>
          <w:rFonts w:ascii="Verdana" w:hAnsi="Verdana"/>
          <w:b/>
          <w:bCs/>
          <w:sz w:val="22"/>
          <w:szCs w:val="22"/>
        </w:rPr>
        <w:t>. </w:t>
      </w:r>
      <w:r w:rsidRPr="00AE7F95">
        <w:rPr>
          <w:rFonts w:ascii="Verdana" w:hAnsi="Verdana"/>
          <w:sz w:val="22"/>
          <w:szCs w:val="22"/>
        </w:rPr>
        <w:t>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5A810D3C"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(2.2)</w:t>
      </w:r>
      <w:r w:rsidRPr="00AE7F95">
        <w:rPr>
          <w:rFonts w:ascii="Verdana" w:hAnsi="Verdana"/>
          <w:sz w:val="22"/>
          <w:szCs w:val="22"/>
        </w:rPr>
        <w:t> </w:t>
      </w:r>
      <w:r w:rsidRPr="00AE7F95">
        <w:rPr>
          <w:rFonts w:ascii="Verdana" w:hAnsi="Verdana"/>
          <w:b/>
          <w:bCs/>
          <w:sz w:val="22"/>
          <w:szCs w:val="22"/>
          <w:u w:val="single"/>
        </w:rPr>
        <w:t>Reconocimiento de las personerías jurídicas para los programas que prestan</w:t>
      </w:r>
      <w:r w:rsidRPr="00AE7F95">
        <w:rPr>
          <w:rFonts w:ascii="Verdana" w:hAnsi="Verdana"/>
          <w:sz w:val="22"/>
          <w:szCs w:val="22"/>
        </w:rPr>
        <w:t> </w:t>
      </w:r>
      <w:r w:rsidRPr="00AE7F95">
        <w:rPr>
          <w:rFonts w:ascii="Verdana" w:hAnsi="Verdana"/>
          <w:b/>
          <w:bCs/>
          <w:sz w:val="22"/>
          <w:szCs w:val="22"/>
          <w:u w:val="single"/>
        </w:rPr>
        <w:t>servicios de protección integral por el ICBF</w:t>
      </w:r>
    </w:p>
    <w:p w14:paraId="23E59DAD" w14:textId="37C856DC"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3ADEB862" w14:textId="673F2451"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0D546CD5" w14:textId="1DAEE1D5"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El artículo 16 del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y adolescentes, y ratifica la competencia del ICBF como ente rector, coordinador y articulador </w:t>
      </w:r>
      <w:r w:rsidRPr="00AE7F95">
        <w:rPr>
          <w:rFonts w:ascii="Verdana" w:hAnsi="Verdana"/>
          <w:sz w:val="22"/>
          <w:szCs w:val="22"/>
        </w:rPr>
        <w:lastRenderedPageBreak/>
        <w:t>del Sistema nacional de Bienestar Familiar para otorgar, reconocer, renovar, suspender y cancelar las personería jurídicas y licencias de funcionamiento a las instituciones del sistema.</w:t>
      </w:r>
    </w:p>
    <w:p w14:paraId="7ADFEA10"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El inciso 2 del mismo artículo señala: “(...) </w:t>
      </w:r>
      <w:r w:rsidRPr="00AE7F95">
        <w:rPr>
          <w:rFonts w:ascii="Verdana" w:hAnsi="Verdana"/>
          <w:i/>
          <w:iCs/>
          <w:sz w:val="22"/>
          <w:szCs w:val="22"/>
        </w:rPr>
        <w:t>compete al Instituto Colombiano de Bienestar Familiar como ente redor,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7B235AF9" w14:textId="1F9EE8E1"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En igual sentido el Decreto 2388 de 1979</w:t>
      </w:r>
      <w:r w:rsidRPr="00AE7F95">
        <w:rPr>
          <w:rFonts w:ascii="Verdana" w:hAnsi="Verdana"/>
          <w:sz w:val="22"/>
          <w:szCs w:val="22"/>
          <w:vertAlign w:val="subscript"/>
        </w:rPr>
        <w:t>[3]</w:t>
      </w:r>
      <w:r w:rsidRPr="00AE7F95">
        <w:rPr>
          <w:rFonts w:ascii="Verdana" w:hAnsi="Verdana"/>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166609B5"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Con base en lo anterior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638F12FC" w14:textId="1945FD7C"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En este sentido mediante Resolución No. 3899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w:t>
      </w:r>
    </w:p>
    <w:p w14:paraId="02D82A2A"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Frente a las instrucciones impartidas en la citada Resolución, cabe resaltar:</w:t>
      </w:r>
    </w:p>
    <w:p w14:paraId="39D62DDA"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w:t>
      </w:r>
    </w:p>
    <w:p w14:paraId="68A9DE8F" w14:textId="77777777" w:rsidR="00AE7F95" w:rsidRPr="00AE7F95" w:rsidRDefault="00AE7F95" w:rsidP="00AE7F95">
      <w:pPr>
        <w:spacing w:line="276" w:lineRule="auto"/>
        <w:jc w:val="both"/>
        <w:rPr>
          <w:rFonts w:ascii="Verdana" w:hAnsi="Verdana"/>
          <w:sz w:val="22"/>
          <w:szCs w:val="22"/>
        </w:rPr>
      </w:pPr>
      <w:r w:rsidRPr="00AE7F95">
        <w:rPr>
          <w:rFonts w:ascii="Verdana" w:hAnsi="Verdana"/>
          <w:i/>
          <w:iCs/>
          <w:sz w:val="22"/>
          <w:szCs w:val="22"/>
        </w:rPr>
        <w:t>1.2. Requisitos para el otorgamiento de personerías jurídicas y licencias de funcionamiento</w:t>
      </w:r>
    </w:p>
    <w:p w14:paraId="57CC070A" w14:textId="499C954B"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Las instituciones interesadas en obtener la personería jurídica o la licencia de funcionamiento para prestar servicios de protección integral a los niños, niñas, adolescentes y sus familias deberán cumplir con los requisitos establecidos en la Resolución No. 3899 de 2010 de acuerdo con el programa que se proponga desarrollar y es obligación del ICBF a través de la Dirección General y las Direcciones Regionales verificar el estricto cumplimiento de cada uno de los mismos.</w:t>
      </w:r>
    </w:p>
    <w:p w14:paraId="4936E479" w14:textId="3E2B9A88"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lastRenderedPageBreak/>
        <w:t xml:space="preserve">Contempla la mencionada Resolución un </w:t>
      </w:r>
      <w:proofErr w:type="spellStart"/>
      <w:r w:rsidRPr="00AE7F95">
        <w:rPr>
          <w:rFonts w:ascii="Verdana" w:hAnsi="Verdana"/>
          <w:sz w:val="22"/>
          <w:szCs w:val="22"/>
        </w:rPr>
        <w:t>capitulo</w:t>
      </w:r>
      <w:proofErr w:type="spellEnd"/>
      <w:r w:rsidRPr="00AE7F95">
        <w:rPr>
          <w:rFonts w:ascii="Verdana" w:hAnsi="Verdana"/>
          <w:sz w:val="22"/>
          <w:szCs w:val="22"/>
        </w:rPr>
        <w:t xml:space="preserve"> relacionado con la expedición de las </w:t>
      </w:r>
      <w:proofErr w:type="gramStart"/>
      <w:r w:rsidRPr="00AE7F95">
        <w:rPr>
          <w:rFonts w:ascii="Verdana" w:hAnsi="Verdana"/>
          <w:sz w:val="22"/>
          <w:szCs w:val="22"/>
        </w:rPr>
        <w:t>personería jurídicas</w:t>
      </w:r>
      <w:proofErr w:type="gramEnd"/>
      <w:r w:rsidRPr="00AE7F95">
        <w:rPr>
          <w:rFonts w:ascii="Verdana" w:hAnsi="Verdana"/>
          <w:sz w:val="22"/>
          <w:szCs w:val="22"/>
        </w:rPr>
        <w:t xml:space="preserve"> y las licencias de funcionamiento de las instituciones que prestan servicios de protección </w:t>
      </w:r>
      <w:proofErr w:type="gramStart"/>
      <w:r w:rsidRPr="00AE7F95">
        <w:rPr>
          <w:rFonts w:ascii="Verdana" w:hAnsi="Verdana"/>
          <w:sz w:val="22"/>
          <w:szCs w:val="22"/>
        </w:rPr>
        <w:t>de acuerdo a</w:t>
      </w:r>
      <w:proofErr w:type="gramEnd"/>
      <w:r w:rsidRPr="00AE7F95">
        <w:rPr>
          <w:rFonts w:ascii="Verdana" w:hAnsi="Verdana"/>
          <w:sz w:val="22"/>
          <w:szCs w:val="22"/>
        </w:rPr>
        <w:t xml:space="preserve"> lo establecido en el parágrafo 2 del artículo 16 de la Ley 1098 de 2006.</w:t>
      </w:r>
    </w:p>
    <w:p w14:paraId="59E7C7A1" w14:textId="5BB00415"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2BE244E1"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En este sentido es preciso mencionar que se llaman personas </w:t>
      </w:r>
      <w:proofErr w:type="gramStart"/>
      <w:r w:rsidRPr="00AE7F95">
        <w:rPr>
          <w:rFonts w:ascii="Verdana" w:hAnsi="Verdana"/>
          <w:sz w:val="22"/>
          <w:szCs w:val="22"/>
        </w:rPr>
        <w:t>jurídicas</w:t>
      </w:r>
      <w:r w:rsidRPr="00AE7F95">
        <w:rPr>
          <w:rFonts w:ascii="Verdana" w:hAnsi="Verdana"/>
          <w:sz w:val="22"/>
          <w:szCs w:val="22"/>
          <w:vertAlign w:val="subscript"/>
        </w:rPr>
        <w:t>[</w:t>
      </w:r>
      <w:proofErr w:type="gramEnd"/>
      <w:r w:rsidRPr="00AE7F95">
        <w:rPr>
          <w:rFonts w:ascii="Verdana" w:hAnsi="Verdana"/>
          <w:sz w:val="22"/>
          <w:szCs w:val="22"/>
          <w:vertAlign w:val="subscript"/>
        </w:rPr>
        <w:t>4]</w:t>
      </w:r>
      <w:r w:rsidRPr="00AE7F95">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227939F7"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1FB1847C" w14:textId="1EABD18D"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Así las </w:t>
      </w:r>
      <w:proofErr w:type="gramStart"/>
      <w:r w:rsidRPr="00AE7F95">
        <w:rPr>
          <w:rFonts w:ascii="Verdana" w:hAnsi="Verdana"/>
          <w:sz w:val="22"/>
          <w:szCs w:val="22"/>
        </w:rPr>
        <w:t>cosas</w:t>
      </w:r>
      <w:proofErr w:type="gramEnd"/>
      <w:r w:rsidRPr="00AE7F95">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78345505"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Respecto de la clasificación de las personas jurídicas podemos decir que:</w:t>
      </w:r>
    </w:p>
    <w:p w14:paraId="0AAEA811" w14:textId="23DA36A7" w:rsidR="00AE7F95" w:rsidRPr="00AE7F95" w:rsidRDefault="00AE7F95" w:rsidP="00AE7F95">
      <w:pPr>
        <w:spacing w:line="276" w:lineRule="auto"/>
        <w:jc w:val="both"/>
        <w:rPr>
          <w:rFonts w:ascii="Verdana" w:hAnsi="Verdana"/>
          <w:sz w:val="22"/>
          <w:szCs w:val="22"/>
        </w:rPr>
      </w:pPr>
      <w:r w:rsidRPr="00AE7F95">
        <w:rPr>
          <w:rFonts w:ascii="Verdana" w:hAnsi="Verdana"/>
          <w:i/>
          <w:iCs/>
          <w:sz w:val="22"/>
          <w:szCs w:val="22"/>
        </w:rPr>
        <w:t>Las personas jurídicas pueden ser privadas y públicas a este respecto según el Código Civil, las personas jurídicas privadas con las Corporaciones y fundaciones; a su vez las corporaciones se clasifican en asociaciones y sociedades o compañías. De otra parte, el artículo 71 de la Ley 222 de1995, que reformó el Código de Comercio, creó una nueva modalidad de persona jurídica al introducir el concepto de empresa unipersonal.</w:t>
      </w:r>
    </w:p>
    <w:p w14:paraId="69724268" w14:textId="77777777" w:rsidR="00AE7F95" w:rsidRPr="00AE7F95" w:rsidRDefault="00AE7F95" w:rsidP="00AE7F95">
      <w:pPr>
        <w:spacing w:line="276" w:lineRule="auto"/>
        <w:jc w:val="both"/>
        <w:rPr>
          <w:rFonts w:ascii="Verdana" w:hAnsi="Verdana"/>
          <w:sz w:val="22"/>
          <w:szCs w:val="22"/>
        </w:rPr>
      </w:pPr>
      <w:r w:rsidRPr="00AE7F95">
        <w:rPr>
          <w:rFonts w:ascii="Verdana" w:hAnsi="Verdana"/>
          <w:i/>
          <w:iCs/>
          <w:sz w:val="22"/>
          <w:szCs w:val="22"/>
        </w:rPr>
        <w:t xml:space="preserve">En relación con las personas jurídicas públicas, en la doctrina y la jurisprudencia encontramos diversos factores de los cuales se hace depender esa calidad. Los </w:t>
      </w:r>
      <w:r w:rsidRPr="00AE7F95">
        <w:rPr>
          <w:rFonts w:ascii="Verdana" w:hAnsi="Verdana"/>
          <w:i/>
          <w:iCs/>
          <w:sz w:val="22"/>
          <w:szCs w:val="22"/>
        </w:rPr>
        <w:lastRenderedPageBreak/>
        <w:t>principales factores se relacionan con el fin perseguido, la iniciativa en la creación, la naturaleza del capital y el régimen jurídico aplicable</w:t>
      </w:r>
      <w:r w:rsidRPr="00AE7F95">
        <w:rPr>
          <w:rFonts w:ascii="Verdana" w:hAnsi="Verdana"/>
          <w:sz w:val="22"/>
          <w:szCs w:val="22"/>
        </w:rPr>
        <w:t>.</w:t>
      </w:r>
    </w:p>
    <w:p w14:paraId="5F6A6C64" w14:textId="722F8151" w:rsidR="00AE7F95" w:rsidRPr="00AE7F95" w:rsidRDefault="00AE7F95" w:rsidP="00AE7F95">
      <w:pPr>
        <w:spacing w:line="276" w:lineRule="auto"/>
        <w:jc w:val="both"/>
        <w:rPr>
          <w:rFonts w:ascii="Verdana" w:hAnsi="Verdana"/>
          <w:sz w:val="22"/>
          <w:szCs w:val="22"/>
        </w:rPr>
      </w:pPr>
      <w:r w:rsidRPr="00AE7F95">
        <w:rPr>
          <w:rFonts w:ascii="Verdana" w:hAnsi="Verdana"/>
          <w:i/>
          <w:iCs/>
          <w:sz w:val="22"/>
          <w:szCs w:val="22"/>
        </w:rPr>
        <w:t xml:space="preserve">(...) De acuerdo a lo establecido en los Decretos-leyes 1222 de 1986, 1333 de 1986 y las leyes 128 y 136 de 1994, 489 de 1998 y 1454 de 2011, y la Constitución de 1991 puede decirse que: en el régimen jurídico colombiano las personas jurídicas públicas, o «entidades públicas», son aquellos organismos de origen estatal, cuyo capital o patrimonio también es estatal o público, </w:t>
      </w:r>
      <w:proofErr w:type="spellStart"/>
      <w:r w:rsidRPr="00AE7F95">
        <w:rPr>
          <w:rFonts w:ascii="Verdana" w:hAnsi="Verdana"/>
          <w:i/>
          <w:iCs/>
          <w:sz w:val="22"/>
          <w:szCs w:val="22"/>
        </w:rPr>
        <w:t>á</w:t>
      </w:r>
      <w:proofErr w:type="spellEnd"/>
      <w:r w:rsidRPr="00AE7F95">
        <w:rPr>
          <w:rFonts w:ascii="Verdana" w:hAnsi="Verdana"/>
          <w:i/>
          <w:iCs/>
          <w:sz w:val="22"/>
          <w:szCs w:val="22"/>
        </w:rPr>
        <w:t xml:space="preserve"> los cuales el ordenamiento jurídico les ha reconocido el carácter de personas jurídicas y que por regla general se encuentran sometidos al derecho público, salvo excepciones legales".</w:t>
      </w:r>
      <w:r w:rsidRPr="00AE7F95">
        <w:rPr>
          <w:rFonts w:ascii="Verdana" w:hAnsi="Verdana"/>
          <w:i/>
          <w:iCs/>
          <w:sz w:val="22"/>
          <w:szCs w:val="22"/>
          <w:vertAlign w:val="subscript"/>
        </w:rPr>
        <w:t>[5]</w:t>
      </w:r>
    </w:p>
    <w:p w14:paraId="10CD25A7"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u w:val="single"/>
        </w:rPr>
        <w:t>(2.3) Las preguntas en concreto</w:t>
      </w:r>
    </w:p>
    <w:p w14:paraId="292A2BAC"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i/>
          <w:iCs/>
          <w:sz w:val="22"/>
          <w:szCs w:val="22"/>
        </w:rPr>
        <w:t xml:space="preserve">1. Respecto de las entidades públicas, tales como Entidades Sociales del estado, </w:t>
      </w:r>
      <w:proofErr w:type="gramStart"/>
      <w:r w:rsidRPr="00AE7F95">
        <w:rPr>
          <w:rFonts w:ascii="Verdana" w:hAnsi="Verdana"/>
          <w:b/>
          <w:bCs/>
          <w:i/>
          <w:iCs/>
          <w:sz w:val="22"/>
          <w:szCs w:val="22"/>
        </w:rPr>
        <w:t>Entes Universitarios Autónomos, IPS, IPS indígenas, Establecimientos Públicos, entre otras entidades públicas, es necesario emitir y tramitar por parte del Instituto Colombiano de Bienestar Familiar el reconocimiento de personería jurídica?</w:t>
      </w:r>
      <w:proofErr w:type="gramEnd"/>
    </w:p>
    <w:p w14:paraId="51DA1B35" w14:textId="1F8DABE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Si alguna entidad pública como las entidades sociales del estado, entes universitarios autónomos, IPS, IPS Indígenas, establecimientos públicos se encuentran interesadas en prestar servicios de protección a los niños, niñas, adolescentes y sus familias en el sistema público de bienestar familiar, deben obtener el reconocimiento de la personería jurídica por parte del ICBF, </w:t>
      </w:r>
      <w:proofErr w:type="gramStart"/>
      <w:r w:rsidRPr="00AE7F95">
        <w:rPr>
          <w:rFonts w:ascii="Verdana" w:hAnsi="Verdana"/>
          <w:sz w:val="22"/>
          <w:szCs w:val="22"/>
        </w:rPr>
        <w:t>de acuerdo a</w:t>
      </w:r>
      <w:proofErr w:type="gramEnd"/>
      <w:r w:rsidRPr="00AE7F95">
        <w:rPr>
          <w:rFonts w:ascii="Verdana" w:hAnsi="Verdana"/>
          <w:sz w:val="22"/>
          <w:szCs w:val="22"/>
        </w:rPr>
        <w:t xml:space="preserve"> lo establecido en el artículo 16 de la Ley 1098 de 2006.</w:t>
      </w:r>
    </w:p>
    <w:p w14:paraId="3752A329" w14:textId="2BCFD9E0" w:rsidR="00AE7F95" w:rsidRPr="00AE7F95" w:rsidRDefault="00AE7F95" w:rsidP="00AE7F95">
      <w:pPr>
        <w:spacing w:line="276" w:lineRule="auto"/>
        <w:jc w:val="both"/>
        <w:rPr>
          <w:rFonts w:ascii="Verdana" w:hAnsi="Verdana"/>
          <w:sz w:val="22"/>
          <w:szCs w:val="22"/>
        </w:rPr>
      </w:pPr>
      <w:r w:rsidRPr="00AE7F95">
        <w:rPr>
          <w:rFonts w:ascii="Verdana" w:hAnsi="Verdana"/>
          <w:b/>
          <w:bCs/>
          <w:i/>
          <w:iCs/>
          <w:sz w:val="22"/>
          <w:szCs w:val="22"/>
        </w:rPr>
        <w:t xml:space="preserve">2. </w:t>
      </w:r>
      <w:proofErr w:type="gramStart"/>
      <w:r w:rsidRPr="00AE7F95">
        <w:rPr>
          <w:rFonts w:ascii="Verdana" w:hAnsi="Verdana"/>
          <w:b/>
          <w:bCs/>
          <w:i/>
          <w:iCs/>
          <w:sz w:val="22"/>
          <w:szCs w:val="22"/>
        </w:rPr>
        <w:t>En caso afirmativo, en los eventos en los cuales el documento de constitución no cumpla estrictamente con los requisitos exigidos por el numeral 2 del artículo </w:t>
      </w:r>
      <w:r w:rsidRPr="00AE7F95">
        <w:rPr>
          <w:rFonts w:ascii="Verdana" w:hAnsi="Verdana"/>
          <w:i/>
          <w:iCs/>
          <w:sz w:val="22"/>
          <w:szCs w:val="22"/>
        </w:rPr>
        <w:t>7</w:t>
      </w:r>
      <w:r w:rsidRPr="00AE7F95">
        <w:rPr>
          <w:rFonts w:ascii="Verdana" w:hAnsi="Verdana"/>
          <w:sz w:val="22"/>
          <w:szCs w:val="22"/>
        </w:rPr>
        <w:t> </w:t>
      </w:r>
      <w:r w:rsidRPr="00AE7F95">
        <w:rPr>
          <w:rFonts w:ascii="Verdana" w:hAnsi="Verdana"/>
          <w:b/>
          <w:bCs/>
          <w:i/>
          <w:iCs/>
          <w:sz w:val="22"/>
          <w:szCs w:val="22"/>
        </w:rPr>
        <w:t>de la resolución 3899 de 2010, se deberá solicitar la modificación del acto de creación de los mismos?</w:t>
      </w:r>
      <w:proofErr w:type="gramEnd"/>
      <w:r w:rsidRPr="00AE7F95">
        <w:rPr>
          <w:rFonts w:ascii="Verdana" w:hAnsi="Verdana"/>
          <w:b/>
          <w:bCs/>
          <w:i/>
          <w:iCs/>
          <w:sz w:val="22"/>
          <w:szCs w:val="22"/>
        </w:rPr>
        <w:t xml:space="preserve"> </w:t>
      </w:r>
      <w:proofErr w:type="gramStart"/>
      <w:r w:rsidRPr="00AE7F95">
        <w:rPr>
          <w:rFonts w:ascii="Verdana" w:hAnsi="Verdana"/>
          <w:b/>
          <w:bCs/>
          <w:i/>
          <w:iCs/>
          <w:sz w:val="22"/>
          <w:szCs w:val="22"/>
        </w:rPr>
        <w:t>O por el contrario se tendría que aceptar las condiciones en que fue creada la entidad, y emitir el acto administrativo de personería jurídica con la información contenida en la norma que creo la respectiva entidad?</w:t>
      </w:r>
      <w:proofErr w:type="gramEnd"/>
    </w:p>
    <w:p w14:paraId="784A2CBD" w14:textId="285111FC"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Sí. Se debe solicitar la modificación del acto de creación y ajustarse a los requisitos establecidos en el No. 2 del artículo 7 de la Resolución No. 3899 de 2010.</w:t>
      </w:r>
    </w:p>
    <w:p w14:paraId="50A34E7D" w14:textId="77777777" w:rsidR="00AE7F95" w:rsidRPr="00AE7F95" w:rsidRDefault="00AE7F95" w:rsidP="00AE7F95">
      <w:pPr>
        <w:spacing w:line="276" w:lineRule="auto"/>
        <w:jc w:val="both"/>
        <w:rPr>
          <w:rFonts w:ascii="Verdana" w:hAnsi="Verdana"/>
          <w:sz w:val="22"/>
          <w:szCs w:val="22"/>
        </w:rPr>
      </w:pPr>
      <w:r w:rsidRPr="00AE7F95">
        <w:rPr>
          <w:rFonts w:ascii="Verdana" w:hAnsi="Verdana"/>
          <w:b/>
          <w:bCs/>
          <w:i/>
          <w:iCs/>
          <w:sz w:val="22"/>
          <w:szCs w:val="22"/>
        </w:rPr>
        <w:t xml:space="preserve">3. </w:t>
      </w:r>
      <w:proofErr w:type="gramStart"/>
      <w:r w:rsidRPr="00AE7F95">
        <w:rPr>
          <w:rFonts w:ascii="Verdana" w:hAnsi="Verdana"/>
          <w:b/>
          <w:bCs/>
          <w:i/>
          <w:iCs/>
          <w:sz w:val="22"/>
          <w:szCs w:val="22"/>
        </w:rPr>
        <w:t>En caso que</w:t>
      </w:r>
      <w:proofErr w:type="gramEnd"/>
      <w:r w:rsidRPr="00AE7F95">
        <w:rPr>
          <w:rFonts w:ascii="Verdana" w:hAnsi="Verdana"/>
          <w:b/>
          <w:bCs/>
          <w:i/>
          <w:iCs/>
          <w:sz w:val="22"/>
          <w:szCs w:val="22"/>
        </w:rPr>
        <w:t xml:space="preserve"> </w:t>
      </w:r>
      <w:proofErr w:type="gramStart"/>
      <w:r w:rsidRPr="00AE7F95">
        <w:rPr>
          <w:rFonts w:ascii="Verdana" w:hAnsi="Verdana"/>
          <w:b/>
          <w:bCs/>
          <w:i/>
          <w:iCs/>
          <w:sz w:val="22"/>
          <w:szCs w:val="22"/>
        </w:rPr>
        <w:t>las entidades públicas no pueda legalmente</w:t>
      </w:r>
      <w:proofErr w:type="gramEnd"/>
      <w:r w:rsidRPr="00AE7F95">
        <w:rPr>
          <w:rFonts w:ascii="Verdana" w:hAnsi="Verdana"/>
          <w:b/>
          <w:bCs/>
          <w:i/>
          <w:iCs/>
          <w:sz w:val="22"/>
          <w:szCs w:val="22"/>
        </w:rPr>
        <w:t xml:space="preserve"> efectuar la modificación que se requiera por parte del ICBF, para el reconocimiento de la personería jurídica, que trámite ser (sic) deberá seguir ante estas entidades para que puedan prestar el servicio público de bienestar familiar.</w:t>
      </w:r>
    </w:p>
    <w:p w14:paraId="2406E6C1" w14:textId="4BA2438C"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lastRenderedPageBreak/>
        <w:t>No existe otro tramite diferente solo el establecido en la Resolución No. 3899 de 2010.</w:t>
      </w:r>
    </w:p>
    <w:p w14:paraId="37CF4FAF" w14:textId="65A74228"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 xml:space="preserve">El presente </w:t>
      </w:r>
      <w:proofErr w:type="gramStart"/>
      <w:r w:rsidRPr="00AE7F95">
        <w:rPr>
          <w:rFonts w:ascii="Verdana" w:hAnsi="Verdana"/>
          <w:sz w:val="22"/>
          <w:szCs w:val="22"/>
        </w:rPr>
        <w:t>concepto</w:t>
      </w:r>
      <w:r w:rsidRPr="00AE7F95">
        <w:rPr>
          <w:rFonts w:ascii="Verdana" w:hAnsi="Verdana"/>
          <w:sz w:val="22"/>
          <w:szCs w:val="22"/>
          <w:vertAlign w:val="subscript"/>
        </w:rPr>
        <w:t>[</w:t>
      </w:r>
      <w:proofErr w:type="gramEnd"/>
      <w:r w:rsidRPr="00AE7F95">
        <w:rPr>
          <w:rFonts w:ascii="Verdana" w:hAnsi="Verdana"/>
          <w:sz w:val="22"/>
          <w:szCs w:val="22"/>
          <w:vertAlign w:val="subscript"/>
        </w:rPr>
        <w:t>6]</w:t>
      </w:r>
      <w:r w:rsidRPr="00AE7F95">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AE7F95">
        <w:rPr>
          <w:rFonts w:ascii="Verdana" w:hAnsi="Verdana"/>
          <w:sz w:val="22"/>
          <w:szCs w:val="22"/>
        </w:rPr>
        <w:t>obstante</w:t>
      </w:r>
      <w:proofErr w:type="gramEnd"/>
      <w:r w:rsidRPr="00AE7F9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5966B1F" w14:textId="77777777" w:rsidR="00AE7F95" w:rsidRDefault="00AE7F95" w:rsidP="00AE7F95">
      <w:pPr>
        <w:spacing w:line="276" w:lineRule="auto"/>
        <w:jc w:val="both"/>
        <w:rPr>
          <w:rFonts w:ascii="Verdana" w:hAnsi="Verdana"/>
          <w:sz w:val="22"/>
          <w:szCs w:val="22"/>
        </w:rPr>
      </w:pPr>
    </w:p>
    <w:p w14:paraId="2730B0B0" w14:textId="50A0D84A"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Cordialmente,</w:t>
      </w:r>
    </w:p>
    <w:p w14:paraId="0C1197A2" w14:textId="77777777" w:rsidR="00AE7F95" w:rsidRDefault="00AE7F95" w:rsidP="00AE7F95">
      <w:pPr>
        <w:spacing w:line="276" w:lineRule="auto"/>
        <w:jc w:val="both"/>
        <w:rPr>
          <w:rFonts w:ascii="Verdana" w:hAnsi="Verdana"/>
          <w:b/>
          <w:bCs/>
          <w:sz w:val="22"/>
          <w:szCs w:val="22"/>
        </w:rPr>
      </w:pPr>
    </w:p>
    <w:p w14:paraId="11F707B0" w14:textId="36984EBE" w:rsidR="00AE7F95" w:rsidRPr="00AE7F95" w:rsidRDefault="00AE7F95" w:rsidP="00AE7F95">
      <w:pPr>
        <w:spacing w:line="276" w:lineRule="auto"/>
        <w:jc w:val="both"/>
        <w:rPr>
          <w:rFonts w:ascii="Verdana" w:hAnsi="Verdana"/>
          <w:sz w:val="22"/>
          <w:szCs w:val="22"/>
        </w:rPr>
      </w:pPr>
      <w:r w:rsidRPr="00AE7F95">
        <w:rPr>
          <w:rFonts w:ascii="Verdana" w:hAnsi="Verdana"/>
          <w:b/>
          <w:bCs/>
          <w:sz w:val="22"/>
          <w:szCs w:val="22"/>
        </w:rPr>
        <w:t>LUZ KARIME FERNANDEZ CASTILLO</w:t>
      </w:r>
    </w:p>
    <w:p w14:paraId="4CEEA3CF" w14:textId="77777777" w:rsidR="00AE7F95" w:rsidRPr="00AE7F95" w:rsidRDefault="00AE7F95" w:rsidP="00AE7F95">
      <w:pPr>
        <w:spacing w:line="276" w:lineRule="auto"/>
        <w:jc w:val="both"/>
        <w:rPr>
          <w:rFonts w:ascii="Verdana" w:hAnsi="Verdana"/>
          <w:sz w:val="22"/>
          <w:szCs w:val="22"/>
        </w:rPr>
      </w:pPr>
      <w:r w:rsidRPr="00AE7F95">
        <w:rPr>
          <w:rFonts w:ascii="Verdana" w:hAnsi="Verdana"/>
          <w:sz w:val="22"/>
          <w:szCs w:val="22"/>
        </w:rPr>
        <w:t>Jefe Oficina Asesora Jurídica</w:t>
      </w:r>
    </w:p>
    <w:p w14:paraId="53787EAF" w14:textId="77777777" w:rsidR="00AE7F95" w:rsidRDefault="00AE7F95" w:rsidP="00AE7F95">
      <w:pPr>
        <w:spacing w:line="276" w:lineRule="auto"/>
        <w:jc w:val="both"/>
        <w:rPr>
          <w:rFonts w:ascii="Verdana" w:hAnsi="Verdana"/>
          <w:b/>
          <w:bCs/>
          <w:sz w:val="22"/>
          <w:szCs w:val="22"/>
        </w:rPr>
      </w:pPr>
    </w:p>
    <w:p w14:paraId="7A0F10DD" w14:textId="3F91B278" w:rsidR="00AE7F95" w:rsidRPr="00AE7F95" w:rsidRDefault="00AE7F95" w:rsidP="00AE7F95">
      <w:pPr>
        <w:spacing w:line="276" w:lineRule="auto"/>
        <w:jc w:val="both"/>
        <w:rPr>
          <w:rFonts w:ascii="Verdana" w:hAnsi="Verdana"/>
          <w:b/>
          <w:bCs/>
          <w:sz w:val="22"/>
          <w:szCs w:val="22"/>
        </w:rPr>
      </w:pPr>
      <w:r w:rsidRPr="00AE7F95">
        <w:rPr>
          <w:rFonts w:ascii="Verdana" w:hAnsi="Verdana"/>
          <w:b/>
          <w:bCs/>
          <w:sz w:val="22"/>
          <w:szCs w:val="22"/>
        </w:rPr>
        <w:t>Notas Pie de Página:</w:t>
      </w:r>
    </w:p>
    <w:p w14:paraId="2F06F83B" w14:textId="7FA0BE90"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Decreto 936 de 2013</w:t>
      </w:r>
    </w:p>
    <w:p w14:paraId="396DB258" w14:textId="7F84ED52"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Por el cual se reorganiza el Sistema Nacional de Bienestar Familiar, se reglamenta el Inciso primero del artículo 205 de la Ley 1098 de 2006 y se dictan otras disposiciones</w:t>
      </w:r>
    </w:p>
    <w:p w14:paraId="405FBBAD" w14:textId="7FF4D48F"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“Por el cual se reglamentan las Leyes 75 de 1968, 27 de 1974 y 7 de 1979"</w:t>
      </w:r>
    </w:p>
    <w:p w14:paraId="33AFB04B" w14:textId="7EA2C80F"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Artículo 63 Código Civil.</w:t>
      </w:r>
    </w:p>
    <w:p w14:paraId="760AFBEB" w14:textId="3B12A401"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Rodríguez, Libardo. Derecho administrativo general y colombiano, decimoctava edición, Temis, 2013, p. 59</w:t>
      </w:r>
    </w:p>
    <w:p w14:paraId="1E6F5BF0" w14:textId="5AB7B4FC" w:rsidR="00AE7F95" w:rsidRPr="00AE7F95" w:rsidRDefault="00AE7F95" w:rsidP="00AE7F95">
      <w:pPr>
        <w:pStyle w:val="Prrafodelista"/>
        <w:numPr>
          <w:ilvl w:val="0"/>
          <w:numId w:val="46"/>
        </w:numPr>
        <w:spacing w:line="276" w:lineRule="auto"/>
        <w:jc w:val="both"/>
        <w:rPr>
          <w:rFonts w:ascii="Verdana" w:hAnsi="Verdana"/>
          <w:sz w:val="22"/>
          <w:szCs w:val="22"/>
        </w:rPr>
      </w:pPr>
      <w:r w:rsidRPr="00AE7F95">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w:t>
      </w:r>
      <w:r w:rsidRPr="00AE7F95">
        <w:rPr>
          <w:rFonts w:ascii="Verdana" w:hAnsi="Verdana"/>
          <w:sz w:val="22"/>
          <w:szCs w:val="22"/>
        </w:rPr>
        <w:lastRenderedPageBreak/>
        <w:t>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D77D58F" w14:textId="6EC7D356" w:rsidR="008161D5" w:rsidRPr="00AE7F95" w:rsidRDefault="008161D5" w:rsidP="00AE7F95">
      <w:pPr>
        <w:spacing w:line="276" w:lineRule="auto"/>
        <w:jc w:val="both"/>
        <w:rPr>
          <w:rFonts w:ascii="Verdana" w:hAnsi="Verdana"/>
          <w:sz w:val="22"/>
          <w:szCs w:val="22"/>
          <w:lang w:val="es-ES"/>
        </w:rPr>
      </w:pPr>
    </w:p>
    <w:sectPr w:rsidR="008161D5" w:rsidRPr="00AE7F95"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321819"/>
    <w:multiLevelType w:val="hybridMultilevel"/>
    <w:tmpl w:val="7B0C1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AE447A"/>
    <w:multiLevelType w:val="hybridMultilevel"/>
    <w:tmpl w:val="97146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54E70"/>
    <w:multiLevelType w:val="hybridMultilevel"/>
    <w:tmpl w:val="D3A87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8B62FB"/>
    <w:multiLevelType w:val="hybridMultilevel"/>
    <w:tmpl w:val="E32483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11477B"/>
    <w:multiLevelType w:val="hybridMultilevel"/>
    <w:tmpl w:val="FEF48424"/>
    <w:lvl w:ilvl="0" w:tplc="78A6E0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8C07CA"/>
    <w:multiLevelType w:val="hybridMultilevel"/>
    <w:tmpl w:val="F6024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5"/>
  </w:num>
  <w:num w:numId="2" w16cid:durableId="597366729">
    <w:abstractNumId w:val="1"/>
  </w:num>
  <w:num w:numId="3" w16cid:durableId="910654820">
    <w:abstractNumId w:val="19"/>
  </w:num>
  <w:num w:numId="4" w16cid:durableId="330566206">
    <w:abstractNumId w:val="10"/>
  </w:num>
  <w:num w:numId="5" w16cid:durableId="1909916623">
    <w:abstractNumId w:val="28"/>
  </w:num>
  <w:num w:numId="6" w16cid:durableId="1497724726">
    <w:abstractNumId w:val="16"/>
  </w:num>
  <w:num w:numId="7" w16cid:durableId="1713074486">
    <w:abstractNumId w:val="39"/>
  </w:num>
  <w:num w:numId="8" w16cid:durableId="828984851">
    <w:abstractNumId w:val="30"/>
  </w:num>
  <w:num w:numId="9" w16cid:durableId="1601328956">
    <w:abstractNumId w:val="35"/>
  </w:num>
  <w:num w:numId="10" w16cid:durableId="1471245638">
    <w:abstractNumId w:val="36"/>
  </w:num>
  <w:num w:numId="11" w16cid:durableId="696661912">
    <w:abstractNumId w:val="6"/>
  </w:num>
  <w:num w:numId="12" w16cid:durableId="1327126383">
    <w:abstractNumId w:val="18"/>
  </w:num>
  <w:num w:numId="13" w16cid:durableId="313028176">
    <w:abstractNumId w:val="29"/>
  </w:num>
  <w:num w:numId="14" w16cid:durableId="775095928">
    <w:abstractNumId w:val="43"/>
  </w:num>
  <w:num w:numId="15" w16cid:durableId="383335626">
    <w:abstractNumId w:val="23"/>
  </w:num>
  <w:num w:numId="16" w16cid:durableId="1391727613">
    <w:abstractNumId w:val="38"/>
  </w:num>
  <w:num w:numId="17" w16cid:durableId="644623475">
    <w:abstractNumId w:val="45"/>
  </w:num>
  <w:num w:numId="18" w16cid:durableId="355160029">
    <w:abstractNumId w:val="20"/>
  </w:num>
  <w:num w:numId="19" w16cid:durableId="2008436971">
    <w:abstractNumId w:val="0"/>
  </w:num>
  <w:num w:numId="20" w16cid:durableId="185993990">
    <w:abstractNumId w:val="21"/>
  </w:num>
  <w:num w:numId="21" w16cid:durableId="1589341576">
    <w:abstractNumId w:val="27"/>
  </w:num>
  <w:num w:numId="22" w16cid:durableId="2059206924">
    <w:abstractNumId w:val="31"/>
  </w:num>
  <w:num w:numId="23" w16cid:durableId="873351603">
    <w:abstractNumId w:val="2"/>
  </w:num>
  <w:num w:numId="24" w16cid:durableId="2141683708">
    <w:abstractNumId w:val="4"/>
  </w:num>
  <w:num w:numId="25" w16cid:durableId="1060788634">
    <w:abstractNumId w:val="17"/>
  </w:num>
  <w:num w:numId="26" w16cid:durableId="1795057575">
    <w:abstractNumId w:val="15"/>
  </w:num>
  <w:num w:numId="27" w16cid:durableId="1585795131">
    <w:abstractNumId w:val="9"/>
  </w:num>
  <w:num w:numId="28" w16cid:durableId="1728184922">
    <w:abstractNumId w:val="26"/>
  </w:num>
  <w:num w:numId="29" w16cid:durableId="1012875484">
    <w:abstractNumId w:val="13"/>
  </w:num>
  <w:num w:numId="30" w16cid:durableId="947350828">
    <w:abstractNumId w:val="44"/>
  </w:num>
  <w:num w:numId="31" w16cid:durableId="774374226">
    <w:abstractNumId w:val="34"/>
  </w:num>
  <w:num w:numId="32" w16cid:durableId="2050715293">
    <w:abstractNumId w:val="25"/>
  </w:num>
  <w:num w:numId="33" w16cid:durableId="817456626">
    <w:abstractNumId w:val="42"/>
  </w:num>
  <w:num w:numId="34" w16cid:durableId="1246651838">
    <w:abstractNumId w:val="37"/>
  </w:num>
  <w:num w:numId="35" w16cid:durableId="653526600">
    <w:abstractNumId w:val="33"/>
  </w:num>
  <w:num w:numId="36" w16cid:durableId="1198928084">
    <w:abstractNumId w:val="40"/>
  </w:num>
  <w:num w:numId="37" w16cid:durableId="2077780402">
    <w:abstractNumId w:val="14"/>
  </w:num>
  <w:num w:numId="38" w16cid:durableId="1234975120">
    <w:abstractNumId w:val="41"/>
  </w:num>
  <w:num w:numId="39" w16cid:durableId="1952741368">
    <w:abstractNumId w:val="12"/>
  </w:num>
  <w:num w:numId="40" w16cid:durableId="1365860968">
    <w:abstractNumId w:val="32"/>
  </w:num>
  <w:num w:numId="41" w16cid:durableId="1247767323">
    <w:abstractNumId w:val="11"/>
  </w:num>
  <w:num w:numId="42" w16cid:durableId="1416365157">
    <w:abstractNumId w:val="22"/>
  </w:num>
  <w:num w:numId="43" w16cid:durableId="49965461">
    <w:abstractNumId w:val="24"/>
  </w:num>
  <w:num w:numId="44" w16cid:durableId="1672833926">
    <w:abstractNumId w:val="7"/>
  </w:num>
  <w:num w:numId="45" w16cid:durableId="246571605">
    <w:abstractNumId w:val="8"/>
  </w:num>
  <w:num w:numId="46" w16cid:durableId="6453528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AE7F95"/>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E7663"/>
    <w:rsid w:val="00D03B71"/>
    <w:rsid w:val="00D3170D"/>
    <w:rsid w:val="00D40E92"/>
    <w:rsid w:val="00D6102A"/>
    <w:rsid w:val="00D61345"/>
    <w:rsid w:val="00D61853"/>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1C801253-BB57-4397-AA4A-19DCD4434B41}"/>
</file>

<file path=customXml/itemProps2.xml><?xml version="1.0" encoding="utf-8"?>
<ds:datastoreItem xmlns:ds="http://schemas.openxmlformats.org/officeDocument/2006/customXml" ds:itemID="{25918F2C-9B0E-419B-921A-EDD7ECFC4B72}"/>
</file>

<file path=customXml/itemProps3.xml><?xml version="1.0" encoding="utf-8"?>
<ds:datastoreItem xmlns:ds="http://schemas.openxmlformats.org/officeDocument/2006/customXml" ds:itemID="{21019DAB-524E-4714-A762-64225B1A9F3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155</TotalTime>
  <Pages>8</Pages>
  <Words>2699</Words>
  <Characters>14846</Characters>
  <Application>Microsoft Office Word</Application>
  <DocSecurity>0</DocSecurity>
  <Lines>123</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99</cp:revision>
  <dcterms:created xsi:type="dcterms:W3CDTF">2026-05-08T19:08:00Z</dcterms:created>
  <dcterms:modified xsi:type="dcterms:W3CDTF">2026-07-12T19:05:00Z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