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C831" w14:textId="77777777" w:rsidR="00F346A7" w:rsidRPr="00F346A7" w:rsidRDefault="00F346A7" w:rsidP="00F346A7">
      <w:pPr>
        <w:jc w:val="center"/>
        <w:rPr>
          <w:rFonts w:ascii="Verdana" w:hAnsi="Verdana"/>
          <w:sz w:val="22"/>
          <w:szCs w:val="22"/>
        </w:rPr>
      </w:pPr>
      <w:r w:rsidRPr="00F346A7">
        <w:rPr>
          <w:rFonts w:ascii="Verdana" w:hAnsi="Verdana"/>
          <w:b/>
          <w:bCs/>
          <w:sz w:val="22"/>
          <w:szCs w:val="22"/>
        </w:rPr>
        <w:t>CONCEPTO 50 DE 2017</w:t>
      </w:r>
    </w:p>
    <w:p w14:paraId="7ACAF429" w14:textId="77777777" w:rsidR="00F346A7" w:rsidRPr="00F346A7" w:rsidRDefault="00F346A7" w:rsidP="00F346A7">
      <w:pPr>
        <w:jc w:val="center"/>
        <w:rPr>
          <w:rFonts w:ascii="Verdana" w:hAnsi="Verdana"/>
          <w:sz w:val="22"/>
          <w:szCs w:val="22"/>
        </w:rPr>
      </w:pPr>
      <w:r w:rsidRPr="00F346A7">
        <w:rPr>
          <w:rFonts w:ascii="Verdana" w:hAnsi="Verdana"/>
          <w:sz w:val="22"/>
          <w:szCs w:val="22"/>
        </w:rPr>
        <w:t>(mayo 10)</w:t>
      </w:r>
    </w:p>
    <w:p w14:paraId="1484CFE2" w14:textId="77777777" w:rsidR="00F346A7" w:rsidRPr="00F346A7" w:rsidRDefault="00F346A7" w:rsidP="00F346A7">
      <w:pPr>
        <w:jc w:val="center"/>
        <w:rPr>
          <w:rFonts w:ascii="Verdana" w:hAnsi="Verdana"/>
          <w:sz w:val="22"/>
          <w:szCs w:val="22"/>
        </w:rPr>
      </w:pPr>
      <w:r w:rsidRPr="00F346A7">
        <w:rPr>
          <w:rFonts w:ascii="Verdana" w:hAnsi="Verdana"/>
          <w:b/>
          <w:bCs/>
          <w:sz w:val="22"/>
          <w:szCs w:val="22"/>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365"/>
        <w:gridCol w:w="7561"/>
      </w:tblGrid>
      <w:tr w:rsidR="00F346A7" w:rsidRPr="00F346A7" w14:paraId="286B09DB" w14:textId="77777777" w:rsidTr="00F346A7">
        <w:trPr>
          <w:tblCellSpacing w:w="15" w:type="dxa"/>
        </w:trPr>
        <w:tc>
          <w:tcPr>
            <w:tcW w:w="742" w:type="pct"/>
            <w:tcBorders>
              <w:top w:val="nil"/>
              <w:left w:val="nil"/>
              <w:bottom w:val="nil"/>
              <w:right w:val="nil"/>
            </w:tcBorders>
            <w:tcMar>
              <w:top w:w="0" w:type="dxa"/>
              <w:left w:w="0" w:type="dxa"/>
              <w:bottom w:w="0" w:type="dxa"/>
              <w:right w:w="0" w:type="dxa"/>
            </w:tcMar>
            <w:hideMark/>
          </w:tcPr>
          <w:p w14:paraId="3E645A5D" w14:textId="77777777" w:rsidR="00F346A7" w:rsidRPr="00F346A7" w:rsidRDefault="00F346A7" w:rsidP="00F346A7">
            <w:pPr>
              <w:jc w:val="both"/>
              <w:rPr>
                <w:rFonts w:ascii="Verdana" w:hAnsi="Verdana"/>
                <w:sz w:val="22"/>
                <w:szCs w:val="22"/>
              </w:rPr>
            </w:pPr>
            <w:r w:rsidRPr="00F346A7">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2AEB8571" w14:textId="77777777" w:rsidR="00F346A7" w:rsidRPr="00F346A7" w:rsidRDefault="00F346A7" w:rsidP="00F346A7">
            <w:pPr>
              <w:jc w:val="both"/>
              <w:rPr>
                <w:rFonts w:ascii="Verdana" w:hAnsi="Verdana"/>
                <w:sz w:val="22"/>
                <w:szCs w:val="22"/>
              </w:rPr>
            </w:pPr>
            <w:r w:rsidRPr="00F346A7">
              <w:rPr>
                <w:rFonts w:ascii="Verdana" w:hAnsi="Verdana"/>
                <w:sz w:val="22"/>
                <w:szCs w:val="22"/>
              </w:rPr>
              <w:t>Defensor de Familia - Centro Zonal Palmira</w:t>
            </w:r>
          </w:p>
        </w:tc>
      </w:tr>
      <w:tr w:rsidR="00F346A7" w:rsidRPr="00F346A7" w14:paraId="3A48B04A" w14:textId="77777777" w:rsidTr="00F346A7">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2D65ED2D" w14:textId="77777777" w:rsidR="00F346A7" w:rsidRPr="00F346A7" w:rsidRDefault="00F346A7" w:rsidP="00F346A7">
            <w:pPr>
              <w:jc w:val="both"/>
              <w:rPr>
                <w:rFonts w:ascii="Verdana" w:hAnsi="Verdana"/>
                <w:sz w:val="22"/>
                <w:szCs w:val="22"/>
                <w:lang w:val="it-IT"/>
              </w:rPr>
            </w:pPr>
            <w:r w:rsidRPr="00F346A7">
              <w:rPr>
                <w:rFonts w:ascii="Verdana" w:hAnsi="Verdana"/>
                <w:sz w:val="22"/>
                <w:szCs w:val="22"/>
                <w:lang w:val="it-IT"/>
              </w:rPr>
              <w:t>ICBF Regional Valle del Cauca.</w:t>
            </w:r>
          </w:p>
        </w:tc>
      </w:tr>
      <w:tr w:rsidR="00F346A7" w:rsidRPr="00F346A7" w14:paraId="67026F1A" w14:textId="77777777" w:rsidTr="00F346A7">
        <w:trPr>
          <w:tblCellSpacing w:w="15" w:type="dxa"/>
        </w:trPr>
        <w:tc>
          <w:tcPr>
            <w:tcW w:w="742" w:type="pct"/>
            <w:tcBorders>
              <w:top w:val="nil"/>
              <w:left w:val="nil"/>
              <w:bottom w:val="nil"/>
              <w:right w:val="nil"/>
            </w:tcBorders>
            <w:tcMar>
              <w:top w:w="0" w:type="dxa"/>
              <w:left w:w="0" w:type="dxa"/>
              <w:bottom w:w="0" w:type="dxa"/>
              <w:right w:w="0" w:type="dxa"/>
            </w:tcMar>
            <w:hideMark/>
          </w:tcPr>
          <w:p w14:paraId="119FD1AA" w14:textId="77777777" w:rsidR="00F346A7" w:rsidRPr="00F346A7" w:rsidRDefault="00F346A7" w:rsidP="00F346A7">
            <w:pPr>
              <w:jc w:val="both"/>
              <w:rPr>
                <w:rFonts w:ascii="Verdana" w:hAnsi="Verdana"/>
                <w:sz w:val="22"/>
                <w:szCs w:val="22"/>
              </w:rPr>
            </w:pPr>
            <w:r w:rsidRPr="00F346A7">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3B3B24E0" w14:textId="77777777" w:rsidR="00F346A7" w:rsidRPr="00F346A7" w:rsidRDefault="00F346A7" w:rsidP="00F346A7">
            <w:pPr>
              <w:jc w:val="both"/>
              <w:rPr>
                <w:rFonts w:ascii="Verdana" w:hAnsi="Verdana"/>
                <w:sz w:val="22"/>
                <w:szCs w:val="22"/>
              </w:rPr>
            </w:pPr>
            <w:r w:rsidRPr="00F346A7">
              <w:rPr>
                <w:rFonts w:ascii="Verdana" w:hAnsi="Verdana"/>
                <w:sz w:val="22"/>
                <w:szCs w:val="22"/>
              </w:rPr>
              <w:t>Su consulta con radicada bajo el No. 152052 del 28/03/2017</w:t>
            </w:r>
          </w:p>
        </w:tc>
      </w:tr>
    </w:tbl>
    <w:p w14:paraId="636D2E75" w14:textId="3256C107" w:rsidR="00F346A7" w:rsidRPr="00F346A7" w:rsidRDefault="00F346A7" w:rsidP="00F346A7">
      <w:pPr>
        <w:jc w:val="both"/>
        <w:rPr>
          <w:rFonts w:ascii="Verdana" w:hAnsi="Verdana"/>
          <w:sz w:val="22"/>
          <w:szCs w:val="22"/>
        </w:rPr>
      </w:pPr>
      <w:r w:rsidRPr="00F346A7">
        <w:rPr>
          <w:rFonts w:ascii="Verdana" w:hAnsi="Verdana"/>
          <w:sz w:val="22"/>
          <w:szCs w:val="22"/>
        </w:rPr>
        <w:t>De manera atenta, en relación con el asunto de la referencia, en los términos previstos en el artículo 26 del Código Civil, Ley 1755 de 2015, así como en el artículo 6</w:t>
      </w:r>
      <w:r w:rsidRPr="00F346A7">
        <w:rPr>
          <w:rFonts w:ascii="Verdana" w:hAnsi="Verdana"/>
          <w:sz w:val="22"/>
          <w:szCs w:val="22"/>
          <w:vertAlign w:val="superscript"/>
        </w:rPr>
        <w:t>o</w:t>
      </w:r>
      <w:r w:rsidRPr="00F346A7">
        <w:rPr>
          <w:rFonts w:ascii="Verdana" w:hAnsi="Verdana"/>
          <w:sz w:val="22"/>
          <w:szCs w:val="22"/>
        </w:rPr>
        <w:t>, numeral 4</w:t>
      </w:r>
      <w:r w:rsidRPr="00F346A7">
        <w:rPr>
          <w:rFonts w:ascii="Verdana" w:hAnsi="Verdana"/>
          <w:sz w:val="22"/>
          <w:szCs w:val="22"/>
          <w:vertAlign w:val="superscript"/>
        </w:rPr>
        <w:t>o</w:t>
      </w:r>
      <w:r w:rsidRPr="00F346A7">
        <w:rPr>
          <w:rFonts w:ascii="Verdana" w:hAnsi="Verdana"/>
          <w:sz w:val="22"/>
          <w:szCs w:val="22"/>
        </w:rPr>
        <w:t>, del Decreto 987 de 2012, se responde la solicitud de concepto definitivo sobre el caso en cuestión, en los términos que siguen:</w:t>
      </w:r>
    </w:p>
    <w:p w14:paraId="6E9C1B90" w14:textId="77777777" w:rsidR="00F346A7" w:rsidRPr="00F346A7" w:rsidRDefault="00F346A7" w:rsidP="00F346A7">
      <w:pPr>
        <w:jc w:val="both"/>
        <w:rPr>
          <w:rFonts w:ascii="Verdana" w:hAnsi="Verdana"/>
          <w:sz w:val="22"/>
          <w:szCs w:val="22"/>
        </w:rPr>
      </w:pPr>
      <w:r w:rsidRPr="00F346A7">
        <w:rPr>
          <w:rFonts w:ascii="Verdana" w:hAnsi="Verdana"/>
          <w:b/>
          <w:bCs/>
          <w:sz w:val="22"/>
          <w:szCs w:val="22"/>
        </w:rPr>
        <w:t>1. PROBLEMA JURÍDICO</w:t>
      </w:r>
    </w:p>
    <w:p w14:paraId="75DA5414" w14:textId="77777777" w:rsidR="00F346A7" w:rsidRPr="00F346A7" w:rsidRDefault="00F346A7" w:rsidP="00F346A7">
      <w:pPr>
        <w:jc w:val="both"/>
        <w:rPr>
          <w:rFonts w:ascii="Verdana" w:hAnsi="Verdana"/>
          <w:sz w:val="22"/>
          <w:szCs w:val="22"/>
        </w:rPr>
      </w:pPr>
      <w:r w:rsidRPr="00F346A7">
        <w:rPr>
          <w:rFonts w:ascii="Verdana" w:hAnsi="Verdana"/>
          <w:i/>
          <w:iCs/>
          <w:sz w:val="22"/>
          <w:szCs w:val="22"/>
        </w:rPr>
        <w:t>¿Desde qué momento se cuenta el término para fallar el proceso administrativo de restablecimiento de derechos?</w:t>
      </w:r>
    </w:p>
    <w:p w14:paraId="53D86B57" w14:textId="77777777" w:rsidR="00F346A7" w:rsidRPr="00F346A7" w:rsidRDefault="00F346A7" w:rsidP="00F346A7">
      <w:pPr>
        <w:jc w:val="both"/>
        <w:rPr>
          <w:rFonts w:ascii="Verdana" w:hAnsi="Verdana"/>
          <w:sz w:val="22"/>
          <w:szCs w:val="22"/>
        </w:rPr>
      </w:pPr>
      <w:r w:rsidRPr="00F346A7">
        <w:rPr>
          <w:rFonts w:ascii="Verdana" w:hAnsi="Verdana"/>
          <w:b/>
          <w:bCs/>
          <w:sz w:val="22"/>
          <w:szCs w:val="22"/>
        </w:rPr>
        <w:t>2. ANÁLISIS DEL PROBLEMA JURIDICO</w:t>
      </w:r>
    </w:p>
    <w:p w14:paraId="309ACDFC" w14:textId="77777777" w:rsidR="00F346A7" w:rsidRPr="00F346A7" w:rsidRDefault="00F346A7" w:rsidP="00F346A7">
      <w:pPr>
        <w:jc w:val="both"/>
        <w:rPr>
          <w:rFonts w:ascii="Verdana" w:hAnsi="Verdana"/>
          <w:sz w:val="22"/>
          <w:szCs w:val="22"/>
        </w:rPr>
      </w:pPr>
      <w:r w:rsidRPr="00F346A7">
        <w:rPr>
          <w:rFonts w:ascii="Verdana" w:hAnsi="Verdana"/>
          <w:sz w:val="22"/>
          <w:szCs w:val="22"/>
        </w:rPr>
        <w:t>Se abordara el tema analizando 2.1. El Proceso Administrativo de Restablecimiento de Derechos, 2.2. Los términos para resolver el Proceso Administrativo de Restablecimiento de Derechos.</w:t>
      </w:r>
    </w:p>
    <w:p w14:paraId="3DDD0D2C" w14:textId="77777777" w:rsidR="00F346A7" w:rsidRPr="00F346A7" w:rsidRDefault="00F346A7" w:rsidP="00F346A7">
      <w:pPr>
        <w:jc w:val="both"/>
        <w:rPr>
          <w:rFonts w:ascii="Verdana" w:hAnsi="Verdana"/>
          <w:sz w:val="22"/>
          <w:szCs w:val="22"/>
        </w:rPr>
      </w:pPr>
      <w:r w:rsidRPr="00F346A7">
        <w:rPr>
          <w:rFonts w:ascii="Verdana" w:hAnsi="Verdana"/>
          <w:b/>
          <w:bCs/>
          <w:sz w:val="22"/>
          <w:szCs w:val="22"/>
          <w:u w:val="single"/>
        </w:rPr>
        <w:t>2.1. El Proceso Administrativo de Restablecimiento de Derechos</w:t>
      </w:r>
    </w:p>
    <w:p w14:paraId="644F158B" w14:textId="43B7C2E6" w:rsidR="00F346A7" w:rsidRPr="00F346A7" w:rsidRDefault="00F346A7" w:rsidP="00F346A7">
      <w:pPr>
        <w:jc w:val="both"/>
        <w:rPr>
          <w:rFonts w:ascii="Verdana" w:hAnsi="Verdana"/>
          <w:sz w:val="22"/>
          <w:szCs w:val="22"/>
        </w:rPr>
      </w:pPr>
      <w:r w:rsidRPr="00F346A7">
        <w:rPr>
          <w:rFonts w:ascii="Verdana" w:hAnsi="Verdana"/>
          <w:sz w:val="22"/>
          <w:szCs w:val="22"/>
        </w:rPr>
        <w:t>Iniciamos éste estudio precisando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w:t>
      </w:r>
    </w:p>
    <w:p w14:paraId="48FA570D" w14:textId="77777777" w:rsidR="00F346A7" w:rsidRPr="00F346A7" w:rsidRDefault="00F346A7" w:rsidP="00F346A7">
      <w:pPr>
        <w:jc w:val="both"/>
        <w:rPr>
          <w:rFonts w:ascii="Verdana" w:hAnsi="Verdana"/>
          <w:sz w:val="22"/>
          <w:szCs w:val="22"/>
        </w:rPr>
      </w:pPr>
      <w:r w:rsidRPr="00F346A7">
        <w:rPr>
          <w:rFonts w:ascii="Verdana" w:hAnsi="Verdana"/>
          <w:sz w:val="22"/>
          <w:szCs w:val="22"/>
        </w:rPr>
        <w:t>La Corte Constitucional </w:t>
      </w:r>
      <w:r w:rsidRPr="00F346A7">
        <w:rPr>
          <w:rFonts w:ascii="Verdana" w:hAnsi="Verdana"/>
          <w:sz w:val="22"/>
          <w:szCs w:val="22"/>
          <w:vertAlign w:val="superscript"/>
        </w:rPr>
        <w:t>[1]</w:t>
      </w:r>
      <w:r w:rsidRPr="00F346A7">
        <w:rPr>
          <w:rFonts w:ascii="Verdana" w:hAnsi="Verdana"/>
          <w:sz w:val="22"/>
          <w:szCs w:val="22"/>
        </w:rPr>
        <w:t> ha dicho que: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46EA7A98" w14:textId="3D952BC2" w:rsidR="00F346A7" w:rsidRPr="00F346A7" w:rsidRDefault="00F346A7" w:rsidP="00F346A7">
      <w:pPr>
        <w:jc w:val="both"/>
        <w:rPr>
          <w:rFonts w:ascii="Verdana" w:hAnsi="Verdana"/>
          <w:sz w:val="22"/>
          <w:szCs w:val="22"/>
        </w:rPr>
      </w:pPr>
      <w:r w:rsidRPr="00F346A7">
        <w:rPr>
          <w:rFonts w:ascii="Verdana" w:hAnsi="Verdana"/>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2C6DF023" w14:textId="77777777" w:rsidR="00F346A7" w:rsidRPr="00F346A7" w:rsidRDefault="00F346A7" w:rsidP="00F346A7">
      <w:pPr>
        <w:jc w:val="both"/>
        <w:rPr>
          <w:rFonts w:ascii="Verdana" w:hAnsi="Verdana"/>
          <w:sz w:val="22"/>
          <w:szCs w:val="22"/>
        </w:rPr>
      </w:pPr>
      <w:r w:rsidRPr="00F346A7">
        <w:rPr>
          <w:rFonts w:ascii="Verdana" w:hAnsi="Verdana"/>
          <w:sz w:val="22"/>
          <w:szCs w:val="22"/>
        </w:rPr>
        <w:lastRenderedPageBreak/>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r w:rsidRPr="00F346A7">
        <w:rPr>
          <w:rFonts w:ascii="Verdana" w:hAnsi="Verdana"/>
          <w:sz w:val="22"/>
          <w:szCs w:val="22"/>
          <w:vertAlign w:val="superscript"/>
        </w:rPr>
        <w:t>[2]</w:t>
      </w:r>
    </w:p>
    <w:p w14:paraId="10A23D2B" w14:textId="77777777" w:rsidR="00F346A7" w:rsidRPr="00F346A7" w:rsidRDefault="00F346A7" w:rsidP="00F346A7">
      <w:pPr>
        <w:jc w:val="both"/>
        <w:rPr>
          <w:rFonts w:ascii="Verdana" w:hAnsi="Verdana"/>
          <w:sz w:val="22"/>
          <w:szCs w:val="22"/>
        </w:rPr>
      </w:pPr>
      <w:r w:rsidRPr="00F346A7">
        <w:rPr>
          <w:rFonts w:ascii="Verdana" w:hAnsi="Verdana"/>
          <w:b/>
          <w:bCs/>
          <w:sz w:val="22"/>
          <w:szCs w:val="22"/>
          <w:u w:val="single"/>
        </w:rPr>
        <w:t>2.2. Los términos para resolver el Proceso Administrativo de Restablecimiento de Derechos</w:t>
      </w:r>
    </w:p>
    <w:p w14:paraId="3B1154EA" w14:textId="4AB163D3" w:rsidR="00F346A7" w:rsidRPr="00F346A7" w:rsidRDefault="00F346A7" w:rsidP="00F346A7">
      <w:pPr>
        <w:jc w:val="both"/>
        <w:rPr>
          <w:rFonts w:ascii="Verdana" w:hAnsi="Verdana"/>
          <w:sz w:val="22"/>
          <w:szCs w:val="22"/>
        </w:rPr>
      </w:pPr>
      <w:r w:rsidRPr="00F346A7">
        <w:rPr>
          <w:rFonts w:ascii="Verdana" w:hAnsi="Verdana"/>
          <w:sz w:val="22"/>
          <w:szCs w:val="22"/>
        </w:rPr>
        <w:t>La Ley 1098 de 2006, establece normas sustantivas y procesales para la protección integral de los niños, las niñas, y los adolescentes, incluye las acciones, competencias y procedimientos necesarios para que las autoridades administrativas facultadas por la Ley, restablezcan a los niños, las niñas y los adolescentes el ejercicio pleno y efectivo de sus derechos, estas normas son de orden público, de carácter irrenunciable y cuyos principios y reglas consagrados se aplicaran de preferencia a las disposiciones contenidas en otras leyes.</w:t>
      </w:r>
    </w:p>
    <w:p w14:paraId="22F37AFD" w14:textId="50FE138A" w:rsidR="00F346A7" w:rsidRPr="00F346A7" w:rsidRDefault="00F346A7" w:rsidP="00F346A7">
      <w:pPr>
        <w:jc w:val="both"/>
        <w:rPr>
          <w:rFonts w:ascii="Verdana" w:hAnsi="Verdana"/>
          <w:sz w:val="22"/>
          <w:szCs w:val="22"/>
        </w:rPr>
      </w:pPr>
      <w:r w:rsidRPr="00F346A7">
        <w:rPr>
          <w:rFonts w:ascii="Verdana" w:hAnsi="Verdana"/>
          <w:sz w:val="22"/>
          <w:szCs w:val="22"/>
        </w:rPr>
        <w:t>Esta Ley señala en el parágrafo 2 del artículo 100 que la actuación administrativa a favor de un niño, niña o adolescente deberá resolverse dentro de los cuatro meses siguientes a la fecha de la presentación de la solicitud o a la apertura oficiosa de la investigación y que el recurso de reposición que se presente contra el respectivo fallo deberá ser resuelto dentro de los diez (10) días siguientes al vencimiento del término para interponerlo.</w:t>
      </w:r>
    </w:p>
    <w:p w14:paraId="71C1F78D" w14:textId="77777777" w:rsidR="00F346A7" w:rsidRPr="00F346A7" w:rsidRDefault="00F346A7" w:rsidP="00F346A7">
      <w:pPr>
        <w:jc w:val="both"/>
        <w:rPr>
          <w:rFonts w:ascii="Verdana" w:hAnsi="Verdana"/>
          <w:sz w:val="22"/>
          <w:szCs w:val="22"/>
        </w:rPr>
      </w:pPr>
      <w:r w:rsidRPr="00F346A7">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3942CC8A" w14:textId="77777777" w:rsidR="00F346A7" w:rsidRPr="00F346A7" w:rsidRDefault="00F346A7" w:rsidP="00F346A7">
      <w:pPr>
        <w:jc w:val="both"/>
        <w:rPr>
          <w:rFonts w:ascii="Verdana" w:hAnsi="Verdana"/>
          <w:sz w:val="22"/>
          <w:szCs w:val="22"/>
        </w:rPr>
      </w:pPr>
      <w:r w:rsidRPr="00F346A7">
        <w:rPr>
          <w:rFonts w:ascii="Verdana" w:hAnsi="Verdana"/>
          <w:sz w:val="22"/>
          <w:szCs w:val="22"/>
        </w:rPr>
        <w:t>Excepcionalmente y por solicitud razonada del Defensor o Comisario de Familia, el Director Regional podrá ampliar el término para fallar la actuación administrativa hasta por dos (2) meses más, contados a partir del vencimiento de los cuatro iniciales, sin que exista en ningún caso nueva prórroga.</w:t>
      </w:r>
    </w:p>
    <w:p w14:paraId="52ADAEC3" w14:textId="0B5DC674" w:rsidR="00F346A7" w:rsidRPr="00F346A7" w:rsidRDefault="00F346A7" w:rsidP="00F346A7">
      <w:pPr>
        <w:jc w:val="both"/>
        <w:rPr>
          <w:rFonts w:ascii="Verdana" w:hAnsi="Verdana"/>
          <w:sz w:val="22"/>
          <w:szCs w:val="22"/>
        </w:rPr>
      </w:pPr>
      <w:r w:rsidRPr="00F346A7">
        <w:rPr>
          <w:rFonts w:ascii="Verdana" w:hAnsi="Verdana"/>
          <w:sz w:val="22"/>
          <w:szCs w:val="22"/>
        </w:rPr>
        <w:t>Por lo anterior, es clara la Ley 1098 de 2006 al señalar que el término de los cuatro meses establecidos se contabiliza desde la presentación de la solicitud, si es a petición de parte o desde la apertura oficiosa de la investigación.</w:t>
      </w:r>
    </w:p>
    <w:p w14:paraId="6C164681" w14:textId="20F8EB63" w:rsidR="00F346A7" w:rsidRPr="00F346A7" w:rsidRDefault="00F346A7" w:rsidP="00F346A7">
      <w:pPr>
        <w:jc w:val="both"/>
        <w:rPr>
          <w:rFonts w:ascii="Verdana" w:hAnsi="Verdana"/>
          <w:sz w:val="22"/>
          <w:szCs w:val="22"/>
        </w:rPr>
      </w:pPr>
      <w:r w:rsidRPr="00F346A7">
        <w:rPr>
          <w:rFonts w:ascii="Verdana" w:hAnsi="Verdana"/>
          <w:sz w:val="22"/>
          <w:szCs w:val="22"/>
        </w:rPr>
        <w:t>Bajo esa misma tesis debe tenerse cuenta el análisis realizado por la H Corte Constitucional, en sentencia C - 228 de 2008 </w:t>
      </w:r>
      <w:r w:rsidRPr="00F346A7">
        <w:rPr>
          <w:rFonts w:ascii="Verdana" w:hAnsi="Verdana"/>
          <w:sz w:val="22"/>
          <w:szCs w:val="22"/>
          <w:vertAlign w:val="superscript"/>
        </w:rPr>
        <w:t>[3]</w:t>
      </w:r>
      <w:r w:rsidRPr="00F346A7">
        <w:rPr>
          <w:rFonts w:ascii="Verdana" w:hAnsi="Verdana"/>
          <w:sz w:val="22"/>
          <w:szCs w:val="22"/>
        </w:rPr>
        <w:t> al señalar:</w:t>
      </w:r>
    </w:p>
    <w:p w14:paraId="2D9BB0A2" w14:textId="77777777" w:rsidR="00F346A7" w:rsidRPr="00F346A7" w:rsidRDefault="00F346A7" w:rsidP="00F346A7">
      <w:pPr>
        <w:jc w:val="both"/>
        <w:rPr>
          <w:rFonts w:ascii="Verdana" w:hAnsi="Verdana"/>
          <w:sz w:val="22"/>
          <w:szCs w:val="22"/>
        </w:rPr>
      </w:pPr>
      <w:r w:rsidRPr="00F346A7">
        <w:rPr>
          <w:rFonts w:ascii="Verdana" w:hAnsi="Verdana"/>
          <w:i/>
          <w:iCs/>
          <w:sz w:val="22"/>
          <w:szCs w:val="22"/>
        </w:rPr>
        <w:lastRenderedPageBreak/>
        <w:t>El aparte demandado estatuye que la actuación administrativa deberá resolverse dentro de los cuatro (4) meses siguientes a la fecha de la presentación de la solicitud o a la apertura oficiosa de-la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inmediatamente el expediente a Juez de Familia para que, de oficio, adelante la actuación o el proceso respectivo.</w:t>
      </w:r>
    </w:p>
    <w:p w14:paraId="48D414BD" w14:textId="35D8996D" w:rsidR="00F346A7" w:rsidRPr="00F346A7" w:rsidRDefault="00F346A7" w:rsidP="00F346A7">
      <w:pPr>
        <w:jc w:val="both"/>
        <w:rPr>
          <w:rFonts w:ascii="Verdana" w:hAnsi="Verdana"/>
          <w:sz w:val="22"/>
          <w:szCs w:val="22"/>
        </w:rPr>
      </w:pPr>
      <w:r w:rsidRPr="00F346A7">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0B2C60FE" w14:textId="77777777" w:rsidR="00F346A7" w:rsidRPr="00F346A7" w:rsidRDefault="00F346A7" w:rsidP="00F346A7">
      <w:pPr>
        <w:jc w:val="both"/>
        <w:rPr>
          <w:rFonts w:ascii="Verdana" w:hAnsi="Verdana"/>
          <w:sz w:val="22"/>
          <w:szCs w:val="22"/>
        </w:rPr>
      </w:pPr>
      <w:r w:rsidRPr="00F346A7">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4091AAF1" w14:textId="77777777" w:rsidR="00F346A7" w:rsidRPr="00F346A7" w:rsidRDefault="00F346A7" w:rsidP="00F346A7">
      <w:pPr>
        <w:jc w:val="both"/>
        <w:rPr>
          <w:rFonts w:ascii="Verdana" w:hAnsi="Verdana"/>
          <w:sz w:val="22"/>
          <w:szCs w:val="22"/>
        </w:rPr>
      </w:pPr>
      <w:r w:rsidRPr="00F346A7">
        <w:rPr>
          <w:rFonts w:ascii="Verdana" w:hAnsi="Verdana"/>
          <w:i/>
          <w:iCs/>
          <w:sz w:val="22"/>
          <w:szCs w:val="22"/>
        </w:rPr>
        <w:t>En el mismo sentido, también es razonable que sí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2F57C202" w14:textId="48BA5844" w:rsidR="00F346A7" w:rsidRPr="00F346A7" w:rsidRDefault="00F346A7" w:rsidP="00F346A7">
      <w:pPr>
        <w:jc w:val="both"/>
        <w:rPr>
          <w:rFonts w:ascii="Verdana" w:hAnsi="Verdana"/>
          <w:sz w:val="22"/>
          <w:szCs w:val="22"/>
        </w:rPr>
      </w:pPr>
      <w:r w:rsidRPr="00F346A7">
        <w:rPr>
          <w:rFonts w:ascii="Verdana" w:hAnsi="Verdana"/>
          <w:i/>
          <w:iCs/>
          <w:sz w:val="22"/>
          <w:szCs w:val="22"/>
        </w:rPr>
        <w:t>Por consiguiente, dicha expresión no vulnera el derecho de defensa consagrado en el Art. 29 de la Constitución y será declarada exequible, por el cargo planteado.</w:t>
      </w:r>
    </w:p>
    <w:p w14:paraId="54BA9420" w14:textId="77777777" w:rsidR="00F346A7" w:rsidRPr="00F346A7" w:rsidRDefault="00F346A7" w:rsidP="00F346A7">
      <w:pPr>
        <w:jc w:val="both"/>
        <w:rPr>
          <w:rFonts w:ascii="Verdana" w:hAnsi="Verdana"/>
          <w:sz w:val="22"/>
          <w:szCs w:val="22"/>
        </w:rPr>
      </w:pPr>
      <w:r w:rsidRPr="00F346A7">
        <w:rPr>
          <w:rFonts w:ascii="Verdana" w:hAnsi="Verdana"/>
          <w:sz w:val="22"/>
          <w:szCs w:val="22"/>
        </w:rPr>
        <w:t>En atención al principio normativo esencial de eficiencia y utilidad para garantizar a cabalidad la protección integral de los intereses y garantías de los niños, niñas y adolescentes, la Ley no dio excepciones de ningún tipo.</w:t>
      </w:r>
    </w:p>
    <w:p w14:paraId="14D181D2" w14:textId="37FD1115" w:rsidR="00F346A7" w:rsidRPr="00F346A7" w:rsidRDefault="00F346A7" w:rsidP="00F346A7">
      <w:pPr>
        <w:jc w:val="both"/>
        <w:rPr>
          <w:rFonts w:ascii="Verdana" w:hAnsi="Verdana"/>
          <w:sz w:val="22"/>
          <w:szCs w:val="22"/>
        </w:rPr>
      </w:pPr>
      <w:r w:rsidRPr="00F346A7">
        <w:rPr>
          <w:rFonts w:ascii="Verdana" w:hAnsi="Verdana"/>
          <w:sz w:val="22"/>
          <w:szCs w:val="22"/>
        </w:rPr>
        <w:t>Asimismo, tenemos que el Lineamiento Técnico Administrativo de Ruta de Actuaciones para el Restablecimiento de Derechos de Niños, Niñas y Adolescentes con sus Derechos Inobservados, Amenazados o Vulnerados, aprobado mediante Resolución No. 1526 de 23 de febrero de 2016 y Modificado mediante Resolución No. 7547 de julio 29 de 2016, establece:</w:t>
      </w:r>
    </w:p>
    <w:p w14:paraId="446E01DF" w14:textId="77777777" w:rsidR="00F346A7" w:rsidRPr="00F346A7" w:rsidRDefault="00F346A7" w:rsidP="00F346A7">
      <w:pPr>
        <w:jc w:val="both"/>
        <w:rPr>
          <w:rFonts w:ascii="Verdana" w:hAnsi="Verdana"/>
          <w:sz w:val="22"/>
          <w:szCs w:val="22"/>
        </w:rPr>
      </w:pPr>
      <w:r w:rsidRPr="00F346A7">
        <w:rPr>
          <w:rFonts w:ascii="Verdana" w:hAnsi="Verdana"/>
          <w:i/>
          <w:iCs/>
          <w:sz w:val="22"/>
          <w:szCs w:val="22"/>
        </w:rPr>
        <w:lastRenderedPageBreak/>
        <w:t>Término de la Actuación Administrativa 48:</w:t>
      </w:r>
      <w:r w:rsidRPr="00F346A7">
        <w:rPr>
          <w:rFonts w:ascii="Verdana" w:hAnsi="Verdana"/>
          <w:i/>
          <w:iCs/>
          <w:sz w:val="22"/>
          <w:szCs w:val="22"/>
          <w:vertAlign w:val="superscript"/>
        </w:rPr>
        <w:t>[4]</w:t>
      </w:r>
      <w:r w:rsidRPr="00F346A7">
        <w:rPr>
          <w:rFonts w:ascii="Verdana" w:hAnsi="Verdana"/>
          <w:i/>
          <w:iCs/>
          <w:sz w:val="22"/>
          <w:szCs w:val="22"/>
        </w:rPr>
        <w:t> La actuación administrativa deberá resolverse dentro de los cuatro (4) meses siguientes a:.</w:t>
      </w:r>
    </w:p>
    <w:p w14:paraId="4B4AA4C6" w14:textId="77777777" w:rsidR="00F346A7" w:rsidRPr="00F346A7" w:rsidRDefault="00F346A7" w:rsidP="00F346A7">
      <w:pPr>
        <w:jc w:val="both"/>
        <w:rPr>
          <w:rFonts w:ascii="Verdana" w:hAnsi="Verdana"/>
          <w:sz w:val="22"/>
          <w:szCs w:val="22"/>
        </w:rPr>
      </w:pPr>
      <w:r w:rsidRPr="00F346A7">
        <w:rPr>
          <w:rFonts w:ascii="Verdana" w:hAnsi="Verdana"/>
          <w:i/>
          <w:iCs/>
          <w:sz w:val="22"/>
          <w:szCs w:val="22"/>
        </w:rPr>
        <w:t>--La fecha de presentación de la solicitud o</w:t>
      </w:r>
    </w:p>
    <w:p w14:paraId="09A014D4" w14:textId="77777777" w:rsidR="00F346A7" w:rsidRPr="00F346A7" w:rsidRDefault="00F346A7" w:rsidP="00F346A7">
      <w:pPr>
        <w:jc w:val="both"/>
        <w:rPr>
          <w:rFonts w:ascii="Verdana" w:hAnsi="Verdana"/>
          <w:sz w:val="22"/>
          <w:szCs w:val="22"/>
        </w:rPr>
      </w:pPr>
      <w:r w:rsidRPr="00F346A7">
        <w:rPr>
          <w:rFonts w:ascii="Verdana" w:hAnsi="Verdana"/>
          <w:i/>
          <w:iCs/>
          <w:sz w:val="22"/>
          <w:szCs w:val="22"/>
        </w:rPr>
        <w:t>--A la apertura oficiosa de la investigación </w:t>
      </w:r>
      <w:r w:rsidRPr="00F346A7">
        <w:rPr>
          <w:rFonts w:ascii="Verdana" w:hAnsi="Verdana"/>
          <w:sz w:val="22"/>
          <w:szCs w:val="22"/>
        </w:rPr>
        <w:t>49.</w:t>
      </w:r>
      <w:r w:rsidRPr="00F346A7">
        <w:rPr>
          <w:rFonts w:ascii="Verdana" w:hAnsi="Verdana"/>
          <w:i/>
          <w:iCs/>
          <w:sz w:val="22"/>
          <w:szCs w:val="22"/>
          <w:vertAlign w:val="superscript"/>
        </w:rPr>
        <w:t>[</w:t>
      </w:r>
      <w:r w:rsidRPr="00F346A7">
        <w:rPr>
          <w:rFonts w:ascii="Verdana" w:hAnsi="Verdana"/>
          <w:sz w:val="22"/>
          <w:szCs w:val="22"/>
        </w:rPr>
        <w:t>5]</w:t>
      </w:r>
    </w:p>
    <w:p w14:paraId="5D4BB4C6" w14:textId="77777777" w:rsidR="00F346A7" w:rsidRPr="00F346A7" w:rsidRDefault="00F346A7" w:rsidP="00F346A7">
      <w:pPr>
        <w:jc w:val="both"/>
        <w:rPr>
          <w:rFonts w:ascii="Verdana" w:hAnsi="Verdana"/>
          <w:sz w:val="22"/>
          <w:szCs w:val="22"/>
        </w:rPr>
      </w:pPr>
      <w:r w:rsidRPr="00F346A7">
        <w:rPr>
          <w:rFonts w:ascii="Verdana" w:hAnsi="Verdana"/>
          <w:i/>
          <w:iCs/>
          <w:sz w:val="22"/>
          <w:szCs w:val="22"/>
        </w:rPr>
        <w:t>Excepcionalmente, se podrá ampliar el término para fallar hasta por dos (2) meses más, contados a partir del vencimiento de los cuatro (4) meses iniciales, sin que sea posible en ningún caso una nueva prórroga. El término para fallar podrá ampliarse por autorización del Director Regional, siempre que medie una solicitud razonada proveniente de la Autoridad Administrativa, con el fin de que sea realizado el análisis correspondiente de la situación que se presenta por parte del Director Regional, y a efectos de determinar la procedencia o no de la ampliación del término para fallar. (...)”</w:t>
      </w:r>
    </w:p>
    <w:p w14:paraId="3C62ECC4" w14:textId="77777777" w:rsidR="00F346A7" w:rsidRPr="00F346A7" w:rsidRDefault="00F346A7" w:rsidP="00F346A7">
      <w:pPr>
        <w:jc w:val="both"/>
        <w:rPr>
          <w:rFonts w:ascii="Verdana" w:hAnsi="Verdana"/>
          <w:sz w:val="22"/>
          <w:szCs w:val="22"/>
        </w:rPr>
      </w:pPr>
      <w:r w:rsidRPr="00F346A7">
        <w:rPr>
          <w:rFonts w:ascii="Verdana" w:hAnsi="Verdana"/>
          <w:sz w:val="22"/>
          <w:szCs w:val="22"/>
        </w:rPr>
        <w:t>Quiere decir, que existen preceptos legales y jurisprudenciales que determinan a partir de qué momento procesal empiezan a correr los términos para que. la autoridad administrativa resuelva la actuación administrativa dentro del proceso administrativo de restablecimiento de derechos.</w:t>
      </w:r>
    </w:p>
    <w:p w14:paraId="3A21F711" w14:textId="54972933" w:rsidR="00F346A7" w:rsidRPr="00F346A7" w:rsidRDefault="00F346A7" w:rsidP="00F346A7">
      <w:pPr>
        <w:jc w:val="both"/>
        <w:rPr>
          <w:rFonts w:ascii="Verdana" w:hAnsi="Verdana"/>
          <w:sz w:val="22"/>
          <w:szCs w:val="22"/>
        </w:rPr>
      </w:pPr>
      <w:r w:rsidRPr="00F346A7">
        <w:rPr>
          <w:rFonts w:ascii="Verdana" w:hAnsi="Verdana"/>
          <w:sz w:val="22"/>
          <w:szCs w:val="22"/>
        </w:rPr>
        <w:t>De acuerdo con lo anterior, los conceptos de la Oficina Asesora Jurídica han aplicado de manera reiterada y consistente, lo señalado en la ley y la jurisprudencia al indicar que existe una sola forma de interpretar la norma del artículo 100 respecto a que el término de los cuatro meses para resolver el PARD el cual empieza desde la presentación de la solicitud, si es a petición de parte o desde la apertura oficiosa de la investigación,</w:t>
      </w:r>
      <w:r w:rsidRPr="00F346A7">
        <w:rPr>
          <w:rFonts w:ascii="Verdana" w:hAnsi="Verdana"/>
          <w:sz w:val="22"/>
          <w:szCs w:val="22"/>
          <w:vertAlign w:val="superscript"/>
        </w:rPr>
        <w:t>[6]</w:t>
      </w:r>
      <w:r w:rsidRPr="00F346A7">
        <w:rPr>
          <w:rFonts w:ascii="Verdana" w:hAnsi="Verdana"/>
          <w:sz w:val="22"/>
          <w:szCs w:val="22"/>
        </w:rPr>
        <w:t> atendiendo lo establecido en el artículo 27 del Código Civil,</w:t>
      </w:r>
      <w:r w:rsidRPr="00F346A7">
        <w:rPr>
          <w:rFonts w:ascii="Verdana" w:hAnsi="Verdana"/>
          <w:sz w:val="22"/>
          <w:szCs w:val="22"/>
          <w:vertAlign w:val="superscript"/>
        </w:rPr>
        <w:t>[7]</w:t>
      </w:r>
      <w:r w:rsidRPr="00F346A7">
        <w:rPr>
          <w:rFonts w:ascii="Verdana" w:hAnsi="Verdana"/>
          <w:sz w:val="22"/>
          <w:szCs w:val="22"/>
        </w:rPr>
        <w:t> de atender el sentido literal de la ley cuando el precepto sea claro, el principio general de interpretación según el cual cuando la norma no haga distinción no le es dable al interprete hacerla, y el de prevalencia en la interpretación de la norma más favorable al niño, establecido en el Código de Infancia, los cuales son aplicables al presente caso, dado que la norma es clara y no permite una interpretación diferente que resultaría en todos los casos perjudicial a los intereses de los niños, niñas y adolescentes.</w:t>
      </w:r>
    </w:p>
    <w:p w14:paraId="4410152D" w14:textId="77777777" w:rsidR="00F346A7" w:rsidRPr="00F346A7" w:rsidRDefault="00F346A7" w:rsidP="00F346A7">
      <w:pPr>
        <w:jc w:val="both"/>
        <w:rPr>
          <w:rFonts w:ascii="Verdana" w:hAnsi="Verdana"/>
          <w:sz w:val="22"/>
          <w:szCs w:val="22"/>
        </w:rPr>
      </w:pPr>
      <w:r w:rsidRPr="00F346A7">
        <w:rPr>
          <w:rFonts w:ascii="Verdana" w:hAnsi="Verdana"/>
          <w:b/>
          <w:bCs/>
          <w:sz w:val="22"/>
          <w:szCs w:val="22"/>
        </w:rPr>
        <w:t>3. CONCLUSIÓN</w:t>
      </w:r>
    </w:p>
    <w:p w14:paraId="38093C8F" w14:textId="77777777" w:rsidR="00F346A7" w:rsidRPr="00F346A7" w:rsidRDefault="00F346A7" w:rsidP="00F346A7">
      <w:pPr>
        <w:jc w:val="both"/>
        <w:rPr>
          <w:rFonts w:ascii="Verdana" w:hAnsi="Verdana"/>
          <w:sz w:val="22"/>
          <w:szCs w:val="22"/>
        </w:rPr>
      </w:pPr>
      <w:r w:rsidRPr="00F346A7">
        <w:rPr>
          <w:rFonts w:ascii="Verdana" w:hAnsi="Verdana"/>
          <w:sz w:val="22"/>
          <w:szCs w:val="22"/>
        </w:rPr>
        <w:t>Teniendo en cuenta las consideraciones de orden legal analizadas, y de acuerdo a la información suministrada en la consulta, ésta Oficina Asesora Jurídica concluye que:</w:t>
      </w:r>
    </w:p>
    <w:p w14:paraId="5565124A" w14:textId="4BCC1AFE" w:rsidR="00F346A7" w:rsidRPr="00F346A7" w:rsidRDefault="00F346A7" w:rsidP="00F346A7">
      <w:pPr>
        <w:jc w:val="both"/>
        <w:rPr>
          <w:rFonts w:ascii="Verdana" w:hAnsi="Verdana"/>
          <w:sz w:val="22"/>
          <w:szCs w:val="22"/>
        </w:rPr>
      </w:pPr>
      <w:r w:rsidRPr="00F346A7">
        <w:rPr>
          <w:rFonts w:ascii="Verdana" w:hAnsi="Verdana"/>
          <w:sz w:val="22"/>
          <w:szCs w:val="22"/>
        </w:rPr>
        <w:t>El artículo 100 de la Ley 1098 de 2006, establece que el término para contabilizar los cuatro meses es desde la presentación de la solicitud, si es a petición de parte o desde la apertura oficiosa de la investigación.</w:t>
      </w:r>
    </w:p>
    <w:p w14:paraId="217B80A5" w14:textId="5549A786" w:rsidR="00F346A7" w:rsidRPr="00F346A7" w:rsidRDefault="00F346A7" w:rsidP="00F346A7">
      <w:pPr>
        <w:jc w:val="both"/>
        <w:rPr>
          <w:rFonts w:ascii="Verdana" w:hAnsi="Verdana"/>
          <w:sz w:val="22"/>
          <w:szCs w:val="22"/>
        </w:rPr>
      </w:pPr>
      <w:r w:rsidRPr="00F346A7">
        <w:rPr>
          <w:rFonts w:ascii="Verdana" w:hAnsi="Verdana"/>
          <w:sz w:val="22"/>
          <w:szCs w:val="22"/>
        </w:rPr>
        <w:lastRenderedPageBreak/>
        <w:t>Por último, es preciso indicar que el presente concepto</w:t>
      </w:r>
      <w:r w:rsidRPr="00F346A7">
        <w:rPr>
          <w:rFonts w:ascii="Verdana" w:hAnsi="Verdana"/>
          <w:sz w:val="22"/>
          <w:szCs w:val="22"/>
          <w:vertAlign w:val="superscript"/>
        </w:rPr>
        <w:t>[8]</w:t>
      </w:r>
      <w:r w:rsidRPr="00F346A7">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A02F2AA" w14:textId="77777777" w:rsidR="00F346A7" w:rsidRPr="00F346A7" w:rsidRDefault="00F346A7" w:rsidP="00F346A7">
      <w:pPr>
        <w:jc w:val="both"/>
        <w:rPr>
          <w:rFonts w:ascii="Verdana" w:hAnsi="Verdana"/>
          <w:sz w:val="22"/>
          <w:szCs w:val="22"/>
        </w:rPr>
      </w:pPr>
      <w:r w:rsidRPr="00F346A7">
        <w:rPr>
          <w:rFonts w:ascii="Verdana" w:hAnsi="Verdana"/>
          <w:sz w:val="22"/>
          <w:szCs w:val="22"/>
        </w:rPr>
        <w:t>Cordialmente,</w:t>
      </w:r>
    </w:p>
    <w:p w14:paraId="7E242A7D" w14:textId="77777777" w:rsidR="00F346A7" w:rsidRPr="00F346A7" w:rsidRDefault="00F346A7" w:rsidP="00F346A7">
      <w:pPr>
        <w:jc w:val="both"/>
        <w:rPr>
          <w:rFonts w:ascii="Verdana" w:hAnsi="Verdana"/>
          <w:sz w:val="22"/>
          <w:szCs w:val="22"/>
        </w:rPr>
      </w:pPr>
      <w:r w:rsidRPr="00F346A7">
        <w:rPr>
          <w:rFonts w:ascii="Verdana" w:hAnsi="Verdana"/>
          <w:b/>
          <w:bCs/>
          <w:sz w:val="22"/>
          <w:szCs w:val="22"/>
        </w:rPr>
        <w:t>LUZ KARIME FERNANDEZ CASTILLO</w:t>
      </w:r>
    </w:p>
    <w:p w14:paraId="4C7EE93B" w14:textId="77777777" w:rsidR="00F346A7" w:rsidRPr="00F346A7" w:rsidRDefault="00F346A7" w:rsidP="00F346A7">
      <w:pPr>
        <w:jc w:val="both"/>
        <w:rPr>
          <w:rFonts w:ascii="Verdana" w:hAnsi="Verdana"/>
          <w:sz w:val="22"/>
          <w:szCs w:val="22"/>
        </w:rPr>
      </w:pPr>
      <w:r w:rsidRPr="00F346A7">
        <w:rPr>
          <w:rFonts w:ascii="Verdana" w:hAnsi="Verdana"/>
          <w:sz w:val="22"/>
          <w:szCs w:val="22"/>
        </w:rPr>
        <w:t>Jefe Oficina Asesora Jurídica</w:t>
      </w:r>
    </w:p>
    <w:p w14:paraId="0EB8F15E" w14:textId="77777777" w:rsidR="00F346A7" w:rsidRDefault="00F346A7" w:rsidP="00F346A7">
      <w:pPr>
        <w:jc w:val="both"/>
        <w:rPr>
          <w:rFonts w:ascii="Verdana" w:hAnsi="Verdana"/>
          <w:sz w:val="22"/>
          <w:szCs w:val="22"/>
          <w:vertAlign w:val="superscript"/>
        </w:rPr>
      </w:pPr>
    </w:p>
    <w:p w14:paraId="54DB152D" w14:textId="3038E2E7" w:rsidR="00F346A7" w:rsidRPr="00F346A7" w:rsidRDefault="00F346A7" w:rsidP="00F346A7">
      <w:pPr>
        <w:jc w:val="both"/>
        <w:rPr>
          <w:rFonts w:ascii="Verdana" w:hAnsi="Verdana"/>
          <w:b/>
          <w:bCs/>
          <w:vertAlign w:val="superscript"/>
        </w:rPr>
      </w:pPr>
      <w:r w:rsidRPr="00F346A7">
        <w:rPr>
          <w:rFonts w:ascii="Verdana" w:hAnsi="Verdana"/>
          <w:b/>
          <w:bCs/>
          <w:vertAlign w:val="superscript"/>
        </w:rPr>
        <w:t>Notas pie de página:</w:t>
      </w:r>
    </w:p>
    <w:p w14:paraId="451BF3C1" w14:textId="68105007" w:rsidR="00F346A7" w:rsidRPr="00F346A7" w:rsidRDefault="00F346A7" w:rsidP="00F346A7">
      <w:pPr>
        <w:jc w:val="both"/>
        <w:rPr>
          <w:rFonts w:ascii="Verdana" w:hAnsi="Verdana"/>
          <w:sz w:val="22"/>
          <w:szCs w:val="22"/>
          <w:lang w:val="pt-PT"/>
        </w:rPr>
      </w:pPr>
      <w:r w:rsidRPr="00F346A7">
        <w:rPr>
          <w:rFonts w:ascii="Verdana" w:hAnsi="Verdana"/>
          <w:sz w:val="22"/>
          <w:szCs w:val="22"/>
          <w:vertAlign w:val="superscript"/>
          <w:lang w:val="pt-PT"/>
        </w:rPr>
        <w:t>1 </w:t>
      </w:r>
      <w:r w:rsidRPr="00F346A7">
        <w:rPr>
          <w:rFonts w:ascii="Verdana" w:hAnsi="Verdana"/>
          <w:sz w:val="22"/>
          <w:szCs w:val="22"/>
          <w:lang w:val="pt-PT"/>
        </w:rPr>
        <w:t>T-671 -10 M. P. Dr. Jorge Ignacio Pretelt Chaljub</w:t>
      </w:r>
    </w:p>
    <w:p w14:paraId="5C630A67" w14:textId="2283C0D5" w:rsidR="00F346A7" w:rsidRPr="00F346A7" w:rsidRDefault="00F346A7" w:rsidP="00F346A7">
      <w:pPr>
        <w:jc w:val="both"/>
        <w:rPr>
          <w:rFonts w:ascii="Verdana" w:hAnsi="Verdana"/>
          <w:sz w:val="22"/>
          <w:szCs w:val="22"/>
        </w:rPr>
      </w:pPr>
      <w:r w:rsidRPr="00F346A7">
        <w:rPr>
          <w:rFonts w:ascii="Verdana" w:hAnsi="Verdana"/>
          <w:sz w:val="22"/>
          <w:szCs w:val="22"/>
          <w:vertAlign w:val="superscript"/>
        </w:rPr>
        <w:t>2 </w:t>
      </w:r>
      <w:r w:rsidRPr="00F346A7">
        <w:rPr>
          <w:rFonts w:ascii="Verdana" w:hAnsi="Verdana"/>
          <w:sz w:val="22"/>
          <w:szCs w:val="22"/>
        </w:rPr>
        <w:t>Resolución No. 1526 de 2016, modificado mediante la Resolución No. 7547 de 2016.</w:t>
      </w:r>
    </w:p>
    <w:p w14:paraId="5E9302B5" w14:textId="77777777" w:rsidR="00F346A7" w:rsidRPr="00F346A7" w:rsidRDefault="00F346A7" w:rsidP="00F346A7">
      <w:pPr>
        <w:jc w:val="both"/>
        <w:rPr>
          <w:rFonts w:ascii="Verdana" w:hAnsi="Verdana"/>
          <w:sz w:val="22"/>
          <w:szCs w:val="22"/>
        </w:rPr>
      </w:pPr>
      <w:r w:rsidRPr="00F346A7">
        <w:rPr>
          <w:rFonts w:ascii="Verdana" w:hAnsi="Verdana"/>
          <w:sz w:val="22"/>
          <w:szCs w:val="22"/>
          <w:vertAlign w:val="superscript"/>
        </w:rPr>
        <w:t>3 </w:t>
      </w:r>
      <w:r w:rsidRPr="00F346A7">
        <w:rPr>
          <w:rFonts w:ascii="Verdana" w:hAnsi="Verdana"/>
          <w:sz w:val="22"/>
          <w:szCs w:val="22"/>
        </w:rPr>
        <w:t>M.P. Dr. Jaime Araujo Rentería</w:t>
      </w:r>
    </w:p>
    <w:p w14:paraId="48DBCC2B" w14:textId="24855ECD" w:rsidR="00F346A7" w:rsidRPr="00F346A7" w:rsidRDefault="00F346A7" w:rsidP="00F346A7">
      <w:pPr>
        <w:jc w:val="both"/>
        <w:rPr>
          <w:rFonts w:ascii="Verdana" w:hAnsi="Verdana"/>
          <w:sz w:val="22"/>
          <w:szCs w:val="22"/>
        </w:rPr>
      </w:pPr>
      <w:r w:rsidRPr="00F346A7">
        <w:rPr>
          <w:rFonts w:ascii="Verdana" w:hAnsi="Verdana"/>
          <w:sz w:val="22"/>
          <w:szCs w:val="22"/>
        </w:rPr>
        <w:t>4. Es importante precisar que de acuerdo a lo que establece el parágrafo segundo del artículo 100 de la Ley 1098 de 2006, dos son los extremos desde los que se empiezan a contar los cuatro o seis meses, para resolver la actuación administrativa, a saber: uno desde la solicitud: comprendida como la petición que se formula por cualquier canal de interacción de los ciudadanos (presencial, escrito, telefónico o virtual), en la que se pide restablecer los derechos de un niño, niña o adolescente y otro, desde la apertura oficiosa de la investigación del Proceso Administrativo de Restablecimiento de Derechos: entendida como la iniciación de dicho proceso,, cuando para ello no media solicitud de restablecimiento de derechos alguna, sino la iniciación del trámite por parte de la Autoridad Administrativa como garante de derechos, ante conocimiento directo que ha tenido la misma de la situación que afecta las prerrogativas fundamentales del menor de edad.</w:t>
      </w:r>
    </w:p>
    <w:p w14:paraId="33347579" w14:textId="696522F5" w:rsidR="00F346A7" w:rsidRPr="00F346A7" w:rsidRDefault="00F346A7" w:rsidP="00F346A7">
      <w:pPr>
        <w:jc w:val="both"/>
        <w:rPr>
          <w:rFonts w:ascii="Verdana" w:hAnsi="Verdana"/>
          <w:sz w:val="22"/>
          <w:szCs w:val="22"/>
        </w:rPr>
      </w:pPr>
      <w:r w:rsidRPr="00F346A7">
        <w:rPr>
          <w:rFonts w:ascii="Verdana" w:hAnsi="Verdana"/>
          <w:sz w:val="22"/>
          <w:szCs w:val="22"/>
          <w:vertAlign w:val="superscript"/>
        </w:rPr>
        <w:t>5 </w:t>
      </w:r>
      <w:r w:rsidRPr="00F346A7">
        <w:rPr>
          <w:rFonts w:ascii="Verdana" w:hAnsi="Verdana"/>
          <w:sz w:val="22"/>
          <w:szCs w:val="22"/>
        </w:rPr>
        <w:t>49. Corte Constitucional de Colombia. Sentencia T-557 dé 2011. M.P. María Victoria Calle Correa.</w:t>
      </w:r>
    </w:p>
    <w:p w14:paraId="7E8B735A" w14:textId="77777777" w:rsidR="00F346A7" w:rsidRPr="00F346A7" w:rsidRDefault="00F346A7" w:rsidP="00F346A7">
      <w:pPr>
        <w:jc w:val="both"/>
        <w:rPr>
          <w:rFonts w:ascii="Verdana" w:hAnsi="Verdana"/>
          <w:sz w:val="22"/>
          <w:szCs w:val="22"/>
        </w:rPr>
      </w:pPr>
      <w:r w:rsidRPr="00F346A7">
        <w:rPr>
          <w:rFonts w:ascii="Verdana" w:hAnsi="Verdana"/>
          <w:sz w:val="22"/>
          <w:szCs w:val="22"/>
          <w:vertAlign w:val="superscript"/>
        </w:rPr>
        <w:t>6 </w:t>
      </w:r>
      <w:r w:rsidRPr="00F346A7">
        <w:rPr>
          <w:rFonts w:ascii="Verdana" w:hAnsi="Verdana"/>
          <w:sz w:val="22"/>
          <w:szCs w:val="22"/>
        </w:rPr>
        <w:t xml:space="preserve">Entendida como la iniciación de dicho proceso, cuando para ello no media solicitud de restablecimiento de derechos alguna, sino la iniciación del trámite por parte de la Autoridad Administrativa como garante de derechos, ante </w:t>
      </w:r>
      <w:r w:rsidRPr="00F346A7">
        <w:rPr>
          <w:rFonts w:ascii="Verdana" w:hAnsi="Verdana"/>
          <w:sz w:val="22"/>
          <w:szCs w:val="22"/>
        </w:rPr>
        <w:lastRenderedPageBreak/>
        <w:t>conocimiento directo que ha tenido la misma de la situación que afecta las prerrogativas fundamentales del menor de edad.</w:t>
      </w:r>
    </w:p>
    <w:p w14:paraId="46D54014" w14:textId="317D52E0" w:rsidR="00F346A7" w:rsidRPr="00F346A7" w:rsidRDefault="00F346A7" w:rsidP="00F346A7">
      <w:pPr>
        <w:jc w:val="both"/>
        <w:rPr>
          <w:rFonts w:ascii="Verdana" w:hAnsi="Verdana"/>
          <w:sz w:val="22"/>
          <w:szCs w:val="22"/>
        </w:rPr>
      </w:pPr>
      <w:r w:rsidRPr="00F346A7">
        <w:rPr>
          <w:rFonts w:ascii="Verdana" w:hAnsi="Verdana"/>
          <w:sz w:val="22"/>
          <w:szCs w:val="22"/>
          <w:vertAlign w:val="superscript"/>
        </w:rPr>
        <w:t>7 </w:t>
      </w:r>
      <w:r w:rsidRPr="00F346A7">
        <w:rPr>
          <w:rFonts w:ascii="Verdana" w:hAnsi="Verdana"/>
          <w:sz w:val="22"/>
          <w:szCs w:val="22"/>
        </w:rPr>
        <w:t>Artículo 27. Interpretación gramatical. Cuando el sentido de la ley sea claro, no se desatenderá su tenor literal a pretexto de consultar su espíritu.</w:t>
      </w:r>
    </w:p>
    <w:p w14:paraId="7E0806D2" w14:textId="3A4E47ED" w:rsidR="00F346A7" w:rsidRPr="00F346A7" w:rsidRDefault="00F346A7" w:rsidP="00F346A7">
      <w:pPr>
        <w:jc w:val="both"/>
        <w:rPr>
          <w:rFonts w:ascii="Verdana" w:hAnsi="Verdana"/>
          <w:sz w:val="22"/>
          <w:szCs w:val="22"/>
        </w:rPr>
      </w:pPr>
      <w:r w:rsidRPr="00F346A7">
        <w:rPr>
          <w:rFonts w:ascii="Verdana" w:hAnsi="Verdana"/>
          <w:sz w:val="22"/>
          <w:szCs w:val="22"/>
          <w:vertAlign w:val="superscript"/>
        </w:rPr>
        <w:t>8 </w:t>
      </w:r>
      <w:r w:rsidRPr="00F346A7">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68F9334B" w14:textId="77777777" w:rsidR="00F346A7" w:rsidRPr="00F346A7" w:rsidRDefault="00F346A7" w:rsidP="00F346A7">
      <w:pPr>
        <w:jc w:val="both"/>
        <w:rPr>
          <w:rFonts w:ascii="Verdana" w:hAnsi="Verdana"/>
          <w:sz w:val="22"/>
          <w:szCs w:val="22"/>
        </w:rPr>
      </w:pPr>
    </w:p>
    <w:sectPr w:rsidR="00F346A7" w:rsidRPr="00F346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A7"/>
    <w:rsid w:val="005B1B60"/>
    <w:rsid w:val="00F346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8B84"/>
  <w15:chartTrackingRefBased/>
  <w15:docId w15:val="{9DAC9A6C-EAEA-4023-BE7B-DAF0C8EC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4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4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46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46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46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46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46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46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46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46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46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46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46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46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46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46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46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46A7"/>
    <w:rPr>
      <w:rFonts w:eastAsiaTheme="majorEastAsia" w:cstheme="majorBidi"/>
      <w:color w:val="272727" w:themeColor="text1" w:themeTint="D8"/>
    </w:rPr>
  </w:style>
  <w:style w:type="paragraph" w:styleId="Ttulo">
    <w:name w:val="Title"/>
    <w:basedOn w:val="Normal"/>
    <w:next w:val="Normal"/>
    <w:link w:val="TtuloCar"/>
    <w:uiPriority w:val="10"/>
    <w:qFormat/>
    <w:rsid w:val="00F34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46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46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46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46A7"/>
    <w:pPr>
      <w:spacing w:before="160"/>
      <w:jc w:val="center"/>
    </w:pPr>
    <w:rPr>
      <w:i/>
      <w:iCs/>
      <w:color w:val="404040" w:themeColor="text1" w:themeTint="BF"/>
    </w:rPr>
  </w:style>
  <w:style w:type="character" w:customStyle="1" w:styleId="CitaCar">
    <w:name w:val="Cita Car"/>
    <w:basedOn w:val="Fuentedeprrafopredeter"/>
    <w:link w:val="Cita"/>
    <w:uiPriority w:val="29"/>
    <w:rsid w:val="00F346A7"/>
    <w:rPr>
      <w:i/>
      <w:iCs/>
      <w:color w:val="404040" w:themeColor="text1" w:themeTint="BF"/>
    </w:rPr>
  </w:style>
  <w:style w:type="paragraph" w:styleId="Prrafodelista">
    <w:name w:val="List Paragraph"/>
    <w:basedOn w:val="Normal"/>
    <w:uiPriority w:val="34"/>
    <w:qFormat/>
    <w:rsid w:val="00F346A7"/>
    <w:pPr>
      <w:ind w:left="720"/>
      <w:contextualSpacing/>
    </w:pPr>
  </w:style>
  <w:style w:type="character" w:styleId="nfasisintenso">
    <w:name w:val="Intense Emphasis"/>
    <w:basedOn w:val="Fuentedeprrafopredeter"/>
    <w:uiPriority w:val="21"/>
    <w:qFormat/>
    <w:rsid w:val="00F346A7"/>
    <w:rPr>
      <w:i/>
      <w:iCs/>
      <w:color w:val="0F4761" w:themeColor="accent1" w:themeShade="BF"/>
    </w:rPr>
  </w:style>
  <w:style w:type="paragraph" w:styleId="Citadestacada">
    <w:name w:val="Intense Quote"/>
    <w:basedOn w:val="Normal"/>
    <w:next w:val="Normal"/>
    <w:link w:val="CitadestacadaCar"/>
    <w:uiPriority w:val="30"/>
    <w:qFormat/>
    <w:rsid w:val="00F3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46A7"/>
    <w:rPr>
      <w:i/>
      <w:iCs/>
      <w:color w:val="0F4761" w:themeColor="accent1" w:themeShade="BF"/>
    </w:rPr>
  </w:style>
  <w:style w:type="character" w:styleId="Referenciaintensa">
    <w:name w:val="Intense Reference"/>
    <w:basedOn w:val="Fuentedeprrafopredeter"/>
    <w:uiPriority w:val="32"/>
    <w:qFormat/>
    <w:rsid w:val="00F346A7"/>
    <w:rPr>
      <w:b/>
      <w:bCs/>
      <w:smallCaps/>
      <w:color w:val="0F4761" w:themeColor="accent1" w:themeShade="BF"/>
      <w:spacing w:val="5"/>
    </w:rPr>
  </w:style>
  <w:style w:type="character" w:styleId="Hipervnculo">
    <w:name w:val="Hyperlink"/>
    <w:basedOn w:val="Fuentedeprrafopredeter"/>
    <w:uiPriority w:val="99"/>
    <w:unhideWhenUsed/>
    <w:rsid w:val="00F346A7"/>
    <w:rPr>
      <w:color w:val="467886" w:themeColor="hyperlink"/>
      <w:u w:val="single"/>
    </w:rPr>
  </w:style>
  <w:style w:type="character" w:styleId="Mencinsinresolver">
    <w:name w:val="Unresolved Mention"/>
    <w:basedOn w:val="Fuentedeprrafopredeter"/>
    <w:uiPriority w:val="99"/>
    <w:semiHidden/>
    <w:unhideWhenUsed/>
    <w:rsid w:val="00F34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F58B5-3AC6-4078-AB91-931284A3AB50}"/>
</file>

<file path=customXml/itemProps2.xml><?xml version="1.0" encoding="utf-8"?>
<ds:datastoreItem xmlns:ds="http://schemas.openxmlformats.org/officeDocument/2006/customXml" ds:itemID="{5FAAF9C5-49A6-477B-8235-2C65178D14E6}"/>
</file>

<file path=customXml/itemProps3.xml><?xml version="1.0" encoding="utf-8"?>
<ds:datastoreItem xmlns:ds="http://schemas.openxmlformats.org/officeDocument/2006/customXml" ds:itemID="{7D590662-906E-4485-ABB6-059C1487FB17}"/>
</file>

<file path=docProps/app.xml><?xml version="1.0" encoding="utf-8"?>
<Properties xmlns="http://schemas.openxmlformats.org/officeDocument/2006/extended-properties" xmlns:vt="http://schemas.openxmlformats.org/officeDocument/2006/docPropsVTypes">
  <Template>Normal</Template>
  <TotalTime>0</TotalTime>
  <Pages>1</Pages>
  <Words>2145</Words>
  <Characters>11803</Characters>
  <Application>Microsoft Office Word</Application>
  <DocSecurity>0</DocSecurity>
  <Lines>98</Lines>
  <Paragraphs>27</Paragraphs>
  <ScaleCrop>false</ScaleCrop>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2026-04-28T21:40:00Z</dcterms:created>
  <dcterms:modified xsi:type="dcterms:W3CDTF">2026-04-28T21:40:00Z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