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3C80B" w14:textId="77777777" w:rsidR="0013144C" w:rsidRPr="0013144C" w:rsidRDefault="0013144C" w:rsidP="0038560A">
      <w:pPr>
        <w:jc w:val="center"/>
        <w:rPr>
          <w:rFonts w:ascii="Verdana" w:hAnsi="Verdana"/>
          <w:sz w:val="22"/>
          <w:szCs w:val="22"/>
        </w:rPr>
      </w:pPr>
      <w:r w:rsidRPr="0013144C">
        <w:rPr>
          <w:rFonts w:ascii="Verdana" w:hAnsi="Verdana"/>
          <w:b/>
          <w:bCs/>
          <w:sz w:val="22"/>
          <w:szCs w:val="22"/>
        </w:rPr>
        <w:t>CONCEPTO 48 DE 2016</w:t>
      </w:r>
    </w:p>
    <w:p w14:paraId="09DE5937" w14:textId="77777777" w:rsidR="0013144C" w:rsidRPr="0013144C" w:rsidRDefault="0013144C" w:rsidP="0038560A">
      <w:pPr>
        <w:jc w:val="center"/>
        <w:rPr>
          <w:rFonts w:ascii="Verdana" w:hAnsi="Verdana"/>
          <w:sz w:val="22"/>
          <w:szCs w:val="22"/>
        </w:rPr>
      </w:pPr>
      <w:r w:rsidRPr="0013144C">
        <w:rPr>
          <w:rFonts w:ascii="Verdana" w:hAnsi="Verdana"/>
          <w:sz w:val="22"/>
          <w:szCs w:val="22"/>
        </w:rPr>
        <w:t>(mayo 25)</w:t>
      </w:r>
    </w:p>
    <w:p w14:paraId="5E9D2796" w14:textId="77777777" w:rsidR="0013144C" w:rsidRPr="0013144C" w:rsidRDefault="0013144C" w:rsidP="0038560A">
      <w:pPr>
        <w:jc w:val="center"/>
        <w:rPr>
          <w:rFonts w:ascii="Verdana" w:hAnsi="Verdana"/>
          <w:sz w:val="22"/>
          <w:szCs w:val="22"/>
        </w:rPr>
      </w:pPr>
      <w:r w:rsidRPr="0013144C">
        <w:rPr>
          <w:rFonts w:ascii="Verdana" w:hAnsi="Verdana"/>
          <w:b/>
          <w:bCs/>
          <w:sz w:val="22"/>
          <w:szCs w:val="22"/>
        </w:rPr>
        <w:t>INSTITUTO COLOMBIANO DE BIENESTAR FAMILIAR</w:t>
      </w:r>
    </w:p>
    <w:p w14:paraId="49FFC92F" w14:textId="34C1F0D6" w:rsidR="0038560A" w:rsidRDefault="0038560A" w:rsidP="0013144C">
      <w:pPr>
        <w:jc w:val="both"/>
        <w:rPr>
          <w:rFonts w:ascii="Verdana" w:hAnsi="Verdana"/>
          <w:sz w:val="22"/>
          <w:szCs w:val="22"/>
        </w:rPr>
      </w:pPr>
      <w:r w:rsidRPr="0038560A">
        <w:rPr>
          <w:rFonts w:ascii="Verdana" w:hAnsi="Verdana"/>
          <w:b/>
          <w:bCs/>
          <w:sz w:val="22"/>
          <w:szCs w:val="22"/>
        </w:rPr>
        <w:t>Asunto:</w:t>
      </w:r>
      <w:r w:rsidRPr="0038560A">
        <w:rPr>
          <w:rFonts w:ascii="Verdana" w:hAnsi="Verdana"/>
          <w:b/>
          <w:bCs/>
          <w:sz w:val="22"/>
          <w:szCs w:val="22"/>
        </w:rPr>
        <w:tab/>
      </w:r>
      <w:r w:rsidRPr="0038560A">
        <w:rPr>
          <w:rFonts w:ascii="Verdana" w:hAnsi="Verdana"/>
          <w:sz w:val="22"/>
          <w:szCs w:val="22"/>
        </w:rPr>
        <w:t xml:space="preserve">Imputación de un pago de conformidad </w:t>
      </w:r>
      <w:r w:rsidRPr="0038560A">
        <w:rPr>
          <w:rFonts w:ascii="Verdana" w:hAnsi="Verdana"/>
          <w:sz w:val="22"/>
          <w:szCs w:val="22"/>
        </w:rPr>
        <w:t>a los artículos</w:t>
      </w:r>
      <w:r w:rsidRPr="0038560A">
        <w:rPr>
          <w:rFonts w:ascii="Verdana" w:hAnsi="Verdana"/>
          <w:sz w:val="22"/>
          <w:szCs w:val="22"/>
        </w:rPr>
        <w:t xml:space="preserve"> 57 y 58 de la Ley 1739 de 2014</w:t>
      </w:r>
    </w:p>
    <w:p w14:paraId="67DF8C1C" w14:textId="2637E959" w:rsidR="0013144C" w:rsidRPr="0013144C" w:rsidRDefault="0013144C" w:rsidP="0013144C">
      <w:pPr>
        <w:jc w:val="both"/>
        <w:rPr>
          <w:rFonts w:ascii="Verdana" w:hAnsi="Verdana"/>
          <w:sz w:val="22"/>
          <w:szCs w:val="22"/>
        </w:rPr>
      </w:pPr>
      <w:r w:rsidRPr="0013144C">
        <w:rPr>
          <w:rFonts w:ascii="Verdana" w:hAnsi="Verdana"/>
          <w:sz w:val="22"/>
          <w:szCs w:val="22"/>
        </w:rPr>
        <w:t>Con el fin de dar respuesta a la consulta elevada ante la Oficina Asesora Jurídica con radicado 2016-E-059359, sobre que procedimiento realizar con relación al pago realizado por la aportante XXX, identificada con la cédula de ciudadanía número XXX, se tendrán en cuenta los siguientes parámetros normativos con el propósito de aclarar el tema:</w:t>
      </w:r>
    </w:p>
    <w:p w14:paraId="060F00AB" w14:textId="5BA3DE54" w:rsidR="0013144C" w:rsidRPr="0038560A" w:rsidRDefault="0013144C" w:rsidP="0038560A">
      <w:pPr>
        <w:pStyle w:val="Prrafodelista"/>
        <w:numPr>
          <w:ilvl w:val="0"/>
          <w:numId w:val="1"/>
        </w:numPr>
        <w:jc w:val="both"/>
        <w:rPr>
          <w:rFonts w:ascii="Verdana" w:hAnsi="Verdana"/>
          <w:sz w:val="22"/>
          <w:szCs w:val="22"/>
        </w:rPr>
      </w:pPr>
      <w:r w:rsidRPr="0038560A">
        <w:rPr>
          <w:rFonts w:ascii="Verdana" w:hAnsi="Verdana"/>
          <w:b/>
          <w:bCs/>
          <w:sz w:val="22"/>
          <w:szCs w:val="22"/>
        </w:rPr>
        <w:t>PROBLEMA JURÍDICO.</w:t>
      </w:r>
    </w:p>
    <w:p w14:paraId="08994238" w14:textId="052840C0" w:rsidR="0013144C" w:rsidRPr="0013144C" w:rsidRDefault="0013144C" w:rsidP="0013144C">
      <w:pPr>
        <w:jc w:val="both"/>
        <w:rPr>
          <w:rFonts w:ascii="Verdana" w:hAnsi="Verdana"/>
          <w:sz w:val="22"/>
          <w:szCs w:val="22"/>
        </w:rPr>
      </w:pPr>
      <w:r w:rsidRPr="0013144C">
        <w:rPr>
          <w:rFonts w:ascii="Verdana" w:hAnsi="Verdana"/>
          <w:sz w:val="22"/>
          <w:szCs w:val="22"/>
        </w:rPr>
        <w:t>¿Qué procedimiento se debe realizar para el cobro de una suma de dinero cuando una persona que se acogió al beneficio de la Ley 1739 de 2014, canceló el valor informado por el ICBF y a pesar de ello quedó un saldo por pagar por una imprecisión en el valor que se le informó debía pagar?</w:t>
      </w:r>
    </w:p>
    <w:p w14:paraId="7A8E0441" w14:textId="77777777" w:rsidR="0013144C" w:rsidRPr="0013144C" w:rsidRDefault="0013144C" w:rsidP="0013144C">
      <w:pPr>
        <w:jc w:val="both"/>
        <w:rPr>
          <w:rFonts w:ascii="Verdana" w:hAnsi="Verdana"/>
          <w:sz w:val="22"/>
          <w:szCs w:val="22"/>
        </w:rPr>
      </w:pPr>
      <w:r w:rsidRPr="0013144C">
        <w:rPr>
          <w:rFonts w:ascii="Verdana" w:hAnsi="Verdana"/>
          <w:sz w:val="22"/>
          <w:szCs w:val="22"/>
        </w:rPr>
        <w:t>En primer lugar, metodológicamente se enuncia el marco normativo que regula los requisitos de los títulos ejecutivos y el procedimiento de Cobro Administrativo Coactivo:</w:t>
      </w:r>
    </w:p>
    <w:p w14:paraId="35462E5F" w14:textId="378C82BC" w:rsidR="0013144C" w:rsidRPr="0038560A" w:rsidRDefault="0013144C" w:rsidP="0038560A">
      <w:pPr>
        <w:pStyle w:val="Prrafodelista"/>
        <w:numPr>
          <w:ilvl w:val="0"/>
          <w:numId w:val="1"/>
        </w:numPr>
        <w:jc w:val="both"/>
        <w:rPr>
          <w:rFonts w:ascii="Verdana" w:hAnsi="Verdana"/>
          <w:sz w:val="22"/>
          <w:szCs w:val="22"/>
        </w:rPr>
      </w:pPr>
      <w:r w:rsidRPr="0038560A">
        <w:rPr>
          <w:rFonts w:ascii="Verdana" w:hAnsi="Verdana"/>
          <w:b/>
          <w:bCs/>
          <w:sz w:val="22"/>
          <w:szCs w:val="22"/>
        </w:rPr>
        <w:t>ANÁLISIS DEL PROBLEMA JURÍDICO</w:t>
      </w:r>
    </w:p>
    <w:p w14:paraId="606DB69F" w14:textId="77777777" w:rsidR="0013144C" w:rsidRPr="0013144C" w:rsidRDefault="0013144C" w:rsidP="0013144C">
      <w:pPr>
        <w:jc w:val="both"/>
        <w:rPr>
          <w:rFonts w:ascii="Verdana" w:hAnsi="Verdana"/>
          <w:sz w:val="22"/>
          <w:szCs w:val="22"/>
        </w:rPr>
      </w:pPr>
      <w:r w:rsidRPr="0013144C">
        <w:rPr>
          <w:rFonts w:ascii="Verdana" w:hAnsi="Verdana"/>
          <w:b/>
          <w:bCs/>
          <w:sz w:val="22"/>
          <w:szCs w:val="22"/>
        </w:rPr>
        <w:t>2.1. Antecedentes Normativos</w:t>
      </w:r>
    </w:p>
    <w:p w14:paraId="6C03CFDF" w14:textId="4CBB0D81" w:rsidR="0013144C" w:rsidRPr="0038560A" w:rsidRDefault="0013144C" w:rsidP="0038560A">
      <w:pPr>
        <w:pStyle w:val="Prrafodelista"/>
        <w:numPr>
          <w:ilvl w:val="0"/>
          <w:numId w:val="3"/>
        </w:numPr>
        <w:jc w:val="both"/>
        <w:rPr>
          <w:rFonts w:ascii="Verdana" w:hAnsi="Verdana"/>
          <w:sz w:val="22"/>
          <w:szCs w:val="22"/>
        </w:rPr>
      </w:pPr>
      <w:r w:rsidRPr="0038560A">
        <w:rPr>
          <w:rFonts w:ascii="Verdana" w:hAnsi="Verdana"/>
          <w:sz w:val="22"/>
          <w:szCs w:val="22"/>
        </w:rPr>
        <w:t>Constitución Política, artículo 209.</w:t>
      </w:r>
    </w:p>
    <w:p w14:paraId="694A7D3E" w14:textId="4CFE83A9" w:rsidR="0013144C" w:rsidRPr="0038560A" w:rsidRDefault="0013144C" w:rsidP="0038560A">
      <w:pPr>
        <w:pStyle w:val="Prrafodelista"/>
        <w:numPr>
          <w:ilvl w:val="0"/>
          <w:numId w:val="3"/>
        </w:numPr>
        <w:jc w:val="both"/>
        <w:rPr>
          <w:rFonts w:ascii="Verdana" w:hAnsi="Verdana"/>
          <w:sz w:val="22"/>
          <w:szCs w:val="22"/>
        </w:rPr>
      </w:pPr>
      <w:r w:rsidRPr="0038560A">
        <w:rPr>
          <w:rFonts w:ascii="Verdana" w:hAnsi="Verdana"/>
          <w:sz w:val="22"/>
          <w:szCs w:val="22"/>
        </w:rPr>
        <w:t>Estatuto Tributario, Libro Quinto, Título VIII, artículo 823 y siguientes.</w:t>
      </w:r>
    </w:p>
    <w:p w14:paraId="69B3AEA1" w14:textId="6F0B59A4" w:rsidR="0013144C" w:rsidRPr="0038560A" w:rsidRDefault="0013144C" w:rsidP="0038560A">
      <w:pPr>
        <w:pStyle w:val="Prrafodelista"/>
        <w:numPr>
          <w:ilvl w:val="0"/>
          <w:numId w:val="3"/>
        </w:numPr>
        <w:jc w:val="both"/>
        <w:rPr>
          <w:rFonts w:ascii="Verdana" w:hAnsi="Verdana"/>
          <w:sz w:val="22"/>
          <w:szCs w:val="22"/>
        </w:rPr>
      </w:pPr>
      <w:r w:rsidRPr="0038560A">
        <w:rPr>
          <w:rFonts w:ascii="Verdana" w:hAnsi="Verdana"/>
          <w:sz w:val="22"/>
          <w:szCs w:val="22"/>
        </w:rPr>
        <w:t>Ley 1066 de 2006, artículo 5, mediante el cual se otorga la facultad de Cobro Coactivo y procedimiento para las entidades públicas.</w:t>
      </w:r>
    </w:p>
    <w:p w14:paraId="2D3F410A" w14:textId="083A7737" w:rsidR="0013144C" w:rsidRPr="0038560A" w:rsidRDefault="0013144C" w:rsidP="0038560A">
      <w:pPr>
        <w:pStyle w:val="Prrafodelista"/>
        <w:numPr>
          <w:ilvl w:val="0"/>
          <w:numId w:val="3"/>
        </w:numPr>
        <w:jc w:val="both"/>
        <w:rPr>
          <w:rFonts w:ascii="Verdana" w:hAnsi="Verdana"/>
          <w:sz w:val="22"/>
          <w:szCs w:val="22"/>
        </w:rPr>
      </w:pPr>
      <w:r w:rsidRPr="0038560A">
        <w:rPr>
          <w:rFonts w:ascii="Verdana" w:hAnsi="Verdana"/>
          <w:sz w:val="22"/>
          <w:szCs w:val="22"/>
        </w:rPr>
        <w:t>Ley 1437 de 2011 - Código de Procedimiento Administrativo y de lo Contencioso Administrativo.</w:t>
      </w:r>
    </w:p>
    <w:p w14:paraId="6EAEDB58" w14:textId="32EB6B56" w:rsidR="0013144C" w:rsidRPr="0038560A" w:rsidRDefault="0013144C" w:rsidP="0038560A">
      <w:pPr>
        <w:pStyle w:val="Prrafodelista"/>
        <w:numPr>
          <w:ilvl w:val="0"/>
          <w:numId w:val="3"/>
        </w:numPr>
        <w:jc w:val="both"/>
        <w:rPr>
          <w:rFonts w:ascii="Verdana" w:hAnsi="Verdana"/>
          <w:sz w:val="22"/>
          <w:szCs w:val="22"/>
        </w:rPr>
      </w:pPr>
      <w:r w:rsidRPr="0038560A">
        <w:rPr>
          <w:rFonts w:ascii="Verdana" w:hAnsi="Verdana"/>
          <w:sz w:val="22"/>
          <w:szCs w:val="22"/>
        </w:rPr>
        <w:t>Ley 1739 de 2014 artículos 57 y 58, por medio de la cual se modifica el Estatuto Tributario, la Ley 1607 de 2012, se crean mecanismos de lucha contra la evasión y se dictan otras disposiciones.</w:t>
      </w:r>
    </w:p>
    <w:p w14:paraId="4521C072" w14:textId="77777777" w:rsidR="0013144C" w:rsidRPr="0013144C" w:rsidRDefault="0013144C" w:rsidP="0013144C">
      <w:pPr>
        <w:jc w:val="both"/>
        <w:rPr>
          <w:rFonts w:ascii="Verdana" w:hAnsi="Verdana"/>
          <w:sz w:val="22"/>
          <w:szCs w:val="22"/>
        </w:rPr>
      </w:pPr>
      <w:r w:rsidRPr="0013144C">
        <w:rPr>
          <w:rFonts w:ascii="Verdana" w:hAnsi="Verdana"/>
          <w:b/>
          <w:bCs/>
          <w:sz w:val="22"/>
          <w:szCs w:val="22"/>
        </w:rPr>
        <w:t>2.2. Antecedentes Fácticos</w:t>
      </w:r>
    </w:p>
    <w:p w14:paraId="3AE0AA75" w14:textId="361CC5D5" w:rsidR="0013144C" w:rsidRPr="0013144C" w:rsidRDefault="0013144C" w:rsidP="0013144C">
      <w:pPr>
        <w:jc w:val="both"/>
        <w:rPr>
          <w:rFonts w:ascii="Verdana" w:hAnsi="Verdana"/>
          <w:sz w:val="22"/>
          <w:szCs w:val="22"/>
        </w:rPr>
      </w:pPr>
      <w:r w:rsidRPr="0013144C">
        <w:rPr>
          <w:rFonts w:ascii="Verdana" w:hAnsi="Verdana"/>
          <w:sz w:val="22"/>
          <w:szCs w:val="22"/>
        </w:rPr>
        <w:t xml:space="preserve">El funcionario ejecutor de la Regional Boyacá requiere concepto sobre que procedimiento aplicar para realizar el cobro de una suma de dinero dentro de un proceso de cobro coactivo que se dio por terminado en virtud de aplicación del beneficio establecido en la Ley 1739 de 2014, y luego se informó a la regional </w:t>
      </w:r>
      <w:r w:rsidRPr="0013144C">
        <w:rPr>
          <w:rFonts w:ascii="Verdana" w:hAnsi="Verdana"/>
          <w:sz w:val="22"/>
          <w:szCs w:val="22"/>
        </w:rPr>
        <w:lastRenderedPageBreak/>
        <w:t>que el valor cancelado por la contribuyente no correspondía al total de la obligación:</w:t>
      </w:r>
    </w:p>
    <w:p w14:paraId="57F82A90" w14:textId="42431FA1" w:rsidR="0013144C" w:rsidRPr="0038560A" w:rsidRDefault="0013144C" w:rsidP="0038560A">
      <w:pPr>
        <w:pStyle w:val="Prrafodelista"/>
        <w:numPr>
          <w:ilvl w:val="0"/>
          <w:numId w:val="1"/>
        </w:numPr>
        <w:jc w:val="both"/>
        <w:rPr>
          <w:rFonts w:ascii="Verdana" w:hAnsi="Verdana"/>
          <w:sz w:val="22"/>
          <w:szCs w:val="22"/>
        </w:rPr>
      </w:pPr>
      <w:r w:rsidRPr="0038560A">
        <w:rPr>
          <w:rFonts w:ascii="Verdana" w:hAnsi="Verdana"/>
          <w:b/>
          <w:bCs/>
          <w:sz w:val="22"/>
          <w:szCs w:val="22"/>
        </w:rPr>
        <w:t>EL CASO EN CONCRETO</w:t>
      </w:r>
    </w:p>
    <w:p w14:paraId="6685AAE8" w14:textId="00F96CF1" w:rsidR="0013144C" w:rsidRPr="0013144C" w:rsidRDefault="0013144C" w:rsidP="0013144C">
      <w:pPr>
        <w:jc w:val="both"/>
        <w:rPr>
          <w:rFonts w:ascii="Verdana" w:hAnsi="Verdana"/>
          <w:sz w:val="22"/>
          <w:szCs w:val="22"/>
        </w:rPr>
      </w:pPr>
      <w:r w:rsidRPr="0013144C">
        <w:rPr>
          <w:rFonts w:ascii="Verdana" w:hAnsi="Verdana"/>
          <w:sz w:val="22"/>
          <w:szCs w:val="22"/>
        </w:rPr>
        <w:t xml:space="preserve">La Regional Boyacá avocó conocimiento de un proceso de cobro coactivo, en contra de XXX en el año 2007, por concepto de aportes parafiscales, sin que en el trámite </w:t>
      </w:r>
      <w:proofErr w:type="gramStart"/>
      <w:r w:rsidRPr="0013144C">
        <w:rPr>
          <w:rFonts w:ascii="Verdana" w:hAnsi="Verdana"/>
          <w:sz w:val="22"/>
          <w:szCs w:val="22"/>
        </w:rPr>
        <w:t>del mismo</w:t>
      </w:r>
      <w:proofErr w:type="gramEnd"/>
      <w:r w:rsidRPr="0013144C">
        <w:rPr>
          <w:rFonts w:ascii="Verdana" w:hAnsi="Verdana"/>
          <w:sz w:val="22"/>
          <w:szCs w:val="22"/>
        </w:rPr>
        <w:t xml:space="preserve"> se lograra embargos efectivos o la recuperación de los dineros. Con ocasión de la Ley 1739 de 2014, se invitó a la deudora a realizar el pago acogiéndose al beneficio previsto en el artículo 57 de la citada ley, el cual otorgaba una condición especial reduciendo el valor a pagar por concepto de intereses de las obligaciones anteriores al año 2012; sin embargo, por una imprecisión por parte de la regional en la elaboración de la liquidación, se le informó a la demandada un valor que no correspondía a la totalidad de </w:t>
      </w:r>
      <w:proofErr w:type="gramStart"/>
      <w:r w:rsidRPr="0013144C">
        <w:rPr>
          <w:rFonts w:ascii="Verdana" w:hAnsi="Verdana"/>
          <w:sz w:val="22"/>
          <w:szCs w:val="22"/>
        </w:rPr>
        <w:t>la misma</w:t>
      </w:r>
      <w:proofErr w:type="gramEnd"/>
      <w:r w:rsidRPr="0013144C">
        <w:rPr>
          <w:rFonts w:ascii="Verdana" w:hAnsi="Verdana"/>
          <w:sz w:val="22"/>
          <w:szCs w:val="22"/>
        </w:rPr>
        <w:t xml:space="preserve"> quedando un saldo de $128.036.</w:t>
      </w:r>
    </w:p>
    <w:p w14:paraId="30FA62E5" w14:textId="5C196D35" w:rsidR="0013144C" w:rsidRPr="0013144C" w:rsidRDefault="0013144C" w:rsidP="0013144C">
      <w:pPr>
        <w:jc w:val="both"/>
        <w:rPr>
          <w:rFonts w:ascii="Verdana" w:hAnsi="Verdana"/>
          <w:sz w:val="22"/>
          <w:szCs w:val="22"/>
        </w:rPr>
      </w:pPr>
      <w:proofErr w:type="gramStart"/>
      <w:r w:rsidRPr="0013144C">
        <w:rPr>
          <w:rFonts w:ascii="Verdana" w:hAnsi="Verdana"/>
          <w:sz w:val="22"/>
          <w:szCs w:val="22"/>
        </w:rPr>
        <w:t>De acuerdo a</w:t>
      </w:r>
      <w:proofErr w:type="gramEnd"/>
      <w:r w:rsidRPr="0013144C">
        <w:rPr>
          <w:rFonts w:ascii="Verdana" w:hAnsi="Verdana"/>
          <w:sz w:val="22"/>
          <w:szCs w:val="22"/>
        </w:rPr>
        <w:t xml:space="preserve"> lo expuesto, resulta importante aclarar que el artículo 57 de la Ley 1739 de 2014, en el numeral 2 establece </w:t>
      </w:r>
      <w:proofErr w:type="gramStart"/>
      <w:r w:rsidRPr="0013144C">
        <w:rPr>
          <w:rFonts w:ascii="Verdana" w:hAnsi="Verdana"/>
          <w:sz w:val="22"/>
          <w:szCs w:val="22"/>
        </w:rPr>
        <w:t>que</w:t>
      </w:r>
      <w:proofErr w:type="gramEnd"/>
      <w:r w:rsidRPr="0013144C">
        <w:rPr>
          <w:rFonts w:ascii="Verdana" w:hAnsi="Verdana"/>
          <w:sz w:val="22"/>
          <w:szCs w:val="22"/>
        </w:rPr>
        <w:t xml:space="preserve"> si se produce el pago total de la obligación principal después del 31 de mayo y hasta la vigencia de la condición especial de pago, los intereses y las sanciones actualizadas se reducirán en un sesenta por ciento 60%.</w:t>
      </w:r>
    </w:p>
    <w:p w14:paraId="10B0B227" w14:textId="77777777" w:rsidR="0013144C" w:rsidRPr="0013144C" w:rsidRDefault="0013144C" w:rsidP="0013144C">
      <w:pPr>
        <w:jc w:val="both"/>
        <w:rPr>
          <w:rFonts w:ascii="Verdana" w:hAnsi="Verdana"/>
          <w:sz w:val="22"/>
          <w:szCs w:val="22"/>
        </w:rPr>
      </w:pPr>
      <w:r w:rsidRPr="0013144C">
        <w:rPr>
          <w:rFonts w:ascii="Verdana" w:hAnsi="Verdana"/>
          <w:sz w:val="22"/>
          <w:szCs w:val="22"/>
        </w:rPr>
        <w:t xml:space="preserve">Ahora bien, para el caso en concreto y </w:t>
      </w:r>
      <w:proofErr w:type="gramStart"/>
      <w:r w:rsidRPr="0013144C">
        <w:rPr>
          <w:rFonts w:ascii="Verdana" w:hAnsi="Verdana"/>
          <w:sz w:val="22"/>
          <w:szCs w:val="22"/>
        </w:rPr>
        <w:t>de acuerdo al</w:t>
      </w:r>
      <w:proofErr w:type="gramEnd"/>
      <w:r w:rsidRPr="0013144C">
        <w:rPr>
          <w:rFonts w:ascii="Verdana" w:hAnsi="Verdana"/>
          <w:sz w:val="22"/>
          <w:szCs w:val="22"/>
        </w:rPr>
        <w:t xml:space="preserve"> certificado de deuda solicitado por esta oficina el 4 de abril de 2016 y allegado por la regional el día 19 de abril de 2016, se observa lo siguiente:</w:t>
      </w:r>
    </w:p>
    <w:p w14:paraId="65AF362B" w14:textId="0419F4E4" w:rsidR="0013144C" w:rsidRPr="0013144C" w:rsidRDefault="0013144C" w:rsidP="0013144C">
      <w:pPr>
        <w:jc w:val="both"/>
        <w:rPr>
          <w:rFonts w:ascii="Verdana" w:hAnsi="Verdana"/>
          <w:sz w:val="22"/>
          <w:szCs w:val="22"/>
        </w:rPr>
      </w:pPr>
      <w:r w:rsidRPr="0013144C">
        <w:rPr>
          <w:rFonts w:ascii="Verdana" w:hAnsi="Verdana"/>
          <w:sz w:val="22"/>
          <w:szCs w:val="22"/>
        </w:rPr>
        <w:t>El capital adeudado por la señora XXX, a la fecha en que realizó el pago sin aplicar el beneficio establecido en el artículo 57 de la Ley 1739 de 2014, ascendía a la suma de cinco millones setecientos cincuenta mil setecientos cuatro pesos ($5.750.704), discriminados de la siguiente forma:</w:t>
      </w:r>
    </w:p>
    <w:p w14:paraId="0DBDEBB6" w14:textId="77777777" w:rsidR="0013144C" w:rsidRPr="0013144C" w:rsidRDefault="0013144C" w:rsidP="0013144C">
      <w:pPr>
        <w:jc w:val="both"/>
        <w:rPr>
          <w:rFonts w:ascii="Verdana" w:hAnsi="Verdana"/>
          <w:sz w:val="22"/>
          <w:szCs w:val="22"/>
        </w:rPr>
      </w:pPr>
      <w:r w:rsidRPr="0013144C">
        <w:rPr>
          <w:rFonts w:ascii="Verdana" w:hAnsi="Verdana"/>
          <w:sz w:val="22"/>
          <w:szCs w:val="22"/>
        </w:rPr>
        <w:t xml:space="preserve">Capital: Un Millón Cuatro mil Quinientos Trece </w:t>
      </w:r>
      <w:proofErr w:type="gramStart"/>
      <w:r w:rsidRPr="0013144C">
        <w:rPr>
          <w:rFonts w:ascii="Verdana" w:hAnsi="Verdana"/>
          <w:sz w:val="22"/>
          <w:szCs w:val="22"/>
        </w:rPr>
        <w:t>Pesos</w:t>
      </w:r>
      <w:proofErr w:type="gramEnd"/>
      <w:r w:rsidRPr="0013144C">
        <w:rPr>
          <w:rFonts w:ascii="Verdana" w:hAnsi="Verdana"/>
          <w:sz w:val="22"/>
          <w:szCs w:val="22"/>
        </w:rPr>
        <w:t xml:space="preserve"> ($1.004.513).</w:t>
      </w:r>
    </w:p>
    <w:p w14:paraId="4A0861A9" w14:textId="77777777" w:rsidR="0013144C" w:rsidRPr="0013144C" w:rsidRDefault="0013144C" w:rsidP="0013144C">
      <w:pPr>
        <w:jc w:val="both"/>
        <w:rPr>
          <w:rFonts w:ascii="Verdana" w:hAnsi="Verdana"/>
          <w:sz w:val="22"/>
          <w:szCs w:val="22"/>
        </w:rPr>
      </w:pPr>
      <w:r w:rsidRPr="0013144C">
        <w:rPr>
          <w:rFonts w:ascii="Verdana" w:hAnsi="Verdana"/>
          <w:sz w:val="22"/>
          <w:szCs w:val="22"/>
        </w:rPr>
        <w:t xml:space="preserve">Intereses de mora a 20 de octubre de 2015: Cuatro Millones Setecientos Cuarenta y Seis Mil Ciento Noventa y Un Mil </w:t>
      </w:r>
      <w:proofErr w:type="gramStart"/>
      <w:r w:rsidRPr="0013144C">
        <w:rPr>
          <w:rFonts w:ascii="Verdana" w:hAnsi="Verdana"/>
          <w:sz w:val="22"/>
          <w:szCs w:val="22"/>
        </w:rPr>
        <w:t>Pesos</w:t>
      </w:r>
      <w:proofErr w:type="gramEnd"/>
      <w:r w:rsidRPr="0013144C">
        <w:rPr>
          <w:rFonts w:ascii="Verdana" w:hAnsi="Verdana"/>
          <w:sz w:val="22"/>
          <w:szCs w:val="22"/>
        </w:rPr>
        <w:t xml:space="preserve"> ($ 4.746.191).</w:t>
      </w:r>
    </w:p>
    <w:p w14:paraId="3E97613E" w14:textId="77777777" w:rsidR="0013144C" w:rsidRDefault="0013144C" w:rsidP="0013144C">
      <w:pPr>
        <w:jc w:val="both"/>
        <w:rPr>
          <w:rFonts w:ascii="Verdana" w:hAnsi="Verdana"/>
          <w:sz w:val="22"/>
          <w:szCs w:val="22"/>
        </w:rPr>
      </w:pPr>
      <w:r w:rsidRPr="0013144C">
        <w:rPr>
          <w:rFonts w:ascii="Verdana" w:hAnsi="Verdana"/>
          <w:sz w:val="22"/>
          <w:szCs w:val="22"/>
        </w:rPr>
        <w:t xml:space="preserve">la deudora canceló la suma de Dos Millones Ochocientos Sesenta y Un mil Trescientos Cuarenta y Ocho </w:t>
      </w:r>
      <w:proofErr w:type="gramStart"/>
      <w:r w:rsidRPr="0013144C">
        <w:rPr>
          <w:rFonts w:ascii="Verdana" w:hAnsi="Verdana"/>
          <w:sz w:val="22"/>
          <w:szCs w:val="22"/>
        </w:rPr>
        <w:t>Pesos</w:t>
      </w:r>
      <w:proofErr w:type="gramEnd"/>
      <w:r w:rsidRPr="0013144C">
        <w:rPr>
          <w:rFonts w:ascii="Verdana" w:hAnsi="Verdana"/>
          <w:sz w:val="22"/>
          <w:szCs w:val="22"/>
        </w:rPr>
        <w:t xml:space="preserve"> ($2.861.348), </w:t>
      </w:r>
      <w:proofErr w:type="gramStart"/>
      <w:r w:rsidRPr="0013144C">
        <w:rPr>
          <w:rFonts w:ascii="Verdana" w:hAnsi="Verdana"/>
          <w:sz w:val="22"/>
          <w:szCs w:val="22"/>
        </w:rPr>
        <w:t>de acuerdo a</w:t>
      </w:r>
      <w:proofErr w:type="gramEnd"/>
      <w:r w:rsidRPr="0013144C">
        <w:rPr>
          <w:rFonts w:ascii="Verdana" w:hAnsi="Verdana"/>
          <w:sz w:val="22"/>
          <w:szCs w:val="22"/>
        </w:rPr>
        <w:t xml:space="preserve"> lo que le informaron los funcionarios de la regional Boyacá; sin </w:t>
      </w:r>
      <w:proofErr w:type="gramStart"/>
      <w:r w:rsidRPr="0013144C">
        <w:rPr>
          <w:rFonts w:ascii="Verdana" w:hAnsi="Verdana"/>
          <w:sz w:val="22"/>
          <w:szCs w:val="22"/>
        </w:rPr>
        <w:t>embargo</w:t>
      </w:r>
      <w:proofErr w:type="gramEnd"/>
      <w:r w:rsidRPr="0013144C">
        <w:rPr>
          <w:rFonts w:ascii="Verdana" w:hAnsi="Verdana"/>
          <w:sz w:val="22"/>
          <w:szCs w:val="22"/>
        </w:rPr>
        <w:t xml:space="preserve"> dicha suma de dinero no correspondía al valor total de lo adeudado, aun aplicando el beneficio establecido en la citada ley, para mayor claridad a continuación se discriminan los valores aplicando el pago realizado por la deudora:</w:t>
      </w:r>
    </w:p>
    <w:tbl>
      <w:tblPr>
        <w:tblStyle w:val="Tablaconcuadrcula"/>
        <w:tblW w:w="0" w:type="auto"/>
        <w:tblLook w:val="04A0" w:firstRow="1" w:lastRow="0" w:firstColumn="1" w:lastColumn="0" w:noHBand="0" w:noVBand="1"/>
      </w:tblPr>
      <w:tblGrid>
        <w:gridCol w:w="4414"/>
        <w:gridCol w:w="4414"/>
      </w:tblGrid>
      <w:tr w:rsidR="002C3CE4" w14:paraId="572B9715" w14:textId="77777777" w:rsidTr="00C477A1">
        <w:tc>
          <w:tcPr>
            <w:tcW w:w="8828" w:type="dxa"/>
            <w:gridSpan w:val="2"/>
          </w:tcPr>
          <w:p w14:paraId="5B7CA0A4" w14:textId="60D79022" w:rsidR="002C3CE4" w:rsidRDefault="002C3CE4" w:rsidP="0013144C">
            <w:pPr>
              <w:jc w:val="both"/>
              <w:rPr>
                <w:rFonts w:ascii="Verdana" w:hAnsi="Verdana"/>
                <w:sz w:val="22"/>
                <w:szCs w:val="22"/>
              </w:rPr>
            </w:pPr>
            <w:r w:rsidRPr="002C3CE4">
              <w:rPr>
                <w:rFonts w:ascii="Verdana" w:hAnsi="Verdana"/>
                <w:sz w:val="22"/>
                <w:szCs w:val="22"/>
              </w:rPr>
              <w:t>Sin aplicar beneficio de la Ley 1739 de 2014</w:t>
            </w:r>
          </w:p>
        </w:tc>
      </w:tr>
      <w:tr w:rsidR="002C3CE4" w14:paraId="4D2800D9" w14:textId="77777777" w:rsidTr="002C3CE4">
        <w:tc>
          <w:tcPr>
            <w:tcW w:w="4414" w:type="dxa"/>
          </w:tcPr>
          <w:p w14:paraId="3E4FE2DC" w14:textId="7A3BC5AA" w:rsidR="002C3CE4" w:rsidRDefault="002C3CE4" w:rsidP="0013144C">
            <w:pPr>
              <w:jc w:val="both"/>
              <w:rPr>
                <w:rFonts w:ascii="Verdana" w:hAnsi="Verdana"/>
                <w:sz w:val="22"/>
                <w:szCs w:val="22"/>
              </w:rPr>
            </w:pPr>
            <w:r w:rsidRPr="002C3CE4">
              <w:rPr>
                <w:rFonts w:ascii="Verdana" w:hAnsi="Verdana"/>
                <w:sz w:val="22"/>
                <w:szCs w:val="22"/>
              </w:rPr>
              <w:t>Capital:</w:t>
            </w:r>
          </w:p>
        </w:tc>
        <w:tc>
          <w:tcPr>
            <w:tcW w:w="4414" w:type="dxa"/>
          </w:tcPr>
          <w:p w14:paraId="19BEF0C9" w14:textId="5E868299" w:rsidR="002C3CE4" w:rsidRDefault="002C3CE4" w:rsidP="0013144C">
            <w:pPr>
              <w:jc w:val="both"/>
              <w:rPr>
                <w:rFonts w:ascii="Verdana" w:hAnsi="Verdana"/>
                <w:sz w:val="22"/>
                <w:szCs w:val="22"/>
              </w:rPr>
            </w:pPr>
            <w:r w:rsidRPr="002C3CE4">
              <w:rPr>
                <w:rFonts w:ascii="Verdana" w:hAnsi="Verdana"/>
                <w:sz w:val="22"/>
                <w:szCs w:val="22"/>
              </w:rPr>
              <w:t>$ 475.240</w:t>
            </w:r>
          </w:p>
        </w:tc>
      </w:tr>
      <w:tr w:rsidR="002C3CE4" w14:paraId="54069B9E" w14:textId="77777777" w:rsidTr="002C3CE4">
        <w:tc>
          <w:tcPr>
            <w:tcW w:w="4414" w:type="dxa"/>
          </w:tcPr>
          <w:p w14:paraId="12B556A8" w14:textId="778B6D6C" w:rsidR="002C3CE4" w:rsidRDefault="002C3CE4" w:rsidP="0013144C">
            <w:pPr>
              <w:jc w:val="both"/>
              <w:rPr>
                <w:rFonts w:ascii="Verdana" w:hAnsi="Verdana"/>
                <w:sz w:val="22"/>
                <w:szCs w:val="22"/>
              </w:rPr>
            </w:pPr>
            <w:r w:rsidRPr="002C3CE4">
              <w:rPr>
                <w:rFonts w:ascii="Verdana" w:hAnsi="Verdana"/>
                <w:sz w:val="22"/>
                <w:szCs w:val="22"/>
              </w:rPr>
              <w:lastRenderedPageBreak/>
              <w:t>Intereses moratorios a 20 de abril de 2016:</w:t>
            </w:r>
          </w:p>
        </w:tc>
        <w:tc>
          <w:tcPr>
            <w:tcW w:w="4414" w:type="dxa"/>
          </w:tcPr>
          <w:p w14:paraId="51CA2BFE" w14:textId="784D6865" w:rsidR="002C3CE4" w:rsidRDefault="002C3CE4" w:rsidP="0013144C">
            <w:pPr>
              <w:jc w:val="both"/>
              <w:rPr>
                <w:rFonts w:ascii="Verdana" w:hAnsi="Verdana"/>
                <w:sz w:val="22"/>
                <w:szCs w:val="22"/>
              </w:rPr>
            </w:pPr>
            <w:r w:rsidRPr="002C3CE4">
              <w:rPr>
                <w:rFonts w:ascii="Verdana" w:hAnsi="Verdana"/>
                <w:sz w:val="22"/>
                <w:szCs w:val="22"/>
              </w:rPr>
              <w:t>$ 2.639.044</w:t>
            </w:r>
          </w:p>
        </w:tc>
      </w:tr>
      <w:tr w:rsidR="002C3CE4" w14:paraId="22F4F340" w14:textId="77777777" w:rsidTr="002C3CE4">
        <w:tc>
          <w:tcPr>
            <w:tcW w:w="4414" w:type="dxa"/>
          </w:tcPr>
          <w:p w14:paraId="1C8CEF44" w14:textId="744571D1" w:rsidR="002C3CE4" w:rsidRDefault="002C3CE4" w:rsidP="0013144C">
            <w:pPr>
              <w:jc w:val="both"/>
              <w:rPr>
                <w:rFonts w:ascii="Verdana" w:hAnsi="Verdana"/>
                <w:sz w:val="22"/>
                <w:szCs w:val="22"/>
              </w:rPr>
            </w:pPr>
            <w:r w:rsidRPr="0013144C">
              <w:rPr>
                <w:rFonts w:ascii="Verdana" w:hAnsi="Verdana"/>
                <w:sz w:val="22"/>
                <w:szCs w:val="22"/>
              </w:rPr>
              <w:t>Total:</w:t>
            </w:r>
          </w:p>
        </w:tc>
        <w:tc>
          <w:tcPr>
            <w:tcW w:w="4414" w:type="dxa"/>
          </w:tcPr>
          <w:p w14:paraId="65C3C8A3" w14:textId="58687B94" w:rsidR="002C3CE4" w:rsidRDefault="002C3CE4" w:rsidP="0013144C">
            <w:pPr>
              <w:jc w:val="both"/>
              <w:rPr>
                <w:rFonts w:ascii="Verdana" w:hAnsi="Verdana"/>
                <w:sz w:val="22"/>
                <w:szCs w:val="22"/>
              </w:rPr>
            </w:pPr>
            <w:r w:rsidRPr="002C3CE4">
              <w:rPr>
                <w:rFonts w:ascii="Verdana" w:hAnsi="Verdana"/>
                <w:sz w:val="22"/>
                <w:szCs w:val="22"/>
              </w:rPr>
              <w:t>$ 2.639.044</w:t>
            </w:r>
          </w:p>
        </w:tc>
      </w:tr>
      <w:tr w:rsidR="002C3CE4" w14:paraId="48F4623A" w14:textId="77777777" w:rsidTr="00171861">
        <w:tc>
          <w:tcPr>
            <w:tcW w:w="8828" w:type="dxa"/>
            <w:gridSpan w:val="2"/>
          </w:tcPr>
          <w:p w14:paraId="5D7ABEBE" w14:textId="5C6DD753" w:rsidR="002C3CE4" w:rsidRDefault="002C3CE4" w:rsidP="0013144C">
            <w:pPr>
              <w:jc w:val="both"/>
              <w:rPr>
                <w:rFonts w:ascii="Verdana" w:hAnsi="Verdana"/>
                <w:sz w:val="22"/>
                <w:szCs w:val="22"/>
              </w:rPr>
            </w:pPr>
            <w:r w:rsidRPr="002C3CE4">
              <w:rPr>
                <w:rFonts w:ascii="Verdana" w:hAnsi="Verdana"/>
                <w:sz w:val="22"/>
                <w:szCs w:val="22"/>
              </w:rPr>
              <w:t>Aplicando el beneficio de la Ley 1739 de 2014</w:t>
            </w:r>
          </w:p>
        </w:tc>
      </w:tr>
      <w:tr w:rsidR="002C3CE4" w14:paraId="5EC9C943" w14:textId="77777777" w:rsidTr="002C3CE4">
        <w:tc>
          <w:tcPr>
            <w:tcW w:w="4414" w:type="dxa"/>
          </w:tcPr>
          <w:p w14:paraId="626937CA" w14:textId="5E33119B" w:rsidR="002C3CE4" w:rsidRDefault="002C3CE4" w:rsidP="0013144C">
            <w:pPr>
              <w:jc w:val="both"/>
              <w:rPr>
                <w:rFonts w:ascii="Verdana" w:hAnsi="Verdana"/>
                <w:sz w:val="22"/>
                <w:szCs w:val="22"/>
              </w:rPr>
            </w:pPr>
            <w:r w:rsidRPr="002C3CE4">
              <w:rPr>
                <w:rFonts w:ascii="Verdana" w:hAnsi="Verdana"/>
                <w:sz w:val="22"/>
                <w:szCs w:val="22"/>
              </w:rPr>
              <w:t>Capital:</w:t>
            </w:r>
          </w:p>
        </w:tc>
        <w:tc>
          <w:tcPr>
            <w:tcW w:w="4414" w:type="dxa"/>
          </w:tcPr>
          <w:p w14:paraId="798E2FB9" w14:textId="74E2512F" w:rsidR="002C3CE4" w:rsidRDefault="002C3CE4" w:rsidP="0013144C">
            <w:pPr>
              <w:jc w:val="both"/>
              <w:rPr>
                <w:rFonts w:ascii="Verdana" w:hAnsi="Verdana"/>
                <w:sz w:val="22"/>
                <w:szCs w:val="22"/>
              </w:rPr>
            </w:pPr>
            <w:r w:rsidRPr="002C3CE4">
              <w:rPr>
                <w:rFonts w:ascii="Verdana" w:hAnsi="Verdana"/>
                <w:sz w:val="22"/>
                <w:szCs w:val="22"/>
              </w:rPr>
              <w:t>$ 1.004.513</w:t>
            </w:r>
          </w:p>
        </w:tc>
      </w:tr>
      <w:tr w:rsidR="002C3CE4" w14:paraId="221C8307" w14:textId="77777777" w:rsidTr="002C3CE4">
        <w:tc>
          <w:tcPr>
            <w:tcW w:w="4414" w:type="dxa"/>
          </w:tcPr>
          <w:p w14:paraId="7E3AEF52" w14:textId="1356EA7E" w:rsidR="002C3CE4" w:rsidRDefault="002C3CE4" w:rsidP="0013144C">
            <w:pPr>
              <w:jc w:val="both"/>
              <w:rPr>
                <w:rFonts w:ascii="Verdana" w:hAnsi="Verdana"/>
                <w:sz w:val="22"/>
                <w:szCs w:val="22"/>
              </w:rPr>
            </w:pPr>
            <w:r w:rsidRPr="002C3CE4">
              <w:rPr>
                <w:rFonts w:ascii="Verdana" w:hAnsi="Verdana"/>
                <w:sz w:val="22"/>
                <w:szCs w:val="22"/>
              </w:rPr>
              <w:t>Intereses de mora a 20 de octubre de 2015:</w:t>
            </w:r>
          </w:p>
        </w:tc>
        <w:tc>
          <w:tcPr>
            <w:tcW w:w="4414" w:type="dxa"/>
          </w:tcPr>
          <w:p w14:paraId="35FC10C7" w14:textId="36C4DCAB" w:rsidR="002C3CE4" w:rsidRDefault="002C3CE4" w:rsidP="0013144C">
            <w:pPr>
              <w:jc w:val="both"/>
              <w:rPr>
                <w:rFonts w:ascii="Verdana" w:hAnsi="Verdana"/>
                <w:sz w:val="22"/>
                <w:szCs w:val="22"/>
              </w:rPr>
            </w:pPr>
            <w:r w:rsidRPr="002C3CE4">
              <w:rPr>
                <w:rFonts w:ascii="Verdana" w:hAnsi="Verdana"/>
                <w:sz w:val="22"/>
                <w:szCs w:val="22"/>
              </w:rPr>
              <w:t>$ 1.898.476</w:t>
            </w:r>
          </w:p>
        </w:tc>
      </w:tr>
      <w:tr w:rsidR="002C3CE4" w14:paraId="59290AEB" w14:textId="77777777" w:rsidTr="002C3CE4">
        <w:tc>
          <w:tcPr>
            <w:tcW w:w="4414" w:type="dxa"/>
          </w:tcPr>
          <w:p w14:paraId="3ADB6A20" w14:textId="241F5E8D" w:rsidR="002C3CE4" w:rsidRDefault="002C3CE4" w:rsidP="0013144C">
            <w:pPr>
              <w:jc w:val="both"/>
              <w:rPr>
                <w:rFonts w:ascii="Verdana" w:hAnsi="Verdana"/>
                <w:sz w:val="22"/>
                <w:szCs w:val="22"/>
              </w:rPr>
            </w:pPr>
            <w:r w:rsidRPr="0013144C">
              <w:rPr>
                <w:rFonts w:ascii="Verdana" w:hAnsi="Verdana"/>
                <w:sz w:val="22"/>
                <w:szCs w:val="22"/>
              </w:rPr>
              <w:t>Total:</w:t>
            </w:r>
          </w:p>
        </w:tc>
        <w:tc>
          <w:tcPr>
            <w:tcW w:w="4414" w:type="dxa"/>
          </w:tcPr>
          <w:p w14:paraId="0E832B83" w14:textId="374F020B" w:rsidR="002C3CE4" w:rsidRDefault="002C3CE4" w:rsidP="0013144C">
            <w:pPr>
              <w:jc w:val="both"/>
              <w:rPr>
                <w:rFonts w:ascii="Verdana" w:hAnsi="Verdana"/>
                <w:sz w:val="22"/>
                <w:szCs w:val="22"/>
              </w:rPr>
            </w:pPr>
            <w:r w:rsidRPr="002C3CE4">
              <w:rPr>
                <w:rFonts w:ascii="Verdana" w:hAnsi="Verdana"/>
                <w:sz w:val="22"/>
                <w:szCs w:val="22"/>
              </w:rPr>
              <w:t>$ 2.902.989</w:t>
            </w:r>
          </w:p>
        </w:tc>
      </w:tr>
    </w:tbl>
    <w:p w14:paraId="0AA5D336" w14:textId="77777777" w:rsidR="0038560A" w:rsidRDefault="0038560A" w:rsidP="0013144C">
      <w:pPr>
        <w:jc w:val="both"/>
        <w:rPr>
          <w:rFonts w:ascii="Verdana" w:hAnsi="Verdana"/>
          <w:sz w:val="22"/>
          <w:szCs w:val="22"/>
        </w:rPr>
      </w:pPr>
    </w:p>
    <w:p w14:paraId="0FCB3969" w14:textId="282ABD1D" w:rsidR="0013144C" w:rsidRPr="0013144C" w:rsidRDefault="0013144C" w:rsidP="0013144C">
      <w:pPr>
        <w:jc w:val="both"/>
        <w:rPr>
          <w:rFonts w:ascii="Verdana" w:hAnsi="Verdana"/>
          <w:sz w:val="22"/>
          <w:szCs w:val="22"/>
        </w:rPr>
      </w:pPr>
      <w:r w:rsidRPr="0013144C">
        <w:rPr>
          <w:rFonts w:ascii="Verdana" w:hAnsi="Verdana"/>
          <w:sz w:val="22"/>
          <w:szCs w:val="22"/>
        </w:rPr>
        <w:t>De lo anterior, se puede colegir que existe una diferencia entre la suma liquidada aplicando el beneficio establecido en la Ley 1739 de 2014, y el valor que se le informó a la señora XXX, debía pagar para cancelar la totalidad de la deuda por la suma de Cuarenta y Un Mil Seiscientos Cuarenta y Un Pesos ($ 41.641), para mayor claridad se realiza la siguiente discriminación:</w:t>
      </w:r>
    </w:p>
    <w:p w14:paraId="026618C9" w14:textId="77777777" w:rsidR="0013144C" w:rsidRPr="0013144C" w:rsidRDefault="0013144C" w:rsidP="0013144C">
      <w:pPr>
        <w:jc w:val="both"/>
        <w:rPr>
          <w:rFonts w:ascii="Verdana" w:hAnsi="Verdana"/>
          <w:sz w:val="22"/>
          <w:szCs w:val="22"/>
        </w:rPr>
      </w:pPr>
      <w:r w:rsidRPr="0013144C">
        <w:rPr>
          <w:rFonts w:ascii="Verdana" w:hAnsi="Verdana"/>
          <w:sz w:val="22"/>
          <w:szCs w:val="22"/>
        </w:rPr>
        <w:t xml:space="preserve">Valor total aplicando beneficio establecido en la </w:t>
      </w:r>
      <w:proofErr w:type="gramStart"/>
      <w:r w:rsidRPr="0013144C">
        <w:rPr>
          <w:rFonts w:ascii="Verdana" w:hAnsi="Verdana"/>
          <w:sz w:val="22"/>
          <w:szCs w:val="22"/>
        </w:rPr>
        <w:t>ley:…</w:t>
      </w:r>
      <w:proofErr w:type="gramEnd"/>
      <w:r w:rsidRPr="0013144C">
        <w:rPr>
          <w:rFonts w:ascii="Verdana" w:hAnsi="Verdana"/>
          <w:sz w:val="22"/>
          <w:szCs w:val="22"/>
        </w:rPr>
        <w:t>……</w:t>
      </w:r>
      <w:proofErr w:type="gramStart"/>
      <w:r w:rsidRPr="0013144C">
        <w:rPr>
          <w:rFonts w:ascii="Verdana" w:hAnsi="Verdana"/>
          <w:sz w:val="22"/>
          <w:szCs w:val="22"/>
        </w:rPr>
        <w:t>…….</w:t>
      </w:r>
      <w:proofErr w:type="gramEnd"/>
      <w:r w:rsidRPr="0013144C">
        <w:rPr>
          <w:rFonts w:ascii="Verdana" w:hAnsi="Verdana"/>
          <w:sz w:val="22"/>
          <w:szCs w:val="22"/>
        </w:rPr>
        <w:t>$ 2.902.989</w:t>
      </w:r>
    </w:p>
    <w:p w14:paraId="21D18DDF" w14:textId="77777777" w:rsidR="0013144C" w:rsidRPr="0013144C" w:rsidRDefault="0013144C" w:rsidP="0013144C">
      <w:pPr>
        <w:jc w:val="both"/>
        <w:rPr>
          <w:rFonts w:ascii="Verdana" w:hAnsi="Verdana"/>
          <w:sz w:val="22"/>
          <w:szCs w:val="22"/>
        </w:rPr>
      </w:pPr>
      <w:r w:rsidRPr="0013144C">
        <w:rPr>
          <w:rFonts w:ascii="Verdana" w:hAnsi="Verdana"/>
          <w:sz w:val="22"/>
          <w:szCs w:val="22"/>
        </w:rPr>
        <w:t xml:space="preserve">Valor total cancelado por la </w:t>
      </w:r>
      <w:proofErr w:type="gramStart"/>
      <w:r w:rsidRPr="0013144C">
        <w:rPr>
          <w:rFonts w:ascii="Verdana" w:hAnsi="Verdana"/>
          <w:sz w:val="22"/>
          <w:szCs w:val="22"/>
        </w:rPr>
        <w:t>deudora;…</w:t>
      </w:r>
      <w:proofErr w:type="gramEnd"/>
      <w:r w:rsidRPr="0013144C">
        <w:rPr>
          <w:rFonts w:ascii="Verdana" w:hAnsi="Verdana"/>
          <w:sz w:val="22"/>
          <w:szCs w:val="22"/>
        </w:rPr>
        <w:t>………………………</w:t>
      </w:r>
      <w:proofErr w:type="gramStart"/>
      <w:r w:rsidRPr="0013144C">
        <w:rPr>
          <w:rFonts w:ascii="Verdana" w:hAnsi="Verdana"/>
          <w:sz w:val="22"/>
          <w:szCs w:val="22"/>
        </w:rPr>
        <w:t>…….</w:t>
      </w:r>
      <w:proofErr w:type="gramEnd"/>
      <w:r w:rsidRPr="0013144C">
        <w:rPr>
          <w:rFonts w:ascii="Verdana" w:hAnsi="Verdana"/>
          <w:sz w:val="22"/>
          <w:szCs w:val="22"/>
        </w:rPr>
        <w:t>$ 2.861.348</w:t>
      </w:r>
    </w:p>
    <w:p w14:paraId="7F3C55FD" w14:textId="77777777" w:rsidR="0013144C" w:rsidRPr="0013144C" w:rsidRDefault="0013144C" w:rsidP="0013144C">
      <w:pPr>
        <w:jc w:val="both"/>
        <w:rPr>
          <w:rFonts w:ascii="Verdana" w:hAnsi="Verdana"/>
          <w:sz w:val="22"/>
          <w:szCs w:val="22"/>
        </w:rPr>
      </w:pPr>
      <w:proofErr w:type="gramStart"/>
      <w:r w:rsidRPr="0013144C">
        <w:rPr>
          <w:rFonts w:ascii="Verdana" w:hAnsi="Verdana"/>
          <w:sz w:val="22"/>
          <w:szCs w:val="22"/>
        </w:rPr>
        <w:t>Diferencia:…</w:t>
      </w:r>
      <w:proofErr w:type="gramEnd"/>
      <w:r w:rsidRPr="0013144C">
        <w:rPr>
          <w:rFonts w:ascii="Verdana" w:hAnsi="Verdana"/>
          <w:sz w:val="22"/>
          <w:szCs w:val="22"/>
        </w:rPr>
        <w:t>…………………………………………………………… $     41.641</w:t>
      </w:r>
    </w:p>
    <w:p w14:paraId="48BBC1AC" w14:textId="4F14556F" w:rsidR="0013144C" w:rsidRPr="0013144C" w:rsidRDefault="0013144C" w:rsidP="0013144C">
      <w:pPr>
        <w:jc w:val="both"/>
        <w:rPr>
          <w:rFonts w:ascii="Verdana" w:hAnsi="Verdana"/>
          <w:sz w:val="22"/>
          <w:szCs w:val="22"/>
        </w:rPr>
      </w:pPr>
      <w:r w:rsidRPr="0013144C">
        <w:rPr>
          <w:rFonts w:ascii="Verdana" w:hAnsi="Verdana"/>
          <w:sz w:val="22"/>
          <w:szCs w:val="22"/>
        </w:rPr>
        <w:t>Así las cosas, como la Ley 1739 de 2014, establece que para hacerse acreedor del beneficio establecido en el artículo 57 se debe realizar el pago total de la obligación y como en el presente caso ello no sucedió la regional Boyacá deberá requerir a la señora XXXX, para que realice el pago total de la obligación.</w:t>
      </w:r>
    </w:p>
    <w:p w14:paraId="6601B993" w14:textId="583F0076" w:rsidR="0013144C" w:rsidRPr="0038560A" w:rsidRDefault="0013144C" w:rsidP="0038560A">
      <w:pPr>
        <w:pStyle w:val="Prrafodelista"/>
        <w:numPr>
          <w:ilvl w:val="0"/>
          <w:numId w:val="1"/>
        </w:numPr>
        <w:jc w:val="both"/>
        <w:rPr>
          <w:rFonts w:ascii="Verdana" w:hAnsi="Verdana"/>
          <w:sz w:val="22"/>
          <w:szCs w:val="22"/>
        </w:rPr>
      </w:pPr>
      <w:r w:rsidRPr="0038560A">
        <w:rPr>
          <w:rFonts w:ascii="Verdana" w:hAnsi="Verdana"/>
          <w:b/>
          <w:bCs/>
          <w:sz w:val="22"/>
          <w:szCs w:val="22"/>
        </w:rPr>
        <w:t>CONCLUSION</w:t>
      </w:r>
    </w:p>
    <w:p w14:paraId="6B39314A" w14:textId="60C8694A" w:rsidR="0013144C" w:rsidRPr="0013144C" w:rsidRDefault="0013144C" w:rsidP="0013144C">
      <w:pPr>
        <w:jc w:val="both"/>
        <w:rPr>
          <w:rFonts w:ascii="Verdana" w:hAnsi="Verdana"/>
          <w:sz w:val="22"/>
          <w:szCs w:val="22"/>
        </w:rPr>
      </w:pPr>
      <w:r w:rsidRPr="0013144C">
        <w:rPr>
          <w:rFonts w:ascii="Verdana" w:hAnsi="Verdana"/>
          <w:sz w:val="22"/>
          <w:szCs w:val="22"/>
        </w:rPr>
        <w:t xml:space="preserve">Con fundamento en lo anterior, la Oficina Asesora Jurídica de la Dirección General, considera que como primera medida el </w:t>
      </w:r>
      <w:proofErr w:type="gramStart"/>
      <w:r w:rsidRPr="0013144C">
        <w:rPr>
          <w:rFonts w:ascii="Verdana" w:hAnsi="Verdana"/>
          <w:sz w:val="22"/>
          <w:szCs w:val="22"/>
        </w:rPr>
        <w:t>Funcionario</w:t>
      </w:r>
      <w:proofErr w:type="gramEnd"/>
      <w:r w:rsidRPr="0013144C">
        <w:rPr>
          <w:rFonts w:ascii="Verdana" w:hAnsi="Verdana"/>
          <w:sz w:val="22"/>
          <w:szCs w:val="22"/>
        </w:rPr>
        <w:t xml:space="preserve"> Ejecutor de la Regional Boyacá debe realizar un requerimiento a la señora XXX, para que proceda a realizar el pago de la suma adeudada </w:t>
      </w:r>
      <w:proofErr w:type="gramStart"/>
      <w:r w:rsidRPr="0013144C">
        <w:rPr>
          <w:rFonts w:ascii="Verdana" w:hAnsi="Verdana"/>
          <w:sz w:val="22"/>
          <w:szCs w:val="22"/>
        </w:rPr>
        <w:t>de acuerdo a</w:t>
      </w:r>
      <w:proofErr w:type="gramEnd"/>
      <w:r w:rsidRPr="0013144C">
        <w:rPr>
          <w:rFonts w:ascii="Verdana" w:hAnsi="Verdana"/>
          <w:sz w:val="22"/>
          <w:szCs w:val="22"/>
        </w:rPr>
        <w:t xml:space="preserve"> los parámetros establecidos en esta consulta, es decir, el pago total de la obligación inicial con el fin de evitar que la deudora pierda el beneficio de la ley 1739 de 2014.</w:t>
      </w:r>
    </w:p>
    <w:p w14:paraId="0C24CB83" w14:textId="25373022" w:rsidR="0013144C" w:rsidRPr="0013144C" w:rsidRDefault="0013144C" w:rsidP="0013144C">
      <w:pPr>
        <w:jc w:val="both"/>
        <w:rPr>
          <w:rFonts w:ascii="Verdana" w:hAnsi="Verdana"/>
          <w:sz w:val="22"/>
          <w:szCs w:val="22"/>
        </w:rPr>
      </w:pPr>
      <w:r w:rsidRPr="0013144C">
        <w:rPr>
          <w:rFonts w:ascii="Verdana" w:hAnsi="Verdana"/>
          <w:sz w:val="22"/>
          <w:szCs w:val="22"/>
        </w:rPr>
        <w:t>La presente respuesta tiene naturaleza de concepto jurídico y constituye un criterio auxiliar de interpretación de conformidad con lo establecido en el artículo 1</w:t>
      </w:r>
      <w:r w:rsidRPr="0013144C">
        <w:rPr>
          <w:rFonts w:ascii="Verdana" w:hAnsi="Verdana"/>
          <w:sz w:val="22"/>
          <w:szCs w:val="22"/>
          <w:vertAlign w:val="superscript"/>
        </w:rPr>
        <w:t>o</w:t>
      </w:r>
      <w:r w:rsidRPr="0013144C">
        <w:rPr>
          <w:rFonts w:ascii="Verdana" w:hAnsi="Verdana"/>
          <w:sz w:val="22"/>
          <w:szCs w:val="22"/>
        </w:rPr>
        <w:t> de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Artículo 6o del Decreto 987 de 2012.</w:t>
      </w:r>
    </w:p>
    <w:p w14:paraId="7AA01C28" w14:textId="77777777" w:rsidR="0013144C" w:rsidRDefault="0013144C" w:rsidP="0013144C">
      <w:pPr>
        <w:jc w:val="both"/>
        <w:rPr>
          <w:rFonts w:ascii="Verdana" w:hAnsi="Verdana"/>
          <w:sz w:val="22"/>
          <w:szCs w:val="22"/>
        </w:rPr>
      </w:pPr>
      <w:r w:rsidRPr="0013144C">
        <w:rPr>
          <w:rFonts w:ascii="Verdana" w:hAnsi="Verdana"/>
          <w:sz w:val="22"/>
          <w:szCs w:val="22"/>
        </w:rPr>
        <w:t>Cordialmente,</w:t>
      </w:r>
    </w:p>
    <w:p w14:paraId="3AB7E23C" w14:textId="77777777" w:rsidR="0013144C" w:rsidRPr="0013144C" w:rsidRDefault="0013144C" w:rsidP="0013144C">
      <w:pPr>
        <w:jc w:val="both"/>
        <w:rPr>
          <w:rFonts w:ascii="Verdana" w:hAnsi="Verdana"/>
          <w:sz w:val="22"/>
          <w:szCs w:val="22"/>
        </w:rPr>
      </w:pPr>
    </w:p>
    <w:p w14:paraId="6B6513E1" w14:textId="77777777" w:rsidR="0013144C" w:rsidRPr="0013144C" w:rsidRDefault="0013144C" w:rsidP="0013144C">
      <w:pPr>
        <w:jc w:val="both"/>
        <w:rPr>
          <w:rFonts w:ascii="Verdana" w:hAnsi="Verdana"/>
          <w:sz w:val="22"/>
          <w:szCs w:val="22"/>
        </w:rPr>
      </w:pPr>
      <w:r w:rsidRPr="0013144C">
        <w:rPr>
          <w:rFonts w:ascii="Verdana" w:hAnsi="Verdana"/>
          <w:b/>
          <w:bCs/>
          <w:sz w:val="22"/>
          <w:szCs w:val="22"/>
        </w:rPr>
        <w:t>LUZ KARIME FERNANDEZ CASTILLO</w:t>
      </w:r>
    </w:p>
    <w:p w14:paraId="1FB88791" w14:textId="77777777" w:rsidR="0013144C" w:rsidRPr="0013144C" w:rsidRDefault="0013144C" w:rsidP="0013144C">
      <w:pPr>
        <w:jc w:val="both"/>
        <w:rPr>
          <w:rFonts w:ascii="Verdana" w:hAnsi="Verdana"/>
          <w:sz w:val="22"/>
          <w:szCs w:val="22"/>
        </w:rPr>
      </w:pPr>
      <w:r w:rsidRPr="0013144C">
        <w:rPr>
          <w:rFonts w:ascii="Verdana" w:hAnsi="Verdana"/>
          <w:sz w:val="22"/>
          <w:szCs w:val="22"/>
        </w:rPr>
        <w:t>Jefe Oficina Asesora Jurídica.</w:t>
      </w:r>
    </w:p>
    <w:p w14:paraId="096A8485" w14:textId="77777777" w:rsidR="00A724C4" w:rsidRPr="0013144C" w:rsidRDefault="00A724C4" w:rsidP="0013144C">
      <w:pPr>
        <w:jc w:val="both"/>
        <w:rPr>
          <w:rFonts w:ascii="Verdana" w:hAnsi="Verdana"/>
          <w:sz w:val="22"/>
          <w:szCs w:val="22"/>
        </w:rPr>
      </w:pPr>
    </w:p>
    <w:sectPr w:rsidR="00A724C4" w:rsidRPr="0013144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261E"/>
    <w:multiLevelType w:val="hybridMultilevel"/>
    <w:tmpl w:val="CD5239CA"/>
    <w:lvl w:ilvl="0" w:tplc="5BA0A3DC">
      <w:start w:val="2"/>
      <w:numFmt w:val="bullet"/>
      <w:lvlText w:val="·"/>
      <w:lvlJc w:val="left"/>
      <w:pPr>
        <w:ind w:left="720" w:hanging="360"/>
      </w:pPr>
      <w:rPr>
        <w:rFonts w:ascii="Verdana" w:eastAsiaTheme="minorHAnsi" w:hAnsi="Verdana"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4EF5888"/>
    <w:multiLevelType w:val="hybridMultilevel"/>
    <w:tmpl w:val="5D667A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73E02FBB"/>
    <w:multiLevelType w:val="hybridMultilevel"/>
    <w:tmpl w:val="7672623E"/>
    <w:lvl w:ilvl="0" w:tplc="95869C7A">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483233924">
    <w:abstractNumId w:val="2"/>
  </w:num>
  <w:num w:numId="2" w16cid:durableId="1742482749">
    <w:abstractNumId w:val="1"/>
  </w:num>
  <w:num w:numId="3" w16cid:durableId="2097288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FA7"/>
    <w:rsid w:val="0013144C"/>
    <w:rsid w:val="00243CB4"/>
    <w:rsid w:val="002C3CE4"/>
    <w:rsid w:val="0038560A"/>
    <w:rsid w:val="003F2552"/>
    <w:rsid w:val="00694FA7"/>
    <w:rsid w:val="00A724C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D724F"/>
  <w15:chartTrackingRefBased/>
  <w15:docId w15:val="{971BB465-E8A2-4D2A-BC89-37EB30463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94F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94F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94FA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94FA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94FA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94FA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94FA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94FA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94FA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4FA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94FA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94FA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94FA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94FA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94FA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94FA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94FA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94FA7"/>
    <w:rPr>
      <w:rFonts w:eastAsiaTheme="majorEastAsia" w:cstheme="majorBidi"/>
      <w:color w:val="272727" w:themeColor="text1" w:themeTint="D8"/>
    </w:rPr>
  </w:style>
  <w:style w:type="paragraph" w:styleId="Ttulo">
    <w:name w:val="Title"/>
    <w:basedOn w:val="Normal"/>
    <w:next w:val="Normal"/>
    <w:link w:val="TtuloCar"/>
    <w:uiPriority w:val="10"/>
    <w:qFormat/>
    <w:rsid w:val="00694F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94FA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94FA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94FA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94FA7"/>
    <w:pPr>
      <w:spacing w:before="160"/>
      <w:jc w:val="center"/>
    </w:pPr>
    <w:rPr>
      <w:i/>
      <w:iCs/>
      <w:color w:val="404040" w:themeColor="text1" w:themeTint="BF"/>
    </w:rPr>
  </w:style>
  <w:style w:type="character" w:customStyle="1" w:styleId="CitaCar">
    <w:name w:val="Cita Car"/>
    <w:basedOn w:val="Fuentedeprrafopredeter"/>
    <w:link w:val="Cita"/>
    <w:uiPriority w:val="29"/>
    <w:rsid w:val="00694FA7"/>
    <w:rPr>
      <w:i/>
      <w:iCs/>
      <w:color w:val="404040" w:themeColor="text1" w:themeTint="BF"/>
    </w:rPr>
  </w:style>
  <w:style w:type="paragraph" w:styleId="Prrafodelista">
    <w:name w:val="List Paragraph"/>
    <w:basedOn w:val="Normal"/>
    <w:uiPriority w:val="34"/>
    <w:qFormat/>
    <w:rsid w:val="00694FA7"/>
    <w:pPr>
      <w:ind w:left="720"/>
      <w:contextualSpacing/>
    </w:pPr>
  </w:style>
  <w:style w:type="character" w:styleId="nfasisintenso">
    <w:name w:val="Intense Emphasis"/>
    <w:basedOn w:val="Fuentedeprrafopredeter"/>
    <w:uiPriority w:val="21"/>
    <w:qFormat/>
    <w:rsid w:val="00694FA7"/>
    <w:rPr>
      <w:i/>
      <w:iCs/>
      <w:color w:val="0F4761" w:themeColor="accent1" w:themeShade="BF"/>
    </w:rPr>
  </w:style>
  <w:style w:type="paragraph" w:styleId="Citadestacada">
    <w:name w:val="Intense Quote"/>
    <w:basedOn w:val="Normal"/>
    <w:next w:val="Normal"/>
    <w:link w:val="CitadestacadaCar"/>
    <w:uiPriority w:val="30"/>
    <w:qFormat/>
    <w:rsid w:val="00694F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94FA7"/>
    <w:rPr>
      <w:i/>
      <w:iCs/>
      <w:color w:val="0F4761" w:themeColor="accent1" w:themeShade="BF"/>
    </w:rPr>
  </w:style>
  <w:style w:type="character" w:styleId="Referenciaintensa">
    <w:name w:val="Intense Reference"/>
    <w:basedOn w:val="Fuentedeprrafopredeter"/>
    <w:uiPriority w:val="32"/>
    <w:qFormat/>
    <w:rsid w:val="00694FA7"/>
    <w:rPr>
      <w:b/>
      <w:bCs/>
      <w:smallCaps/>
      <w:color w:val="0F4761" w:themeColor="accent1" w:themeShade="BF"/>
      <w:spacing w:val="5"/>
    </w:rPr>
  </w:style>
  <w:style w:type="character" w:styleId="Hipervnculo">
    <w:name w:val="Hyperlink"/>
    <w:basedOn w:val="Fuentedeprrafopredeter"/>
    <w:uiPriority w:val="99"/>
    <w:unhideWhenUsed/>
    <w:rsid w:val="0013144C"/>
    <w:rPr>
      <w:color w:val="467886" w:themeColor="hyperlink"/>
      <w:u w:val="single"/>
    </w:rPr>
  </w:style>
  <w:style w:type="character" w:styleId="Mencinsinresolver">
    <w:name w:val="Unresolved Mention"/>
    <w:basedOn w:val="Fuentedeprrafopredeter"/>
    <w:uiPriority w:val="99"/>
    <w:semiHidden/>
    <w:unhideWhenUsed/>
    <w:rsid w:val="0013144C"/>
    <w:rPr>
      <w:color w:val="605E5C"/>
      <w:shd w:val="clear" w:color="auto" w:fill="E1DFDD"/>
    </w:rPr>
  </w:style>
  <w:style w:type="table" w:styleId="Tablaconcuadrcula">
    <w:name w:val="Table Grid"/>
    <w:basedOn w:val="Tablanormal"/>
    <w:uiPriority w:val="39"/>
    <w:rsid w:val="001314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819F29-7075-46F9-91BD-FFFA8548D148}"/>
</file>

<file path=customXml/itemProps2.xml><?xml version="1.0" encoding="utf-8"?>
<ds:datastoreItem xmlns:ds="http://schemas.openxmlformats.org/officeDocument/2006/customXml" ds:itemID="{E920D9BF-590A-45CF-A561-7076792EE4B3}"/>
</file>

<file path=customXml/itemProps3.xml><?xml version="1.0" encoding="utf-8"?>
<ds:datastoreItem xmlns:ds="http://schemas.openxmlformats.org/officeDocument/2006/customXml" ds:itemID="{697BD1B8-9858-4040-96E4-A71E2A8AB30F}"/>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6</TotalTime>
  <Pages>4</Pages>
  <Words>1021</Words>
  <Characters>5620</Characters>
  <Application>Microsoft Office Word</Application>
  <DocSecurity>0</DocSecurity>
  <Lines>46</Lines>
  <Paragraphs>13</Paragraphs>
  <ScaleCrop>false</ScaleCrop>
  <Company/>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4</cp:revision>
  <dcterms:created xsi:type="dcterms:W3CDTF">2026-05-08T19:21:00Z</dcterms:created>
  <dcterms:modified xsi:type="dcterms:W3CDTF">2026-05-08T19:27:00Z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