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EF72" w14:textId="277DC158" w:rsidR="00730070" w:rsidRPr="00730070" w:rsidRDefault="00730070" w:rsidP="00730070">
      <w:pPr>
        <w:jc w:val="center"/>
        <w:rPr>
          <w:rFonts w:ascii="Verdana" w:hAnsi="Verdana"/>
          <w:b/>
          <w:bCs/>
        </w:rPr>
      </w:pPr>
      <w:r w:rsidRPr="00730070">
        <w:rPr>
          <w:rFonts w:ascii="Verdana" w:hAnsi="Verdana"/>
          <w:b/>
          <w:bCs/>
        </w:rPr>
        <w:t>CONCEPTO 43 DE 2016</w:t>
      </w:r>
    </w:p>
    <w:p w14:paraId="31089C9F" w14:textId="1E6F167A" w:rsidR="00730070" w:rsidRPr="00730070" w:rsidRDefault="00730070" w:rsidP="00730070">
      <w:pPr>
        <w:jc w:val="center"/>
        <w:rPr>
          <w:rFonts w:ascii="Verdana" w:hAnsi="Verdana"/>
        </w:rPr>
      </w:pPr>
      <w:r w:rsidRPr="00730070">
        <w:rPr>
          <w:rFonts w:ascii="Verdana" w:hAnsi="Verdana"/>
        </w:rPr>
        <w:t>(mayo 20)</w:t>
      </w:r>
    </w:p>
    <w:p w14:paraId="08C65E1B" w14:textId="26BE0111" w:rsidR="000B4793" w:rsidRDefault="00730070" w:rsidP="00730070">
      <w:pPr>
        <w:jc w:val="center"/>
        <w:rPr>
          <w:rFonts w:ascii="Verdana" w:hAnsi="Verdana"/>
          <w:b/>
          <w:bCs/>
        </w:rPr>
      </w:pPr>
      <w:r w:rsidRPr="00730070">
        <w:rPr>
          <w:rFonts w:ascii="Verdana" w:hAnsi="Verdana"/>
          <w:b/>
          <w:bCs/>
        </w:rPr>
        <w:t>INSTITUTO COLOMBIANO DE BIENESTAR FAMILIAR</w:t>
      </w:r>
    </w:p>
    <w:p w14:paraId="20252596" w14:textId="4FE11C66" w:rsidR="00730070" w:rsidRPr="00730070" w:rsidRDefault="00730070" w:rsidP="00730070">
      <w:pPr>
        <w:jc w:val="both"/>
        <w:rPr>
          <w:rFonts w:ascii="Verdana" w:hAnsi="Verdana"/>
        </w:rPr>
      </w:pPr>
      <w:r w:rsidRPr="00730070">
        <w:rPr>
          <w:rFonts w:ascii="Verdana" w:hAnsi="Verdana"/>
          <w:b/>
          <w:bCs/>
        </w:rPr>
        <w:t>ASUNTO:</w:t>
      </w:r>
      <w:r>
        <w:rPr>
          <w:rFonts w:ascii="Verdana" w:hAnsi="Verdana"/>
        </w:rPr>
        <w:t xml:space="preserve"> </w:t>
      </w:r>
      <w:r w:rsidRPr="00730070">
        <w:rPr>
          <w:rFonts w:ascii="Verdana" w:hAnsi="Verdana"/>
        </w:rPr>
        <w:t>Solicitud de concepto de acuerdo ha radicado en el ICBF No. 042968 del 29 de abril de 2016</w:t>
      </w:r>
    </w:p>
    <w:p w14:paraId="76C30380" w14:textId="0A0B4D40" w:rsidR="00730070" w:rsidRPr="00730070" w:rsidRDefault="00730070" w:rsidP="00730070">
      <w:pPr>
        <w:jc w:val="both"/>
        <w:rPr>
          <w:rFonts w:ascii="Verdana" w:hAnsi="Verdana"/>
        </w:rPr>
      </w:pPr>
      <w:r w:rsidRPr="00730070">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312665F8" w14:textId="6E9F3BB5" w:rsidR="00730070" w:rsidRPr="00730070" w:rsidRDefault="00730070" w:rsidP="00730070">
      <w:pPr>
        <w:jc w:val="both"/>
        <w:rPr>
          <w:rFonts w:ascii="Verdana" w:hAnsi="Verdana"/>
          <w:b/>
          <w:bCs/>
        </w:rPr>
      </w:pPr>
      <w:r w:rsidRPr="00730070">
        <w:rPr>
          <w:rFonts w:ascii="Verdana" w:hAnsi="Verdana"/>
          <w:b/>
          <w:bCs/>
        </w:rPr>
        <w:t>1. CONSULTA</w:t>
      </w:r>
    </w:p>
    <w:p w14:paraId="2FAFD299" w14:textId="6DC27614" w:rsidR="00730070" w:rsidRPr="00730070" w:rsidRDefault="00730070" w:rsidP="00730070">
      <w:pPr>
        <w:jc w:val="both"/>
        <w:rPr>
          <w:rFonts w:ascii="Verdana" w:hAnsi="Verdana"/>
        </w:rPr>
      </w:pPr>
      <w:r w:rsidRPr="00730070">
        <w:rPr>
          <w:rFonts w:ascii="Verdana" w:hAnsi="Verdana"/>
        </w:rPr>
        <w:t>¿Qué requisitos debe tener en cuenta el ICBF para la inscripción de representantes legales de las personas jurídicas que prestan servicios de protección integral a los niños, niñas y adolescentes y a sus familias?</w:t>
      </w:r>
    </w:p>
    <w:p w14:paraId="318BA720" w14:textId="5838C9B0" w:rsidR="00730070" w:rsidRPr="00730070" w:rsidRDefault="00730070" w:rsidP="00730070">
      <w:pPr>
        <w:jc w:val="both"/>
        <w:rPr>
          <w:rFonts w:ascii="Verdana" w:hAnsi="Verdana"/>
          <w:b/>
          <w:bCs/>
        </w:rPr>
      </w:pPr>
      <w:r w:rsidRPr="00730070">
        <w:rPr>
          <w:rFonts w:ascii="Verdana" w:hAnsi="Verdana"/>
          <w:b/>
          <w:bCs/>
        </w:rPr>
        <w:t>2. ANÁLISIS</w:t>
      </w:r>
    </w:p>
    <w:p w14:paraId="2897DB2C" w14:textId="159E387C" w:rsidR="00730070" w:rsidRPr="00730070" w:rsidRDefault="00730070" w:rsidP="00730070">
      <w:pPr>
        <w:jc w:val="both"/>
        <w:rPr>
          <w:rFonts w:ascii="Verdana" w:hAnsi="Verdana"/>
        </w:rPr>
      </w:pPr>
      <w:r w:rsidRPr="00730070">
        <w:rPr>
          <w:rFonts w:ascii="Verdana" w:hAnsi="Verdana"/>
        </w:rPr>
        <w:t>El presente problema jurídico se abordará así: (2 1) el servicio público de Bienestar Familiar, (2.2) Requisitos que debe tener en cuenta el ICBF para la inscripción de los representantes legales y (2.3) las preguntas en concreto</w:t>
      </w:r>
    </w:p>
    <w:p w14:paraId="323D6F3C" w14:textId="71E9B4D3" w:rsidR="00730070" w:rsidRPr="00730070" w:rsidRDefault="00730070" w:rsidP="00730070">
      <w:pPr>
        <w:jc w:val="both"/>
        <w:rPr>
          <w:rFonts w:ascii="Verdana" w:hAnsi="Verdana"/>
        </w:rPr>
      </w:pPr>
      <w:r w:rsidRPr="00730070">
        <w:rPr>
          <w:rFonts w:ascii="Verdana" w:hAnsi="Verdana"/>
        </w:rPr>
        <w:t>(2.1) El servicio público de Bienestar Familiar</w:t>
      </w:r>
    </w:p>
    <w:p w14:paraId="4C3C3742" w14:textId="2DCB034E" w:rsidR="00730070" w:rsidRPr="00730070" w:rsidRDefault="00730070" w:rsidP="00730070">
      <w:pPr>
        <w:jc w:val="both"/>
        <w:rPr>
          <w:rFonts w:ascii="Verdana" w:hAnsi="Verdana"/>
        </w:rPr>
      </w:pPr>
      <w:r w:rsidRPr="00730070">
        <w:rPr>
          <w:rFonts w:ascii="Verdana" w:hAnsi="Verdana"/>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familiar.[1]</w:t>
      </w:r>
    </w:p>
    <w:p w14:paraId="2EAC1594" w14:textId="604A9C87" w:rsidR="00730070" w:rsidRPr="00730070" w:rsidRDefault="00730070" w:rsidP="00730070">
      <w:pPr>
        <w:jc w:val="both"/>
        <w:rPr>
          <w:rFonts w:ascii="Verdana" w:hAnsi="Verdana"/>
        </w:rPr>
      </w:pPr>
      <w:r w:rsidRPr="00730070">
        <w:rPr>
          <w:rFonts w:ascii="Verdana" w:hAnsi="Verdana"/>
        </w:rPr>
        <w:t>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y municipal.</w:t>
      </w:r>
    </w:p>
    <w:p w14:paraId="021B3B4D" w14:textId="2963D50A" w:rsidR="00730070" w:rsidRPr="00730070" w:rsidRDefault="00730070" w:rsidP="00730070">
      <w:pPr>
        <w:jc w:val="both"/>
        <w:rPr>
          <w:rFonts w:ascii="Verdana" w:hAnsi="Verdana"/>
        </w:rPr>
      </w:pPr>
      <w:r w:rsidRPr="00730070">
        <w:rPr>
          <w:rFonts w:ascii="Verdana" w:hAnsi="Verdana"/>
        </w:rPr>
        <w:t>El Decreto 936 de 2013[2] establece los principios rectores del Sistema Nacional de Bienestar Familiar, indicando que:</w:t>
      </w:r>
    </w:p>
    <w:p w14:paraId="50DF60FD" w14:textId="75F0ACFB" w:rsidR="00730070" w:rsidRPr="00730070" w:rsidRDefault="00730070" w:rsidP="00730070">
      <w:pPr>
        <w:jc w:val="both"/>
        <w:rPr>
          <w:rFonts w:ascii="Verdana" w:hAnsi="Verdana"/>
        </w:rPr>
      </w:pPr>
      <w:r w:rsidRPr="00730070">
        <w:rPr>
          <w:rFonts w:ascii="Verdana" w:hAnsi="Verdana"/>
        </w:rPr>
        <w:t xml:space="preserve">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w:t>
      </w:r>
      <w:r w:rsidRPr="00730070">
        <w:rPr>
          <w:rFonts w:ascii="Verdana" w:hAnsi="Verdana"/>
        </w:rPr>
        <w:lastRenderedPageBreak/>
        <w:t>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0F9AE53E" w14:textId="2D291CE9" w:rsidR="00730070" w:rsidRPr="00730070" w:rsidRDefault="00730070" w:rsidP="00730070">
      <w:pPr>
        <w:jc w:val="both"/>
        <w:rPr>
          <w:rFonts w:ascii="Verdana" w:hAnsi="Verdana"/>
        </w:rPr>
      </w:pPr>
      <w:r w:rsidRPr="00730070">
        <w:rPr>
          <w:rFonts w:ascii="Verdana" w:hAnsi="Verdana"/>
        </w:rPr>
        <w:t>En el marco de la necesaria articulación y coordinación, el mismo Decreto dispone los objetivos del Sistema Nacional de Bienestar Familiar así:</w:t>
      </w:r>
    </w:p>
    <w:p w14:paraId="2E80ACBF" w14:textId="1D46D6B6" w:rsidR="00730070" w:rsidRPr="00730070" w:rsidRDefault="00730070" w:rsidP="00730070">
      <w:pPr>
        <w:jc w:val="both"/>
        <w:rPr>
          <w:rFonts w:ascii="Verdana" w:hAnsi="Verdana"/>
        </w:rPr>
      </w:pPr>
      <w:r w:rsidRPr="00730070">
        <w:rPr>
          <w:rFonts w:ascii="Verdana" w:hAnsi="Verdana"/>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77C91C1C" w14:textId="41A7C335" w:rsidR="00730070" w:rsidRPr="00730070" w:rsidRDefault="00730070" w:rsidP="00730070">
      <w:pPr>
        <w:jc w:val="both"/>
        <w:rPr>
          <w:rFonts w:ascii="Verdana" w:hAnsi="Verdana"/>
        </w:rPr>
      </w:pPr>
      <w:r w:rsidRPr="00730070">
        <w:rPr>
          <w:rFonts w:ascii="Verdana" w:hAnsi="Verdana"/>
        </w:rPr>
        <w:t>· Promover la formulación, implementación, seguimiento y evaluación de políticas de primera infancia, infancia y adolescencia y fortalecimiento familiar en los ámbitos nacional y territorial con enfoque diferencial.</w:t>
      </w:r>
    </w:p>
    <w:p w14:paraId="6656D1B2" w14:textId="5BF89FD8" w:rsidR="00730070" w:rsidRPr="00730070" w:rsidRDefault="00730070" w:rsidP="00730070">
      <w:pPr>
        <w:jc w:val="both"/>
        <w:rPr>
          <w:rFonts w:ascii="Verdana" w:hAnsi="Verdana"/>
        </w:rPr>
      </w:pPr>
      <w:r w:rsidRPr="00730070">
        <w:rPr>
          <w:rFonts w:ascii="Verdana" w:hAnsi="Verdana"/>
        </w:rPr>
        <w:t>· Lograr que la primera infancia, la infancia y adolescencia y el fortalecimiento familiar sean una prioridad social, política, técnica y financiera en el ámbito nacional y territorial.</w:t>
      </w:r>
    </w:p>
    <w:p w14:paraId="3918DF0D" w14:textId="6C190845" w:rsidR="00730070" w:rsidRPr="00730070" w:rsidRDefault="00730070" w:rsidP="00730070">
      <w:pPr>
        <w:jc w:val="both"/>
        <w:rPr>
          <w:rFonts w:ascii="Verdana" w:hAnsi="Verdana"/>
        </w:rPr>
      </w:pPr>
      <w:r w:rsidRPr="00730070">
        <w:rPr>
          <w:rFonts w:ascii="Verdana" w:hAnsi="Verdana"/>
        </w:rPr>
        <w:t>· Mejorar el ejercicio de la participación y movilización social en torno a la protección integral de la primera infancia, la infancia, la adolescencia y el fortalecimiento familiar en los niveles nacional y territorial.</w:t>
      </w:r>
    </w:p>
    <w:p w14:paraId="33B55BD5" w14:textId="175F2100" w:rsidR="00730070" w:rsidRPr="00730070" w:rsidRDefault="00730070" w:rsidP="00730070">
      <w:pPr>
        <w:jc w:val="both"/>
        <w:rPr>
          <w:rFonts w:ascii="Verdana" w:hAnsi="Verdana"/>
        </w:rPr>
      </w:pPr>
      <w:r w:rsidRPr="00730070">
        <w:rPr>
          <w:rFonts w:ascii="Verdana" w:hAnsi="Verdana"/>
        </w:rPr>
        <w:t>· Evaluar y hacer seguimiento del estado de realización de derechos de los niños, niñas y adolescentes.</w:t>
      </w:r>
    </w:p>
    <w:p w14:paraId="7E6FE4F3" w14:textId="3781C010" w:rsidR="00730070" w:rsidRPr="00730070" w:rsidRDefault="00730070" w:rsidP="00730070">
      <w:pPr>
        <w:jc w:val="both"/>
        <w:rPr>
          <w:rFonts w:ascii="Verdana" w:hAnsi="Verdana"/>
        </w:rPr>
      </w:pPr>
      <w:r w:rsidRPr="00730070">
        <w:rPr>
          <w:rFonts w:ascii="Verdana" w:hAnsi="Verdana"/>
        </w:rPr>
        <w:t>En relación con lo anterior se debe recordar que mediante el Decreto 2388 de 1979 se reglamentaron las Leyes 75 de 1968, 27 de 1974 y 7o. de 1979, y se dispuso entre otras cosas que:</w:t>
      </w:r>
    </w:p>
    <w:p w14:paraId="4CFD1D73" w14:textId="07B1EF19" w:rsidR="00730070" w:rsidRPr="00730070" w:rsidRDefault="00730070" w:rsidP="00730070">
      <w:pPr>
        <w:jc w:val="both"/>
        <w:rPr>
          <w:rFonts w:ascii="Verdana" w:hAnsi="Verdana"/>
        </w:rPr>
      </w:pPr>
      <w:r w:rsidRPr="00730070">
        <w:rPr>
          <w:rFonts w:ascii="Verdana" w:hAnsi="Verdana"/>
        </w:rPr>
        <w:t>Artículo 6. Integran el Sistema Nacional de Bienestar Familiar;</w:t>
      </w:r>
    </w:p>
    <w:p w14:paraId="620131CD" w14:textId="502E37EC" w:rsidR="00730070" w:rsidRPr="00730070" w:rsidRDefault="00730070" w:rsidP="00730070">
      <w:pPr>
        <w:jc w:val="both"/>
        <w:rPr>
          <w:rFonts w:ascii="Verdana" w:hAnsi="Verdana"/>
        </w:rPr>
      </w:pPr>
      <w:r w:rsidRPr="00730070">
        <w:rPr>
          <w:rFonts w:ascii="Verdana" w:hAnsi="Verdana"/>
        </w:rPr>
        <w:t>a) El Instituto Colombiano de Bienestar Familiar (ICBF) sus regionales o agencias en los Departamentos, en el Distrito Especial de Bogotá, en las Intendencias, Comisarías y en los Municipios;</w:t>
      </w:r>
    </w:p>
    <w:p w14:paraId="549B72E6" w14:textId="18242829" w:rsidR="00730070" w:rsidRPr="00730070" w:rsidRDefault="00730070" w:rsidP="00730070">
      <w:pPr>
        <w:jc w:val="both"/>
        <w:rPr>
          <w:rFonts w:ascii="Verdana" w:hAnsi="Verdana"/>
        </w:rPr>
      </w:pPr>
      <w:r w:rsidRPr="00730070">
        <w:rPr>
          <w:rFonts w:ascii="Verdana" w:hAnsi="Verdana"/>
        </w:rPr>
        <w:t>(...)</w:t>
      </w:r>
    </w:p>
    <w:p w14:paraId="4046C657" w14:textId="3E25750D" w:rsidR="00730070" w:rsidRPr="00730070" w:rsidRDefault="00730070" w:rsidP="00730070">
      <w:pPr>
        <w:jc w:val="both"/>
        <w:rPr>
          <w:rFonts w:ascii="Verdana" w:hAnsi="Verdana"/>
        </w:rPr>
      </w:pPr>
      <w:r w:rsidRPr="00730070">
        <w:rPr>
          <w:rFonts w:ascii="Verdana" w:hAnsi="Verdana"/>
        </w:rPr>
        <w:t>Artículo 8. Hacen parte también del Sistema Nacional de Bienestar Familiar las entidades públicas o privadas, de carácter nacional, distrital, departamental, comisarial, intendencial o municipal, que habitualmente realicen actividades relacionadas con la protección preventiva y especial del menor, la garantía de sus derechos y la realización e integración armónica de la familia.</w:t>
      </w:r>
    </w:p>
    <w:p w14:paraId="39DA97E9" w14:textId="3E084A7D" w:rsidR="00730070" w:rsidRPr="00730070" w:rsidRDefault="00730070" w:rsidP="00730070">
      <w:pPr>
        <w:jc w:val="both"/>
        <w:rPr>
          <w:rFonts w:ascii="Verdana" w:hAnsi="Verdana"/>
        </w:rPr>
      </w:pPr>
      <w:r w:rsidRPr="00730070">
        <w:rPr>
          <w:rFonts w:ascii="Verdana" w:hAnsi="Verdana"/>
        </w:rPr>
        <w:t>Artículo 12. Las actividades que realicen las entidades mencionadas en los artículos anteriores, deberán cumplirse con estricta sujeción a las normas del servicio y a los reglamentos dictados por el ICBF.</w:t>
      </w:r>
    </w:p>
    <w:p w14:paraId="08377A89" w14:textId="5F1E8449" w:rsidR="00730070" w:rsidRPr="00730070" w:rsidRDefault="00730070" w:rsidP="00730070">
      <w:pPr>
        <w:jc w:val="both"/>
        <w:rPr>
          <w:rFonts w:ascii="Verdana" w:hAnsi="Verdana"/>
        </w:rPr>
      </w:pPr>
      <w:r w:rsidRPr="00730070">
        <w:rPr>
          <w:rFonts w:ascii="Verdana" w:hAnsi="Verdana"/>
        </w:rPr>
        <w:lastRenderedPageBreak/>
        <w:t>Artículo 20. De conformidad con lo previsto en la Ley 7 de 1979 y de modo especial en los artículos 12, 14, 15, 19, 20 y 21, la dirección del Sistema Nacional de Bienestar Familiar está a cargo del ICBF. En ejercicio de ella le corresponde:</w:t>
      </w:r>
    </w:p>
    <w:p w14:paraId="53467EA9" w14:textId="30C5CD6C" w:rsidR="00730070" w:rsidRPr="00730070" w:rsidRDefault="00730070" w:rsidP="00730070">
      <w:pPr>
        <w:jc w:val="both"/>
        <w:rPr>
          <w:rFonts w:ascii="Verdana" w:hAnsi="Verdana"/>
        </w:rPr>
      </w:pPr>
      <w:r w:rsidRPr="00730070">
        <w:rPr>
          <w:rFonts w:ascii="Verdana" w:hAnsi="Verdana"/>
        </w:rPr>
        <w:t>(...)</w:t>
      </w:r>
    </w:p>
    <w:p w14:paraId="1542B0F8" w14:textId="2F66671A" w:rsidR="00730070" w:rsidRPr="00730070" w:rsidRDefault="00730070" w:rsidP="00730070">
      <w:pPr>
        <w:jc w:val="both"/>
        <w:rPr>
          <w:rFonts w:ascii="Verdana" w:hAnsi="Verdana"/>
        </w:rPr>
      </w:pPr>
      <w:r w:rsidRPr="00730070">
        <w:rPr>
          <w:rFonts w:ascii="Verdana" w:hAnsi="Verdana"/>
        </w:rPr>
        <w:t>9. Supervisar y controlar el funcionamiento de las entidades que constituyen el sistema y prestarle asesoría a las mismas.</w:t>
      </w:r>
    </w:p>
    <w:p w14:paraId="1F68B694" w14:textId="068E1323" w:rsidR="00730070" w:rsidRPr="00730070" w:rsidRDefault="00730070" w:rsidP="00730070">
      <w:pPr>
        <w:jc w:val="both"/>
        <w:rPr>
          <w:rFonts w:ascii="Verdana" w:hAnsi="Verdana"/>
        </w:rPr>
      </w:pPr>
      <w:r w:rsidRPr="00730070">
        <w:rPr>
          <w:rFonts w:ascii="Verdana" w:hAnsi="Verdana"/>
        </w:rPr>
        <w:t>Artículo 27.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65CDFE6B" w14:textId="1380CC28" w:rsidR="00730070" w:rsidRPr="00730070" w:rsidRDefault="00730070" w:rsidP="00730070">
      <w:pPr>
        <w:jc w:val="both"/>
        <w:rPr>
          <w:rFonts w:ascii="Verdana" w:hAnsi="Verdana"/>
        </w:rPr>
      </w:pPr>
      <w:r w:rsidRPr="00730070">
        <w:rPr>
          <w:rFonts w:ascii="Verdana" w:hAnsi="Verdana"/>
        </w:rPr>
        <w:t>(2.2) Requisitos que debe tener en cuenta el ICBF para la inscripción del representante legal</w:t>
      </w:r>
    </w:p>
    <w:p w14:paraId="456E8907" w14:textId="4F24D4FA" w:rsidR="00730070" w:rsidRPr="00730070" w:rsidRDefault="00730070" w:rsidP="00730070">
      <w:pPr>
        <w:jc w:val="both"/>
        <w:rPr>
          <w:rFonts w:ascii="Verdana" w:hAnsi="Verdana"/>
        </w:rPr>
      </w:pPr>
      <w:r w:rsidRPr="00730070">
        <w:rPr>
          <w:rFonts w:ascii="Verdana" w:hAnsi="Verdana"/>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55B35AD7" w14:textId="530B485F" w:rsidR="00730070" w:rsidRPr="00730070" w:rsidRDefault="00730070" w:rsidP="00730070">
      <w:pPr>
        <w:jc w:val="both"/>
        <w:rPr>
          <w:rFonts w:ascii="Verdana" w:hAnsi="Verdana"/>
        </w:rPr>
      </w:pPr>
      <w:r w:rsidRPr="00730070">
        <w:rPr>
          <w:rFonts w:ascii="Verdana" w:hAnsi="Verdana"/>
        </w:rPr>
        <w:t>En igual sentido el Decreto 2388 de 1979,[3]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 (Subrayado y resaltado fuera de texto)</w:t>
      </w:r>
    </w:p>
    <w:p w14:paraId="07174D09" w14:textId="72E43E46" w:rsidR="00730070" w:rsidRPr="00730070" w:rsidRDefault="00730070" w:rsidP="00730070">
      <w:pPr>
        <w:jc w:val="both"/>
        <w:rPr>
          <w:rFonts w:ascii="Verdana" w:hAnsi="Verdana"/>
        </w:rPr>
      </w:pPr>
      <w:r w:rsidRPr="00730070">
        <w:rPr>
          <w:rFonts w:ascii="Verdana" w:hAnsi="Verdana"/>
        </w:rPr>
        <w:t>El artículo 9 de la Resolución No. 3899 de 2010, modificado por la Resolución No. 3435 de 2016, establece los documentos que se deben presentar ante el ICBF para la solicitud de inscripción de representante legal y miembros de junta directiva, indicando además que en todos los casos deberá reportarse el cambio de estos allegando nuevamente los documentos requeridos en ese artículo.</w:t>
      </w:r>
    </w:p>
    <w:p w14:paraId="3BE890CD" w14:textId="3935F47F" w:rsidR="00730070" w:rsidRPr="00730070" w:rsidRDefault="00730070" w:rsidP="00730070">
      <w:pPr>
        <w:jc w:val="both"/>
        <w:rPr>
          <w:rFonts w:ascii="Verdana" w:hAnsi="Verdana"/>
        </w:rPr>
      </w:pPr>
      <w:r w:rsidRPr="00730070">
        <w:rPr>
          <w:rFonts w:ascii="Verdana" w:hAnsi="Verdana"/>
        </w:rPr>
        <w:t>El parágrafo del artículo 11 de la Ley 1098 de 2006 indica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w:t>
      </w:r>
      <w:proofErr w:type="gramStart"/>
      <w:r w:rsidRPr="00730070">
        <w:rPr>
          <w:rFonts w:ascii="Verdana" w:hAnsi="Verdana"/>
        </w:rPr>
        <w:t>”.(....</w:t>
      </w:r>
      <w:proofErr w:type="gramEnd"/>
      <w:r w:rsidRPr="00730070">
        <w:rPr>
          <w:rFonts w:ascii="Verdana" w:hAnsi="Verdana"/>
        </w:rPr>
        <w:t>)</w:t>
      </w:r>
    </w:p>
    <w:p w14:paraId="1EDAD938" w14:textId="65F189B8" w:rsidR="00730070" w:rsidRPr="00730070" w:rsidRDefault="00730070" w:rsidP="00730070">
      <w:pPr>
        <w:jc w:val="both"/>
        <w:rPr>
          <w:rFonts w:ascii="Verdana" w:hAnsi="Verdana"/>
        </w:rPr>
      </w:pPr>
      <w:r w:rsidRPr="00730070">
        <w:rPr>
          <w:rFonts w:ascii="Verdana" w:hAnsi="Verdana"/>
        </w:rPr>
        <w:t xml:space="preserve">En razón de lo anterior, el ICBF expide el lineamiento técnico, administrativo y operativo, modalidad hogares comunitarios de bienestar en todas sus formas (fami, familiares, grupales, múltiples, múltiples empresariales y jardines sociales) para la atención a niños y niñas hasta los cinco (5) años de edad, el cual en su numeral 6.5, aprobado mediante la Resolución No 5827 del 14 de octubre de 2014, establece claramente que el ICBF podrá celebrar contrato de </w:t>
      </w:r>
      <w:r w:rsidRPr="00730070">
        <w:rPr>
          <w:rFonts w:ascii="Verdana" w:hAnsi="Verdana"/>
        </w:rPr>
        <w:lastRenderedPageBreak/>
        <w:t>aporte, hasta por un año o más en casos excepcionales cuando se cuente con recursos de vigencias futuras, con los siguientes contratistas:</w:t>
      </w:r>
    </w:p>
    <w:p w14:paraId="46D8BF7F" w14:textId="7E3D5306" w:rsidR="00730070" w:rsidRPr="00730070" w:rsidRDefault="00730070" w:rsidP="00730070">
      <w:pPr>
        <w:jc w:val="both"/>
        <w:rPr>
          <w:rFonts w:ascii="Verdana" w:hAnsi="Verdana"/>
        </w:rPr>
      </w:pPr>
      <w:r w:rsidRPr="00730070">
        <w:rPr>
          <w:rFonts w:ascii="Verdana" w:hAnsi="Verdana"/>
        </w:rPr>
        <w:t>· Asociación de padres de familia y/o acudientes de los niños usuarios: El ICBF podrá contratar con asociaciones constituidas legalmente y exclusivamente por padres de familia y/o acudientes de los niños y niñas usuarios.</w:t>
      </w:r>
    </w:p>
    <w:p w14:paraId="552A95D7" w14:textId="11A6FEB3" w:rsidR="00730070" w:rsidRPr="00730070" w:rsidRDefault="00730070" w:rsidP="00730070">
      <w:pPr>
        <w:jc w:val="both"/>
        <w:rPr>
          <w:rFonts w:ascii="Verdana" w:hAnsi="Verdana"/>
        </w:rPr>
      </w:pPr>
      <w:r w:rsidRPr="00730070">
        <w:rPr>
          <w:rFonts w:ascii="Verdana" w:hAnsi="Verdana"/>
        </w:rPr>
        <w:t>· Asociación de padres de familia y/o acudientes de los niños usuarios y madres comunitarias siempre y cuando estén constituidas de la siguiente manera:</w:t>
      </w:r>
    </w:p>
    <w:p w14:paraId="24C57CBE" w14:textId="4E85D3B2" w:rsidR="00730070" w:rsidRPr="00730070" w:rsidRDefault="00730070" w:rsidP="00730070">
      <w:pPr>
        <w:jc w:val="both"/>
        <w:rPr>
          <w:rFonts w:ascii="Verdana" w:hAnsi="Verdana"/>
        </w:rPr>
      </w:pPr>
      <w:r w:rsidRPr="00730070">
        <w:rPr>
          <w:rFonts w:ascii="Verdana" w:hAnsi="Verdana"/>
        </w:rPr>
        <w:t xml:space="preserve">La Junta Directiva de este tipo de Asociación la constituyen cinco (5) personas entre padres de familia usuarios del Programa o acudiente legal y madres comunitarias. El cargo de Fiscal lo debe ocupar un padre de familia usuario, las madres o padres comunitarias (sic) deben ser elegidas como delegadas a la Asamblea de Padres por la junta de padres del respectivo HCB. En los dos tipos de Asociación anteriores, la asociación debe estar conformada por máximo 25 hogares comunitarios en su área de influencia y contar con personería jurídica otorgada por el ICBF. Las Asociaciones de padres no podrán tener a su cargo más de 25 Hogares Comunitarios de Bienestar, sin previo concepto técnico del ICBF del nivel nacional. Los cargos de </w:t>
      </w:r>
      <w:proofErr w:type="gramStart"/>
      <w:r w:rsidRPr="00730070">
        <w:rPr>
          <w:rFonts w:ascii="Verdana" w:hAnsi="Verdana"/>
        </w:rPr>
        <w:t>Presidente</w:t>
      </w:r>
      <w:proofErr w:type="gramEnd"/>
      <w:r w:rsidRPr="00730070">
        <w:rPr>
          <w:rFonts w:ascii="Verdana" w:hAnsi="Verdana"/>
        </w:rPr>
        <w:t xml:space="preserve"> y Tesorero de la Junta Directiva podrán ser ocupados por un padre de familia usuario de los HCB y una madre comunitaria, es decir que las madres comunitarias podrán ocupar el cargo de </w:t>
      </w:r>
      <w:proofErr w:type="gramStart"/>
      <w:r w:rsidRPr="00730070">
        <w:rPr>
          <w:rFonts w:ascii="Verdana" w:hAnsi="Verdana"/>
        </w:rPr>
        <w:t>Presidente</w:t>
      </w:r>
      <w:proofErr w:type="gramEnd"/>
      <w:r w:rsidRPr="00730070">
        <w:rPr>
          <w:rFonts w:ascii="Verdana" w:hAnsi="Verdana"/>
        </w:rPr>
        <w:t xml:space="preserve"> o de </w:t>
      </w:r>
      <w:proofErr w:type="gramStart"/>
      <w:r w:rsidRPr="00730070">
        <w:rPr>
          <w:rFonts w:ascii="Verdana" w:hAnsi="Verdana"/>
        </w:rPr>
        <w:t>Tesorero</w:t>
      </w:r>
      <w:proofErr w:type="gramEnd"/>
      <w:r w:rsidRPr="00730070">
        <w:rPr>
          <w:rFonts w:ascii="Verdana" w:hAnsi="Verdana"/>
        </w:rPr>
        <w:t xml:space="preserve"> pero no los dos cargos a la vez. Una vez terminado el periodo para el cual fueron elegidos, podrán postularse por una sola vez para ser </w:t>
      </w:r>
      <w:proofErr w:type="gramStart"/>
      <w:r w:rsidRPr="00730070">
        <w:rPr>
          <w:rFonts w:ascii="Verdana" w:hAnsi="Verdana"/>
        </w:rPr>
        <w:t>reelegidos</w:t>
      </w:r>
      <w:proofErr w:type="gramEnd"/>
      <w:r w:rsidRPr="00730070">
        <w:rPr>
          <w:rFonts w:ascii="Verdana" w:hAnsi="Verdana"/>
        </w:rPr>
        <w:t xml:space="preserve"> pero no para el periodo inmediatamente siguiente.</w:t>
      </w:r>
    </w:p>
    <w:p w14:paraId="48CF2ECA" w14:textId="7F17361E" w:rsidR="00730070" w:rsidRPr="00730070" w:rsidRDefault="00730070" w:rsidP="00730070">
      <w:pPr>
        <w:jc w:val="both"/>
        <w:rPr>
          <w:rFonts w:ascii="Verdana" w:hAnsi="Verdana"/>
        </w:rPr>
      </w:pPr>
      <w:r w:rsidRPr="00730070">
        <w:rPr>
          <w:rFonts w:ascii="Verdana" w:hAnsi="Verdana"/>
        </w:rPr>
        <w:t>Así las cosas, es claro que el ICBF no puede contratar con Asociaciones cuyos estatutos contengan estipulaciones contrarias a los lineamientos mencionados, pues como bien se explicó en Concepto ICBF No. 96 de 2014, en una asociación, los estatutos adquieren la calidad de norma específica tendiente a regular todos los aspectos propios durante su vida; sin embargo, sus preceptos, no pueden ir en contravía de lo dispuesto por las normas generales, por lo cual sus efectos solo se entienden (sic) a las materias específicas que está obligado a regular.</w:t>
      </w:r>
    </w:p>
    <w:p w14:paraId="4FC196FC" w14:textId="388410AA" w:rsidR="00730070" w:rsidRPr="00730070" w:rsidRDefault="00730070" w:rsidP="00730070">
      <w:pPr>
        <w:jc w:val="both"/>
        <w:rPr>
          <w:rFonts w:ascii="Verdana" w:hAnsi="Verdana"/>
          <w:b/>
          <w:bCs/>
        </w:rPr>
      </w:pPr>
      <w:r w:rsidRPr="00730070">
        <w:rPr>
          <w:rFonts w:ascii="Verdana" w:hAnsi="Verdana"/>
          <w:b/>
          <w:bCs/>
        </w:rPr>
        <w:t>3. CONCLUSIONES</w:t>
      </w:r>
    </w:p>
    <w:p w14:paraId="7604E590" w14:textId="3D8015A9" w:rsidR="00730070" w:rsidRPr="00730070" w:rsidRDefault="00730070" w:rsidP="00730070">
      <w:pPr>
        <w:jc w:val="both"/>
        <w:rPr>
          <w:rFonts w:ascii="Verdana" w:hAnsi="Verdana"/>
        </w:rPr>
      </w:pPr>
      <w:r w:rsidRPr="00730070">
        <w:rPr>
          <w:rFonts w:ascii="Verdana" w:hAnsi="Verdana"/>
        </w:rPr>
        <w:t>Así las cosas y teniendo en cuenta las consideraciones de orden legal expuestas, se puede concluir lo siguiente:</w:t>
      </w:r>
    </w:p>
    <w:p w14:paraId="39777760" w14:textId="75CBCE4E" w:rsidR="00730070" w:rsidRPr="00730070" w:rsidRDefault="00730070" w:rsidP="00730070">
      <w:pPr>
        <w:jc w:val="both"/>
        <w:rPr>
          <w:rFonts w:ascii="Verdana" w:hAnsi="Verdana"/>
        </w:rPr>
      </w:pPr>
      <w:r w:rsidRPr="00730070">
        <w:rPr>
          <w:rFonts w:ascii="Verdana" w:hAnsi="Verdana"/>
        </w:rPr>
        <w:t xml:space="preserve">Primera: Si alguna Asociación de padres de familia desea realizar una inscripción del representante legal ante el ICBF, debe dar estricto cumplimiento a lo establecido en el lineamiento técnico, administrativo y operativo, modalidad hogares comunitarios de bienestar; quiere decir lo anterior que si sus estatutos no se ajustan a lo requerido por el ICBF, deben ser reformados, de acuerdo con lo establecido en el numeral 6.5., sin que ello signifique inmiscuirse en un fuero privado de las mismas, toda vez que como se explicó anteriormente, el Decreto 2388 de 1979 en sus artículos 8 y 27 (incorporados en el Decreto 1048 de 2015 “por medio del cual se expide el Decreto Único Reglamentario del Sector de </w:t>
      </w:r>
      <w:r w:rsidRPr="00730070">
        <w:rPr>
          <w:rFonts w:ascii="Verdana" w:hAnsi="Verdana"/>
        </w:rPr>
        <w:lastRenderedPageBreak/>
        <w:t>Inclusión Social y Reconciliación", parte 4, título 1)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17DEED33" w14:textId="26B68557" w:rsidR="00730070" w:rsidRPr="00730070" w:rsidRDefault="00730070" w:rsidP="00730070">
      <w:pPr>
        <w:jc w:val="both"/>
        <w:rPr>
          <w:rFonts w:ascii="Verdana" w:hAnsi="Verdana"/>
        </w:rPr>
      </w:pPr>
      <w:proofErr w:type="gramStart"/>
      <w:r w:rsidRPr="00730070">
        <w:rPr>
          <w:rFonts w:ascii="Verdana" w:hAnsi="Verdana"/>
        </w:rPr>
        <w:t>Así mismo copia</w:t>
      </w:r>
      <w:proofErr w:type="gramEnd"/>
      <w:r w:rsidRPr="00730070">
        <w:rPr>
          <w:rFonts w:ascii="Verdana" w:hAnsi="Verdana"/>
        </w:rPr>
        <w:t xml:space="preserve"> de este concepto se remitirá a la Oficina de Aseguramiento a la Calidad con el fin de que determine la pertinencia de realizar la modificación de la Resolución No. 3899 de 2010, en el sentido de incluir un procedimiento para la inscripción de los representantes legales.</w:t>
      </w:r>
    </w:p>
    <w:p w14:paraId="202DFABF" w14:textId="43262FF3" w:rsidR="00730070" w:rsidRPr="00730070" w:rsidRDefault="00730070" w:rsidP="00730070">
      <w:pPr>
        <w:jc w:val="both"/>
        <w:rPr>
          <w:rFonts w:ascii="Verdana" w:hAnsi="Verdana"/>
        </w:rPr>
      </w:pPr>
      <w:r w:rsidRPr="00730070">
        <w:rPr>
          <w:rFonts w:ascii="Verdana" w:hAnsi="Verdana"/>
        </w:rPr>
        <w:t xml:space="preserve">El presente </w:t>
      </w:r>
      <w:proofErr w:type="gramStart"/>
      <w:r w:rsidRPr="00730070">
        <w:rPr>
          <w:rFonts w:ascii="Verdana" w:hAnsi="Verdana"/>
        </w:rPr>
        <w:t>concepto[</w:t>
      </w:r>
      <w:proofErr w:type="gramEnd"/>
      <w:r w:rsidRPr="00730070">
        <w:rPr>
          <w:rFonts w:ascii="Verdana" w:hAnsi="Verdana"/>
        </w:rPr>
        <w:t xml:space="preserve">4] no es de obligatorio cumplimiento o ejecución para particulares o agentes externos, de conformidad con lo establecido 1755 de 2015. No </w:t>
      </w:r>
      <w:proofErr w:type="gramStart"/>
      <w:r w:rsidRPr="00730070">
        <w:rPr>
          <w:rFonts w:ascii="Verdana" w:hAnsi="Verdana"/>
        </w:rPr>
        <w:t>obstante</w:t>
      </w:r>
      <w:proofErr w:type="gramEnd"/>
      <w:r w:rsidRPr="00730070">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BFBAAEC" w14:textId="2B0A52D9" w:rsidR="00730070" w:rsidRDefault="00730070" w:rsidP="00730070">
      <w:pPr>
        <w:jc w:val="both"/>
        <w:rPr>
          <w:rFonts w:ascii="Verdana" w:hAnsi="Verdana"/>
        </w:rPr>
      </w:pPr>
      <w:r w:rsidRPr="00730070">
        <w:rPr>
          <w:rFonts w:ascii="Verdana" w:hAnsi="Verdana"/>
        </w:rPr>
        <w:t>Cordialmente,</w:t>
      </w:r>
    </w:p>
    <w:p w14:paraId="6A66D99E" w14:textId="77777777" w:rsidR="002E1CF6" w:rsidRPr="00730070" w:rsidRDefault="002E1CF6" w:rsidP="00730070">
      <w:pPr>
        <w:jc w:val="both"/>
        <w:rPr>
          <w:rFonts w:ascii="Verdana" w:hAnsi="Verdana"/>
        </w:rPr>
      </w:pPr>
    </w:p>
    <w:p w14:paraId="0274C557" w14:textId="461912F1" w:rsidR="00730070" w:rsidRPr="00730070" w:rsidRDefault="00730070" w:rsidP="00730070">
      <w:pPr>
        <w:jc w:val="both"/>
        <w:rPr>
          <w:rFonts w:ascii="Verdana" w:hAnsi="Verdana"/>
          <w:b/>
          <w:bCs/>
        </w:rPr>
      </w:pPr>
      <w:r w:rsidRPr="00730070">
        <w:rPr>
          <w:rFonts w:ascii="Verdana" w:hAnsi="Verdana"/>
          <w:b/>
          <w:bCs/>
        </w:rPr>
        <w:t>LUZ KARIME FERNANDEZ CASTILLO</w:t>
      </w:r>
    </w:p>
    <w:p w14:paraId="54C353DA" w14:textId="77777777" w:rsidR="00730070" w:rsidRPr="00730070" w:rsidRDefault="00730070" w:rsidP="00730070">
      <w:pPr>
        <w:jc w:val="both"/>
        <w:rPr>
          <w:rFonts w:ascii="Verdana" w:hAnsi="Verdana"/>
        </w:rPr>
      </w:pPr>
      <w:r w:rsidRPr="00730070">
        <w:rPr>
          <w:rFonts w:ascii="Verdana" w:hAnsi="Verdana"/>
        </w:rPr>
        <w:t>Jefe Oficina Asesora Jurídica</w:t>
      </w:r>
    </w:p>
    <w:p w14:paraId="6BB3C1EB" w14:textId="77777777" w:rsidR="00730070" w:rsidRDefault="00730070" w:rsidP="00730070">
      <w:pPr>
        <w:jc w:val="both"/>
        <w:rPr>
          <w:rFonts w:ascii="Verdana" w:hAnsi="Verdana"/>
        </w:rPr>
      </w:pPr>
    </w:p>
    <w:p w14:paraId="46541F90" w14:textId="4545A621" w:rsidR="002E1CF6" w:rsidRPr="002E1CF6" w:rsidRDefault="002E1CF6" w:rsidP="00730070">
      <w:pPr>
        <w:jc w:val="both"/>
        <w:rPr>
          <w:rFonts w:ascii="Verdana" w:hAnsi="Verdana"/>
          <w:b/>
          <w:bCs/>
        </w:rPr>
      </w:pPr>
      <w:r w:rsidRPr="002E1CF6">
        <w:rPr>
          <w:rFonts w:ascii="Verdana" w:hAnsi="Verdana"/>
          <w:b/>
          <w:bCs/>
        </w:rPr>
        <w:t>Notas de pie de página:</w:t>
      </w:r>
    </w:p>
    <w:p w14:paraId="660EF890" w14:textId="4AF885A9" w:rsidR="00730070" w:rsidRPr="00730070" w:rsidRDefault="00730070" w:rsidP="00730070">
      <w:pPr>
        <w:jc w:val="both"/>
        <w:rPr>
          <w:rFonts w:ascii="Verdana" w:hAnsi="Verdana"/>
        </w:rPr>
      </w:pPr>
      <w:r w:rsidRPr="00730070">
        <w:rPr>
          <w:rFonts w:ascii="Verdana" w:hAnsi="Verdana"/>
        </w:rPr>
        <w:t>1. Decreto 336 de 2013</w:t>
      </w:r>
    </w:p>
    <w:p w14:paraId="4F2DB960" w14:textId="3B2C83A1" w:rsidR="00730070" w:rsidRPr="00730070" w:rsidRDefault="00730070" w:rsidP="00730070">
      <w:pPr>
        <w:jc w:val="both"/>
        <w:rPr>
          <w:rFonts w:ascii="Verdana" w:hAnsi="Verdana"/>
        </w:rPr>
      </w:pPr>
      <w:r w:rsidRPr="00730070">
        <w:rPr>
          <w:rFonts w:ascii="Verdana" w:hAnsi="Verdana"/>
        </w:rPr>
        <w:t>2. Por el cual se reorganiza el Sistema Nacional de Bienestar Familiar, se reglamenta el inciso primero del artículo 205 de la Ley 1098 de 2006 y se dictan otras disposiciones.</w:t>
      </w:r>
    </w:p>
    <w:p w14:paraId="7308A44C" w14:textId="35C28C28" w:rsidR="00730070" w:rsidRPr="00730070" w:rsidRDefault="00730070" w:rsidP="00730070">
      <w:pPr>
        <w:jc w:val="both"/>
        <w:rPr>
          <w:rFonts w:ascii="Verdana" w:hAnsi="Verdana"/>
        </w:rPr>
      </w:pPr>
      <w:r w:rsidRPr="00730070">
        <w:rPr>
          <w:rFonts w:ascii="Verdana" w:hAnsi="Verdana"/>
        </w:rPr>
        <w:t>3. Por el cual se reglamentan las Leyes 75 de 1968. 27 de 1974 y 7 de 1979" Hoy incorporados en el Decreto 1048 de 2015 "por medio del cual se expide el Decreto Único Reglamentario del Sector de inclusión Social y Reconciliación”, parte 4, título 1.</w:t>
      </w:r>
    </w:p>
    <w:p w14:paraId="623BAC3C" w14:textId="2D93DCC4" w:rsidR="00730070" w:rsidRPr="00730070" w:rsidRDefault="00730070" w:rsidP="00730070">
      <w:pPr>
        <w:jc w:val="both"/>
        <w:rPr>
          <w:rFonts w:ascii="Verdana" w:hAnsi="Verdana"/>
        </w:rPr>
      </w:pPr>
      <w:r w:rsidRPr="00730070">
        <w:rPr>
          <w:rFonts w:ascii="Verdana" w:hAnsi="Verdana"/>
        </w:rPr>
        <w:t xml:space="preserve">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w:t>
      </w:r>
      <w:r w:rsidRPr="00730070">
        <w:rPr>
          <w:rFonts w:ascii="Verdana" w:hAnsi="Verdana"/>
        </w:rPr>
        <w:lastRenderedPageBreak/>
        <w:t>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do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730070" w:rsidRPr="007300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70"/>
    <w:rsid w:val="000B4793"/>
    <w:rsid w:val="002E1CF6"/>
    <w:rsid w:val="00730070"/>
    <w:rsid w:val="00D30E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1037"/>
  <w15:chartTrackingRefBased/>
  <w15:docId w15:val="{73879EFB-2B80-4152-97E8-AFD45978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A1A10-DA7A-4F08-85FF-500854FFDCAD}"/>
</file>

<file path=customXml/itemProps2.xml><?xml version="1.0" encoding="utf-8"?>
<ds:datastoreItem xmlns:ds="http://schemas.openxmlformats.org/officeDocument/2006/customXml" ds:itemID="{D9002FDF-1BDE-4B90-877A-00B0E58CAFA2}"/>
</file>

<file path=customXml/itemProps3.xml><?xml version="1.0" encoding="utf-8"?>
<ds:datastoreItem xmlns:ds="http://schemas.openxmlformats.org/officeDocument/2006/customXml" ds:itemID="{E0480EA5-49AF-40A4-8477-803F6A78A6D2}"/>
</file>

<file path=docProps/app.xml><?xml version="1.0" encoding="utf-8"?>
<Properties xmlns="http://schemas.openxmlformats.org/officeDocument/2006/extended-properties" xmlns:vt="http://schemas.openxmlformats.org/officeDocument/2006/docPropsVTypes">
  <Template>Normal</Template>
  <TotalTime>2</TotalTime>
  <Pages>1</Pages>
  <Words>2177</Words>
  <Characters>11974</Characters>
  <Application>Microsoft Office Word</Application>
  <DocSecurity>0</DocSecurity>
  <Lines>99</Lines>
  <Paragraphs>28</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2026-05-13T16:53:00Z</dcterms:created>
  <dcterms:modified xsi:type="dcterms:W3CDTF">2026-05-20T20:27:00Z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