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BE22" w14:textId="4682B819" w:rsidR="007E0386" w:rsidRDefault="00234E9C" w:rsidP="00234E9C">
      <w:pPr>
        <w:jc w:val="center"/>
        <w:rPr>
          <w:b/>
          <w:bCs/>
          <w:color w:val="000000" w:themeColor="text1"/>
          <w:lang w:val="es-CO"/>
        </w:rPr>
      </w:pPr>
      <w:r w:rsidRPr="00234E9C">
        <w:rPr>
          <w:b/>
          <w:bCs/>
          <w:color w:val="000000" w:themeColor="text1"/>
          <w:lang w:val="es-CO"/>
        </w:rPr>
        <w:t xml:space="preserve">CONCEPTO No. </w:t>
      </w:r>
      <w:r w:rsidR="00322466">
        <w:rPr>
          <w:b/>
          <w:bCs/>
          <w:color w:val="000000" w:themeColor="text1"/>
          <w:lang w:val="es-CO"/>
        </w:rPr>
        <w:t>4</w:t>
      </w:r>
      <w:r>
        <w:rPr>
          <w:b/>
          <w:bCs/>
          <w:color w:val="000000" w:themeColor="text1"/>
          <w:lang w:val="es-CO"/>
        </w:rPr>
        <w:t xml:space="preserve"> DE 2026</w:t>
      </w:r>
    </w:p>
    <w:p w14:paraId="33B46266" w14:textId="77777777" w:rsidR="00234E9C" w:rsidRDefault="00234E9C" w:rsidP="00234E9C">
      <w:pPr>
        <w:jc w:val="center"/>
        <w:rPr>
          <w:b/>
          <w:bCs/>
          <w:color w:val="000000" w:themeColor="text1"/>
          <w:lang w:val="es-CO"/>
        </w:rPr>
      </w:pPr>
    </w:p>
    <w:p w14:paraId="125C6BCE" w14:textId="1E86289D" w:rsidR="00234E9C" w:rsidRPr="00234E9C" w:rsidRDefault="00234E9C" w:rsidP="00234E9C">
      <w:pPr>
        <w:jc w:val="center"/>
        <w:rPr>
          <w:color w:val="000000" w:themeColor="text1"/>
          <w:lang w:val="es-CO"/>
        </w:rPr>
      </w:pPr>
      <w:r w:rsidRPr="00234E9C">
        <w:rPr>
          <w:color w:val="000000" w:themeColor="text1"/>
          <w:lang w:val="es-CO"/>
        </w:rPr>
        <w:t>(14 de mayo)</w:t>
      </w:r>
    </w:p>
    <w:p w14:paraId="57644072" w14:textId="77777777" w:rsidR="00234E9C" w:rsidRPr="00931EB2" w:rsidRDefault="00234E9C" w:rsidP="007E0386">
      <w:pPr>
        <w:rPr>
          <w:color w:val="000000" w:themeColor="text1"/>
          <w:lang w:val="es-CO"/>
        </w:rPr>
      </w:pPr>
    </w:p>
    <w:p w14:paraId="22621544" w14:textId="3F46846C" w:rsidR="007E0386" w:rsidRPr="00931EB2" w:rsidRDefault="007E0386" w:rsidP="007E0386">
      <w:pPr>
        <w:rPr>
          <w:color w:val="000000" w:themeColor="text1"/>
          <w:lang w:val="es-CO"/>
        </w:rPr>
      </w:pPr>
      <w:r w:rsidRPr="00931EB2">
        <w:rPr>
          <w:b/>
          <w:bCs/>
          <w:color w:val="000000" w:themeColor="text1"/>
          <w:lang w:val="es-CO"/>
        </w:rPr>
        <w:t>Para:</w:t>
      </w:r>
      <w:r w:rsidRPr="00931EB2">
        <w:rPr>
          <w:color w:val="000000" w:themeColor="text1"/>
          <w:lang w:val="es-CO"/>
        </w:rPr>
        <w:tab/>
      </w:r>
      <w:r w:rsidR="00986C65" w:rsidRPr="00931EB2">
        <w:rPr>
          <w:color w:val="000000" w:themeColor="text1"/>
          <w:lang w:val="es-CO"/>
        </w:rPr>
        <w:tab/>
      </w:r>
      <w:r w:rsidR="00EF5CF1" w:rsidRPr="00A74479">
        <w:rPr>
          <w:b/>
          <w:bCs/>
          <w:color w:val="000000" w:themeColor="text1"/>
          <w:lang w:val="es-CO"/>
        </w:rPr>
        <w:t>ADRIANA</w:t>
      </w:r>
      <w:r w:rsidR="003B379F">
        <w:rPr>
          <w:b/>
          <w:bCs/>
          <w:color w:val="000000" w:themeColor="text1"/>
          <w:lang w:val="es-CO"/>
        </w:rPr>
        <w:t xml:space="preserve"> </w:t>
      </w:r>
      <w:r w:rsidR="00EF5CF1" w:rsidRPr="00A74479">
        <w:rPr>
          <w:b/>
          <w:bCs/>
          <w:color w:val="000000" w:themeColor="text1"/>
          <w:lang w:val="es-CO"/>
        </w:rPr>
        <w:t>VELÁSQUEZ</w:t>
      </w:r>
      <w:r w:rsidR="003B379F">
        <w:rPr>
          <w:b/>
          <w:bCs/>
          <w:color w:val="000000" w:themeColor="text1"/>
          <w:lang w:val="es-CO"/>
        </w:rPr>
        <w:t xml:space="preserve"> </w:t>
      </w:r>
      <w:r w:rsidR="00EF5CF1" w:rsidRPr="00A74479">
        <w:rPr>
          <w:b/>
          <w:bCs/>
          <w:color w:val="000000" w:themeColor="text1"/>
          <w:lang w:val="es-CO"/>
        </w:rPr>
        <w:t>LASPRILLA</w:t>
      </w:r>
    </w:p>
    <w:p w14:paraId="6D4415EC" w14:textId="7D3F5985" w:rsidR="007E0386" w:rsidRPr="00931EB2" w:rsidRDefault="00AF332D" w:rsidP="00AF332D">
      <w:pPr>
        <w:ind w:left="1416"/>
        <w:rPr>
          <w:color w:val="000000" w:themeColor="text1"/>
          <w:lang w:val="es-CO"/>
        </w:rPr>
      </w:pPr>
      <w:r w:rsidRPr="00AF332D">
        <w:rPr>
          <w:color w:val="000000" w:themeColor="text1"/>
          <w:lang w:val="es-CO"/>
        </w:rPr>
        <w:t>Subdirectora</w:t>
      </w:r>
      <w:r w:rsidR="003B379F">
        <w:rPr>
          <w:color w:val="000000" w:themeColor="text1"/>
          <w:lang w:val="es-CO"/>
        </w:rPr>
        <w:t xml:space="preserve"> </w:t>
      </w:r>
      <w:r w:rsidRPr="00AF332D">
        <w:rPr>
          <w:color w:val="000000" w:themeColor="text1"/>
          <w:lang w:val="es-CO"/>
        </w:rPr>
        <w:t>General</w:t>
      </w:r>
    </w:p>
    <w:p w14:paraId="7512F58D" w14:textId="77777777" w:rsidR="00AF332D" w:rsidRDefault="00AF332D" w:rsidP="00861D97">
      <w:pPr>
        <w:ind w:left="1416" w:hanging="1416"/>
        <w:jc w:val="both"/>
        <w:rPr>
          <w:b/>
          <w:bCs/>
          <w:color w:val="000000" w:themeColor="text1"/>
          <w:lang w:val="es-CO"/>
        </w:rPr>
      </w:pPr>
    </w:p>
    <w:p w14:paraId="6809EB3A" w14:textId="6CA53FA5" w:rsidR="007E0386" w:rsidRPr="00A74479" w:rsidRDefault="007E0386" w:rsidP="00A74479">
      <w:pPr>
        <w:ind w:left="1416" w:hanging="1416"/>
        <w:jc w:val="both"/>
      </w:pPr>
      <w:r w:rsidRPr="00931EB2">
        <w:rPr>
          <w:b/>
          <w:bCs/>
          <w:color w:val="000000" w:themeColor="text1"/>
          <w:lang w:val="es-CO"/>
        </w:rPr>
        <w:t>Asunto:</w:t>
      </w:r>
      <w:r w:rsidRPr="00931EB2">
        <w:rPr>
          <w:color w:val="000000" w:themeColor="text1"/>
          <w:lang w:val="es-CO"/>
        </w:rPr>
        <w:tab/>
      </w:r>
      <w:r w:rsidR="00A74479">
        <w:t>Concepto</w:t>
      </w:r>
      <w:r w:rsidR="003B379F">
        <w:t xml:space="preserve"> </w:t>
      </w:r>
      <w:r w:rsidR="00A74479">
        <w:t>sobre</w:t>
      </w:r>
      <w:r w:rsidR="003B379F">
        <w:t xml:space="preserve"> </w:t>
      </w:r>
      <w:r w:rsidR="00A74479">
        <w:t>parágrafo</w:t>
      </w:r>
      <w:r w:rsidR="003B379F">
        <w:t xml:space="preserve"> </w:t>
      </w:r>
      <w:r w:rsidR="00A74479">
        <w:t>4</w:t>
      </w:r>
      <w:r w:rsidR="003B379F">
        <w:t xml:space="preserve"> </w:t>
      </w:r>
      <w:r w:rsidR="00A74479">
        <w:t>del</w:t>
      </w:r>
      <w:r w:rsidR="003B379F">
        <w:t xml:space="preserve"> </w:t>
      </w:r>
      <w:r w:rsidR="00A74479">
        <w:t>artículo</w:t>
      </w:r>
      <w:r w:rsidR="003B379F">
        <w:t xml:space="preserve"> </w:t>
      </w:r>
      <w:r w:rsidR="00A74479">
        <w:t>17</w:t>
      </w:r>
      <w:r w:rsidR="003B379F">
        <w:t xml:space="preserve"> </w:t>
      </w:r>
      <w:r w:rsidR="00A74479">
        <w:t>de</w:t>
      </w:r>
      <w:r w:rsidR="003B379F">
        <w:t xml:space="preserve"> </w:t>
      </w:r>
      <w:r w:rsidR="00A74479">
        <w:t>la</w:t>
      </w:r>
      <w:r w:rsidR="003B379F">
        <w:t xml:space="preserve"> </w:t>
      </w:r>
      <w:r w:rsidR="00A74479">
        <w:t>Ley</w:t>
      </w:r>
      <w:r w:rsidR="003B379F">
        <w:t xml:space="preserve"> </w:t>
      </w:r>
      <w:r w:rsidR="00A74479">
        <w:t>2421</w:t>
      </w:r>
      <w:r w:rsidR="003B379F">
        <w:t xml:space="preserve"> </w:t>
      </w:r>
      <w:r w:rsidR="00A74479">
        <w:t>de</w:t>
      </w:r>
      <w:r w:rsidR="003B379F">
        <w:t xml:space="preserve"> </w:t>
      </w:r>
      <w:r w:rsidR="00A74479">
        <w:t>2024</w:t>
      </w:r>
      <w:r w:rsidR="003B379F">
        <w:t xml:space="preserve"> </w:t>
      </w:r>
      <w:r w:rsidR="00A74479">
        <w:t>(modifica</w:t>
      </w:r>
      <w:r w:rsidR="003B379F">
        <w:t xml:space="preserve"> </w:t>
      </w:r>
      <w:r w:rsidR="00A74479">
        <w:t>el</w:t>
      </w:r>
      <w:r w:rsidR="003B379F">
        <w:t xml:space="preserve"> </w:t>
      </w:r>
      <w:r w:rsidR="00A74479">
        <w:t>artículo</w:t>
      </w:r>
      <w:r w:rsidR="003B379F">
        <w:t xml:space="preserve"> </w:t>
      </w:r>
      <w:r w:rsidR="00A74479">
        <w:t>32</w:t>
      </w:r>
      <w:r w:rsidR="003B379F">
        <w:t xml:space="preserve"> </w:t>
      </w:r>
      <w:r w:rsidR="00A74479">
        <w:t>del</w:t>
      </w:r>
      <w:r w:rsidR="003B379F">
        <w:t xml:space="preserve"> </w:t>
      </w:r>
      <w:r w:rsidR="00A74479">
        <w:t>Capítulo</w:t>
      </w:r>
      <w:r w:rsidR="003B379F">
        <w:t xml:space="preserve"> </w:t>
      </w:r>
      <w:r w:rsidR="00A74479">
        <w:t>II</w:t>
      </w:r>
      <w:r w:rsidR="003B379F">
        <w:t xml:space="preserve"> </w:t>
      </w:r>
      <w:r w:rsidR="00A74479">
        <w:t>del</w:t>
      </w:r>
      <w:r w:rsidR="003B379F">
        <w:t xml:space="preserve"> </w:t>
      </w:r>
      <w:r w:rsidR="00A74479">
        <w:t>Título</w:t>
      </w:r>
      <w:r w:rsidR="003B379F">
        <w:t xml:space="preserve"> </w:t>
      </w:r>
      <w:r w:rsidR="00A74479">
        <w:t>I</w:t>
      </w:r>
      <w:r w:rsidR="003B379F">
        <w:t xml:space="preserve"> </w:t>
      </w:r>
      <w:r w:rsidR="00A74479">
        <w:t>de</w:t>
      </w:r>
      <w:r w:rsidR="003B379F">
        <w:t xml:space="preserve"> </w:t>
      </w:r>
      <w:r w:rsidR="00A74479">
        <w:t>la</w:t>
      </w:r>
      <w:r w:rsidR="003B379F">
        <w:t xml:space="preserve"> </w:t>
      </w:r>
      <w:r w:rsidR="00A74479">
        <w:t>Ley</w:t>
      </w:r>
      <w:r w:rsidR="003B379F">
        <w:t xml:space="preserve"> </w:t>
      </w:r>
      <w:r w:rsidR="00A74479">
        <w:t>1448</w:t>
      </w:r>
      <w:r w:rsidR="003B379F">
        <w:t xml:space="preserve"> </w:t>
      </w:r>
      <w:r w:rsidR="00A74479">
        <w:t>de</w:t>
      </w:r>
      <w:r w:rsidR="003B379F">
        <w:t xml:space="preserve"> </w:t>
      </w:r>
      <w:r w:rsidR="00A74479">
        <w:t>2011).</w:t>
      </w:r>
    </w:p>
    <w:p w14:paraId="29F450F6" w14:textId="77777777" w:rsidR="007E0386" w:rsidRPr="00931EB2" w:rsidRDefault="007E0386" w:rsidP="007E0386">
      <w:pPr>
        <w:rPr>
          <w:color w:val="000000" w:themeColor="text1"/>
          <w:lang w:val="es-CO"/>
        </w:rPr>
      </w:pPr>
    </w:p>
    <w:p w14:paraId="0AB1ADB1" w14:textId="1C13D7ED" w:rsidR="001D61A6" w:rsidRPr="00FD6245" w:rsidRDefault="001D61A6" w:rsidP="001D61A6">
      <w:pPr>
        <w:spacing w:after="160" w:line="240" w:lineRule="auto"/>
        <w:jc w:val="both"/>
        <w:rPr>
          <w:b/>
          <w:bCs/>
        </w:rPr>
      </w:pPr>
      <w:r w:rsidRPr="00FD6245">
        <w:rPr>
          <w:b/>
          <w:bCs/>
        </w:rPr>
        <w:t>I.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ANTECEDENTES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Y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MARCO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REFERENCIA</w:t>
      </w:r>
    </w:p>
    <w:p w14:paraId="5D61195E" w14:textId="45296745" w:rsidR="001D61A6" w:rsidRPr="00FD6245" w:rsidRDefault="001D61A6" w:rsidP="00FC10AA">
      <w:pPr>
        <w:spacing w:after="160" w:line="240" w:lineRule="auto"/>
        <w:jc w:val="both"/>
      </w:pPr>
      <w:r w:rsidRPr="00FD6245">
        <w:t>El</w:t>
      </w:r>
      <w:r w:rsidR="003B379F">
        <w:t xml:space="preserve"> </w:t>
      </w:r>
      <w:r w:rsidRPr="00FD6245">
        <w:t>presente</w:t>
      </w:r>
      <w:r w:rsidR="003B379F">
        <w:t xml:space="preserve"> </w:t>
      </w:r>
      <w:r w:rsidRPr="00FD6245">
        <w:t>concepto</w:t>
      </w:r>
      <w:r w:rsidR="003B379F">
        <w:t xml:space="preserve"> </w:t>
      </w:r>
      <w:r w:rsidRPr="00FD6245">
        <w:t>jurídico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emite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atención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solicitud</w:t>
      </w:r>
      <w:r w:rsidR="003B379F">
        <w:t xml:space="preserve"> </w:t>
      </w:r>
      <w:r w:rsidRPr="00FD6245">
        <w:t>relacionada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necesidad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determinar</w:t>
      </w:r>
      <w:r w:rsidR="003B379F">
        <w:t xml:space="preserve"> </w:t>
      </w:r>
      <w:r w:rsidRPr="00FD6245">
        <w:t>si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autoridades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deben</w:t>
      </w:r>
      <w:r w:rsidR="003B379F">
        <w:t xml:space="preserve"> </w:t>
      </w:r>
      <w:r w:rsidRPr="00FD6245">
        <w:t>exigir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Obtención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Armas</w:t>
      </w:r>
      <w:r w:rsidR="003B379F">
        <w:t xml:space="preserve"> </w:t>
      </w:r>
      <w:r w:rsidRPr="00FD6245">
        <w:t>expedido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Comité</w:t>
      </w:r>
      <w:r w:rsidR="003B379F">
        <w:t xml:space="preserve"> </w:t>
      </w:r>
      <w:r w:rsidRPr="00FD6245">
        <w:t>Operativo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Armas</w:t>
      </w:r>
      <w:r w:rsidR="003B379F">
        <w:t xml:space="preserve"> </w:t>
      </w:r>
      <w:r w:rsidRPr="00FD6245">
        <w:t>(CODA),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casos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teniendo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cuenta</w:t>
      </w:r>
      <w:r w:rsidR="003B379F">
        <w:t xml:space="preserve"> </w:t>
      </w:r>
      <w:r w:rsidRPr="00FD6245">
        <w:t>lo</w:t>
      </w:r>
      <w:r w:rsidR="003B379F">
        <w:t xml:space="preserve"> </w:t>
      </w:r>
      <w:r w:rsidRPr="00FD6245">
        <w:t>dispuesto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parágrafo</w:t>
      </w:r>
      <w:r w:rsidR="003B379F">
        <w:t xml:space="preserve"> </w:t>
      </w:r>
      <w:r w:rsidRPr="00FD6245">
        <w:t>4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17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2421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2024,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modificó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32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1448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2011.</w:t>
      </w:r>
    </w:p>
    <w:p w14:paraId="71172295" w14:textId="0FCA64DA" w:rsidR="001D61A6" w:rsidRPr="00FD6245" w:rsidRDefault="001D61A6" w:rsidP="00FC10AA">
      <w:pPr>
        <w:spacing w:after="160" w:line="240" w:lineRule="auto"/>
        <w:jc w:val="both"/>
      </w:pPr>
      <w:r w:rsidRPr="00FD6245">
        <w:t>La</w:t>
      </w:r>
      <w:r w:rsidR="003B379F">
        <w:t xml:space="preserve"> </w:t>
      </w:r>
      <w:r w:rsidRPr="00FD6245">
        <w:t>consulta</w:t>
      </w:r>
      <w:r w:rsidR="003B379F">
        <w:t xml:space="preserve"> </w:t>
      </w:r>
      <w:r w:rsidRPr="00FD6245">
        <w:t>surge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marco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actuaciones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orientadas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reclutamiento,</w:t>
      </w:r>
      <w:r w:rsidR="003B379F">
        <w:t xml:space="preserve"> </w:t>
      </w:r>
      <w:r w:rsidRPr="00FD6245">
        <w:t>uso,</w:t>
      </w:r>
      <w:r w:rsidR="003B379F">
        <w:t xml:space="preserve"> </w:t>
      </w:r>
      <w:r w:rsidRPr="00FD6245">
        <w:t>utilización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vinculación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particularmente</w:t>
      </w:r>
      <w:r w:rsidR="003B379F">
        <w:t xml:space="preserve"> </w:t>
      </w:r>
      <w:r w:rsidRPr="00FD6245">
        <w:t>frente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articulación</w:t>
      </w:r>
      <w:r w:rsidR="003B379F">
        <w:t xml:space="preserve"> </w:t>
      </w:r>
      <w:r w:rsidRPr="00FD6245">
        <w:t>entre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procedimientos</w:t>
      </w:r>
      <w:r w:rsidR="003B379F">
        <w:t xml:space="preserve"> </w:t>
      </w:r>
      <w:r w:rsidRPr="00FD6245">
        <w:t>administrativos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mecanismos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acreditación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condición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desvinculado.</w:t>
      </w:r>
    </w:p>
    <w:p w14:paraId="1F969C80" w14:textId="55D613F2" w:rsidR="001D61A6" w:rsidRPr="00FD6245" w:rsidRDefault="001D61A6" w:rsidP="00FC10AA">
      <w:pPr>
        <w:spacing w:after="160" w:line="240" w:lineRule="auto"/>
        <w:jc w:val="both"/>
      </w:pPr>
      <w:r w:rsidRPr="00FD6245">
        <w:t>Sobre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particular,</w:t>
      </w:r>
      <w:r w:rsidR="003B379F">
        <w:t xml:space="preserve"> </w:t>
      </w:r>
      <w:r w:rsidRPr="00FD6245">
        <w:t>es</w:t>
      </w:r>
      <w:r w:rsidR="003B379F">
        <w:t xml:space="preserve"> </w:t>
      </w:r>
      <w:r w:rsidRPr="00FD6245">
        <w:t>necesario</w:t>
      </w:r>
      <w:r w:rsidR="003B379F">
        <w:t xml:space="preserve"> </w:t>
      </w:r>
      <w:r w:rsidRPr="00FD6245">
        <w:t>precisar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Comité</w:t>
      </w:r>
      <w:r w:rsidR="003B379F">
        <w:t xml:space="preserve"> </w:t>
      </w:r>
      <w:r w:rsidRPr="00FD6245">
        <w:t>Operativo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Armas</w:t>
      </w:r>
      <w:r w:rsidR="003B379F">
        <w:t xml:space="preserve"> </w:t>
      </w:r>
      <w:r w:rsidRPr="00FD6245">
        <w:t>(CODA)</w:t>
      </w:r>
      <w:r w:rsidR="003B379F">
        <w:t xml:space="preserve"> </w:t>
      </w:r>
      <w:r w:rsidRPr="00FD6245">
        <w:t>es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órgano</w:t>
      </w:r>
      <w:r w:rsidR="003B379F">
        <w:t xml:space="preserve"> </w:t>
      </w:r>
      <w:r w:rsidRPr="00FD6245">
        <w:t>interinstitucional</w:t>
      </w:r>
      <w:r w:rsidR="003B379F">
        <w:t xml:space="preserve"> </w:t>
      </w:r>
      <w:r w:rsidRPr="00FD6245">
        <w:t>creado</w:t>
      </w:r>
      <w:r w:rsidR="003B379F">
        <w:t xml:space="preserve"> </w:t>
      </w:r>
      <w:r w:rsidRPr="00FD6245">
        <w:t>mediante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Decreto</w:t>
      </w:r>
      <w:r w:rsidR="003B379F">
        <w:t xml:space="preserve"> </w:t>
      </w:r>
      <w:r w:rsidRPr="00FD6245">
        <w:t>1385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1994,</w:t>
      </w:r>
      <w:r w:rsidR="003B379F">
        <w:t xml:space="preserve"> </w:t>
      </w:r>
      <w:r w:rsidRPr="00FD6245">
        <w:t>modificado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Decreto</w:t>
      </w:r>
      <w:r w:rsidR="003B379F">
        <w:t xml:space="preserve"> </w:t>
      </w:r>
      <w:r w:rsidRPr="00FD6245">
        <w:t>128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2003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compilado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Decreto</w:t>
      </w:r>
      <w:r w:rsidR="003B379F">
        <w:t xml:space="preserve"> </w:t>
      </w:r>
      <w:r w:rsidRPr="00FD6245">
        <w:t>1081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2015,</w:t>
      </w:r>
      <w:r w:rsidR="003B379F">
        <w:t xml:space="preserve"> </w:t>
      </w:r>
      <w:r w:rsidRPr="00FD6245">
        <w:t>cuyas</w:t>
      </w:r>
      <w:r w:rsidR="003B379F">
        <w:t xml:space="preserve"> </w:t>
      </w:r>
      <w:r w:rsidRPr="00FD6245">
        <w:t>funciones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encuentran</w:t>
      </w:r>
      <w:r w:rsidR="003B379F">
        <w:t xml:space="preserve"> </w:t>
      </w:r>
      <w:r w:rsidRPr="00FD6245">
        <w:t>orientadas</w:t>
      </w:r>
      <w:r w:rsidR="003B379F">
        <w:t xml:space="preserve"> </w:t>
      </w:r>
      <w:r w:rsidRPr="00FD6245">
        <w:t>principalmente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constatar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pertenencia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personas</w:t>
      </w:r>
      <w:r w:rsidR="003B379F">
        <w:t xml:space="preserve"> </w:t>
      </w:r>
      <w:r w:rsidRPr="00FD6245">
        <w:t>desmovilizadas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desvinculadas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verificar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circunstancias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abandono</w:t>
      </w:r>
      <w:r w:rsidR="003B379F">
        <w:t xml:space="preserve"> </w:t>
      </w:r>
      <w:r w:rsidRPr="00FD6245">
        <w:t>voluntario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evaluar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voluntad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reintegración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vida</w:t>
      </w:r>
      <w:r w:rsidR="003B379F">
        <w:t xml:space="preserve"> </w:t>
      </w:r>
      <w:r w:rsidRPr="00FD6245">
        <w:t>civil.</w:t>
      </w:r>
    </w:p>
    <w:p w14:paraId="6FFEA367" w14:textId="4D0156E9" w:rsidR="001D61A6" w:rsidRPr="00FD6245" w:rsidRDefault="001D61A6" w:rsidP="00FC10AA">
      <w:pPr>
        <w:spacing w:after="160" w:line="240" w:lineRule="auto"/>
        <w:jc w:val="both"/>
      </w:pPr>
      <w:r w:rsidRPr="00FD6245">
        <w:t>Por</w:t>
      </w:r>
      <w:r w:rsidR="003B379F">
        <w:t xml:space="preserve"> </w:t>
      </w:r>
      <w:r w:rsidRPr="00FD6245">
        <w:t>su</w:t>
      </w:r>
      <w:r w:rsidR="003B379F">
        <w:t xml:space="preserve"> </w:t>
      </w:r>
      <w:r w:rsidRPr="00FD6245">
        <w:t>parte,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Instituto</w:t>
      </w:r>
      <w:r w:rsidR="003B379F">
        <w:t xml:space="preserve"> </w:t>
      </w:r>
      <w:r w:rsidRPr="00FD6245">
        <w:t>Colombiano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Bienestar</w:t>
      </w:r>
      <w:r w:rsidR="003B379F">
        <w:t xml:space="preserve"> </w:t>
      </w:r>
      <w:r w:rsidRPr="00FD6245">
        <w:t>Familiar</w:t>
      </w:r>
      <w:r w:rsidR="003B379F">
        <w:t xml:space="preserve"> </w:t>
      </w:r>
      <w:r w:rsidRPr="00FD6245">
        <w:t>–</w:t>
      </w:r>
      <w:r w:rsidR="003B379F">
        <w:t xml:space="preserve"> </w:t>
      </w:r>
      <w:r w:rsidRPr="00FD6245">
        <w:t>ICBF,</w:t>
      </w:r>
      <w:r w:rsidR="003B379F">
        <w:t xml:space="preserve"> </w:t>
      </w:r>
      <w:r w:rsidRPr="00FD6245">
        <w:t>tiene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su</w:t>
      </w:r>
      <w:r w:rsidR="003B379F">
        <w:t xml:space="preserve"> </w:t>
      </w:r>
      <w:r w:rsidRPr="00FD6245">
        <w:t>cargo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garantía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armado,</w:t>
      </w:r>
      <w:r w:rsidR="003B379F">
        <w:t xml:space="preserve"> </w:t>
      </w:r>
      <w:r w:rsidRPr="00FD6245">
        <w:t>incluyendo</w:t>
      </w:r>
      <w:r w:rsidR="003B379F">
        <w:t xml:space="preserve"> </w:t>
      </w:r>
      <w:r w:rsidRPr="00FD6245">
        <w:t>aquellos</w:t>
      </w:r>
      <w:r w:rsidR="003B379F">
        <w:t xml:space="preserve"> </w:t>
      </w:r>
      <w:r w:rsidRPr="00FD6245">
        <w:t>afectados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reclutamiento</w:t>
      </w:r>
      <w:r w:rsidR="003B379F">
        <w:t xml:space="preserve"> </w:t>
      </w:r>
      <w:r w:rsidRPr="00FD6245">
        <w:t>ilícito,</w:t>
      </w:r>
      <w:r w:rsidR="003B379F">
        <w:t xml:space="preserve"> </w:t>
      </w:r>
      <w:r w:rsidRPr="00FD6245">
        <w:t>uso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utilización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parte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armados.</w:t>
      </w:r>
    </w:p>
    <w:p w14:paraId="16CF9C82" w14:textId="7872FED9" w:rsidR="001D61A6" w:rsidRPr="00FD6245" w:rsidRDefault="001D61A6" w:rsidP="00FC10AA">
      <w:pPr>
        <w:spacing w:after="160" w:line="240" w:lineRule="auto"/>
        <w:jc w:val="both"/>
      </w:pPr>
      <w:r w:rsidRPr="00FD6245">
        <w:t>En</w:t>
      </w:r>
      <w:r w:rsidR="003B379F">
        <w:t xml:space="preserve"> </w:t>
      </w:r>
      <w:r w:rsidRPr="00FD6245">
        <w:t>ese</w:t>
      </w:r>
      <w:r w:rsidR="003B379F">
        <w:t xml:space="preserve"> </w:t>
      </w:r>
      <w:r w:rsidRPr="00FD6245">
        <w:t>marco,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ICBF</w:t>
      </w:r>
      <w:r w:rsidR="003B379F">
        <w:t xml:space="preserve"> </w:t>
      </w:r>
      <w:r w:rsidRPr="00FD6245">
        <w:t>implementa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“Programa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Atención</w:t>
      </w:r>
      <w:r w:rsidR="003B379F">
        <w:t xml:space="preserve"> </w:t>
      </w:r>
      <w:r w:rsidRPr="00FD6245">
        <w:t>Especializado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reclutamiento</w:t>
      </w:r>
      <w:r w:rsidR="003B379F">
        <w:t xml:space="preserve"> </w:t>
      </w:r>
      <w:r w:rsidRPr="00FD6245">
        <w:t>ilícito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desvinculan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ley”,</w:t>
      </w:r>
      <w:r w:rsidR="003B379F">
        <w:t xml:space="preserve"> </w:t>
      </w:r>
      <w:r w:rsidRPr="00FD6245">
        <w:t>cuyo</w:t>
      </w:r>
      <w:r w:rsidR="003B379F">
        <w:t xml:space="preserve"> </w:t>
      </w:r>
      <w:r w:rsidRPr="00FD6245">
        <w:t>objetivo</w:t>
      </w:r>
      <w:r w:rsidR="003B379F">
        <w:t xml:space="preserve"> </w:t>
      </w:r>
      <w:r w:rsidRPr="00FD6245">
        <w:t>es</w:t>
      </w:r>
      <w:r w:rsidR="003B379F">
        <w:t xml:space="preserve"> </w:t>
      </w:r>
      <w:r w:rsidRPr="00FD6245">
        <w:t>garantizar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esta</w:t>
      </w:r>
      <w:r w:rsidR="003B379F">
        <w:t xml:space="preserve"> </w:t>
      </w:r>
      <w:r w:rsidRPr="00FD6245">
        <w:t>población</w:t>
      </w:r>
      <w:r w:rsidR="003B379F">
        <w:t xml:space="preserve"> </w:t>
      </w:r>
      <w:r w:rsidRPr="00FD6245">
        <w:t>mediante</w:t>
      </w:r>
      <w:r w:rsidR="003B379F">
        <w:t xml:space="preserve"> </w:t>
      </w:r>
      <w:r w:rsidRPr="00FD6245">
        <w:t>medidas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derechos.</w:t>
      </w:r>
    </w:p>
    <w:p w14:paraId="35B3E4E5" w14:textId="4EA4BD5B" w:rsidR="001D61A6" w:rsidRPr="00FD6245" w:rsidRDefault="001D61A6" w:rsidP="00FC10AA">
      <w:pPr>
        <w:spacing w:after="160" w:line="240" w:lineRule="auto"/>
        <w:jc w:val="both"/>
      </w:pPr>
      <w:r w:rsidRPr="00FD6245">
        <w:lastRenderedPageBreak/>
        <w:t>En</w:t>
      </w:r>
      <w:r w:rsidR="003B379F">
        <w:t xml:space="preserve"> </w:t>
      </w:r>
      <w:r w:rsidRPr="00FD6245">
        <w:t>desarrollo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actuaciones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procesos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valoración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reconocimiento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víctimas,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ha</w:t>
      </w:r>
      <w:r w:rsidR="003B379F">
        <w:t xml:space="preserve"> </w:t>
      </w:r>
      <w:r w:rsidRPr="00FD6245">
        <w:t>planteado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discusión</w:t>
      </w:r>
      <w:r w:rsidR="003B379F">
        <w:t xml:space="preserve"> </w:t>
      </w:r>
      <w:r w:rsidRPr="00FD6245">
        <w:t>sobre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exigibilidad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CODA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particularmente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partir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expedición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2421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2024.</w:t>
      </w:r>
    </w:p>
    <w:p w14:paraId="5160EB79" w14:textId="3380DA0B" w:rsidR="001D61A6" w:rsidRPr="00FD6245" w:rsidRDefault="001D61A6" w:rsidP="00FC10AA">
      <w:pPr>
        <w:spacing w:after="160" w:line="240" w:lineRule="auto"/>
        <w:jc w:val="both"/>
        <w:rPr>
          <w:b/>
          <w:bCs/>
        </w:rPr>
      </w:pPr>
      <w:r w:rsidRPr="00FD6245">
        <w:rPr>
          <w:b/>
          <w:bCs/>
        </w:rPr>
        <w:t>II.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NATURALEZA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JURÍDICA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DEL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PROBLEMA</w:t>
      </w:r>
    </w:p>
    <w:p w14:paraId="48189F36" w14:textId="2115841A" w:rsidR="00067325" w:rsidRDefault="001D61A6" w:rsidP="00FC10AA">
      <w:pPr>
        <w:spacing w:after="160" w:line="240" w:lineRule="auto"/>
        <w:jc w:val="both"/>
      </w:pPr>
      <w:r w:rsidRPr="00FD6245">
        <w:t>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CODA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puede</w:t>
      </w:r>
      <w:r w:rsidR="003B379F">
        <w:t xml:space="preserve"> </w:t>
      </w:r>
      <w:r w:rsidRPr="00FD6245">
        <w:t>constituirse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una</w:t>
      </w:r>
      <w:r w:rsidR="003B379F">
        <w:t xml:space="preserve"> </w:t>
      </w:r>
      <w:r w:rsidRPr="00FD6245">
        <w:t>exigencia</w:t>
      </w:r>
      <w:r w:rsidR="003B379F">
        <w:t xml:space="preserve"> </w:t>
      </w:r>
      <w:r w:rsidRPr="00FD6245">
        <w:t>desproporcionada</w:t>
      </w:r>
      <w:r w:rsidR="003B379F">
        <w:t xml:space="preserve"> </w:t>
      </w:r>
      <w:r w:rsidRPr="00FD6245">
        <w:t>a</w:t>
      </w:r>
      <w:r w:rsidR="003B379F">
        <w:t xml:space="preserve"> </w:t>
      </w:r>
      <w:r w:rsidR="001D4D60">
        <w:t>las</w:t>
      </w:r>
      <w:r w:rsidR="003B379F">
        <w:t xml:space="preserve"> </w:t>
      </w:r>
      <w:r w:rsidR="001D4D60">
        <w:t>niñas,</w:t>
      </w:r>
      <w:r w:rsidR="003B379F">
        <w:t xml:space="preserve"> </w:t>
      </w:r>
      <w:r w:rsidR="001D4D60">
        <w:t>niños</w:t>
      </w:r>
      <w:r w:rsidR="003B379F">
        <w:t xml:space="preserve"> </w:t>
      </w:r>
      <w:r w:rsidR="001D4D60">
        <w:t>y</w:t>
      </w:r>
      <w:r w:rsidR="003B379F">
        <w:t xml:space="preserve"> </w:t>
      </w:r>
      <w:r w:rsidR="001D4D60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armado,</w:t>
      </w:r>
      <w:r w:rsidR="003B379F">
        <w:t xml:space="preserve"> </w:t>
      </w:r>
      <w:r w:rsidRPr="00FD6245">
        <w:t>así</w:t>
      </w:r>
      <w:r w:rsidR="003B379F">
        <w:t xml:space="preserve"> </w:t>
      </w:r>
      <w:r w:rsidRPr="00FD6245">
        <w:t>debe</w:t>
      </w:r>
      <w:r w:rsidR="003B379F">
        <w:t xml:space="preserve"> </w:t>
      </w:r>
      <w:r w:rsidRPr="00FD6245">
        <w:t>propenderse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una</w:t>
      </w:r>
      <w:r w:rsidR="003B379F">
        <w:t xml:space="preserve"> </w:t>
      </w:r>
      <w:r w:rsidRPr="00FD6245">
        <w:t>interpretación</w:t>
      </w:r>
      <w:r w:rsidR="003B379F">
        <w:t xml:space="preserve"> </w:t>
      </w:r>
      <w:r w:rsidRPr="00FD6245">
        <w:t>armónica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requisitos</w:t>
      </w:r>
      <w:r w:rsidR="003B379F">
        <w:t xml:space="preserve"> </w:t>
      </w:r>
      <w:r w:rsidRPr="00FD6245">
        <w:t>administrativos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marco</w:t>
      </w:r>
      <w:r w:rsidR="003B379F">
        <w:t xml:space="preserve"> </w:t>
      </w:r>
      <w:r w:rsidRPr="00FD6245">
        <w:t>constitucional,</w:t>
      </w:r>
      <w:r w:rsidR="003B379F">
        <w:t xml:space="preserve"> </w:t>
      </w:r>
      <w:r w:rsidRPr="00FD6245">
        <w:t>legal</w:t>
      </w:r>
      <w:r w:rsidR="003B379F">
        <w:t xml:space="preserve"> </w:t>
      </w:r>
      <w:r w:rsidRPr="00FD6245">
        <w:t>e</w:t>
      </w:r>
      <w:r w:rsidR="003B379F">
        <w:t xml:space="preserve"> </w:t>
      </w:r>
      <w:r w:rsidRPr="00FD6245">
        <w:t>internacional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reforzada</w:t>
      </w:r>
      <w:r w:rsidR="003B379F">
        <w:t xml:space="preserve"> </w:t>
      </w:r>
      <w:r w:rsidRPr="00FD6245">
        <w:t>esta</w:t>
      </w:r>
      <w:r w:rsidR="003B379F">
        <w:t xml:space="preserve"> </w:t>
      </w:r>
      <w:r w:rsidRPr="00FD6245">
        <w:t>población,</w:t>
      </w:r>
      <w:r w:rsidR="003B379F">
        <w:t xml:space="preserve"> </w:t>
      </w:r>
      <w:r w:rsidRPr="00FD6245">
        <w:t>particularmente</w:t>
      </w:r>
      <w:r w:rsidR="003B379F">
        <w:t xml:space="preserve"> </w:t>
      </w:r>
      <w:r w:rsidRPr="00FD6245">
        <w:t>frente</w:t>
      </w:r>
      <w:r w:rsidR="003B379F">
        <w:t xml:space="preserve"> </w:t>
      </w:r>
      <w:r w:rsidR="00067325" w:rsidRPr="00FD6245">
        <w:t>a</w:t>
      </w:r>
      <w:r w:rsidR="00067325">
        <w:t>l</w:t>
      </w:r>
      <w:r w:rsidR="003B379F">
        <w:t xml:space="preserve"> </w:t>
      </w:r>
      <w:r w:rsidRPr="00FD6245">
        <w:t>alcance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17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2421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2024</w:t>
      </w:r>
      <w:r w:rsidR="003B379F">
        <w:t xml:space="preserve"> </w:t>
      </w:r>
      <w:r w:rsidR="00067325">
        <w:t>en</w:t>
      </w:r>
      <w:r w:rsidR="003B379F">
        <w:t xml:space="preserve"> </w:t>
      </w:r>
      <w:r w:rsidR="00067325">
        <w:t>relación</w:t>
      </w:r>
      <w:r w:rsidR="003B379F">
        <w:t xml:space="preserve"> </w:t>
      </w:r>
      <w:r w:rsidR="00067325">
        <w:t>con</w:t>
      </w:r>
      <w:r w:rsidR="003B379F">
        <w:t xml:space="preserve"> </w:t>
      </w:r>
      <w:r w:rsidRPr="00FD6245">
        <w:t>os</w:t>
      </w:r>
      <w:r w:rsidR="003B379F">
        <w:t xml:space="preserve"> </w:t>
      </w:r>
      <w:r w:rsidRPr="00FD6245">
        <w:t>estándares</w:t>
      </w:r>
      <w:r w:rsidR="003B379F">
        <w:t xml:space="preserve"> </w:t>
      </w:r>
      <w:r w:rsidRPr="00FD6245">
        <w:t>constitucionales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convencionales</w:t>
      </w:r>
      <w:r w:rsidR="003B379F">
        <w:t xml:space="preserve"> </w:t>
      </w:r>
      <w:r w:rsidRPr="00FD6245">
        <w:t>sobre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reclutamiento</w:t>
      </w:r>
      <w:r w:rsidR="003B379F">
        <w:t xml:space="preserve"> </w:t>
      </w:r>
      <w:r w:rsidR="00067325">
        <w:t>uso</w:t>
      </w:r>
      <w:r w:rsidR="003B379F">
        <w:t xml:space="preserve"> </w:t>
      </w:r>
      <w:r w:rsidR="00067325">
        <w:t>y</w:t>
      </w:r>
      <w:r w:rsidR="003B379F">
        <w:t xml:space="preserve"> </w:t>
      </w:r>
      <w:r w:rsidR="00067325">
        <w:t>utilización</w:t>
      </w:r>
      <w:r w:rsidR="003B379F">
        <w:t xml:space="preserve"> </w:t>
      </w:r>
      <w:r w:rsidR="00067325">
        <w:t>para</w:t>
      </w:r>
      <w:r w:rsidR="003B379F">
        <w:t xml:space="preserve"> </w:t>
      </w:r>
      <w:r w:rsidR="00067325">
        <w:t>actividades</w:t>
      </w:r>
      <w:r w:rsidR="003B379F">
        <w:t xml:space="preserve"> </w:t>
      </w:r>
      <w:r w:rsidR="00067325">
        <w:t>relacionadas</w:t>
      </w:r>
      <w:r w:rsidR="003B379F">
        <w:t xml:space="preserve"> </w:t>
      </w:r>
      <w:r w:rsidR="00067325">
        <w:t>con</w:t>
      </w:r>
      <w:r w:rsidR="003B379F">
        <w:t xml:space="preserve"> </w:t>
      </w:r>
      <w:r w:rsidR="00067325">
        <w:t>el</w:t>
      </w:r>
      <w:r w:rsidR="003B379F">
        <w:t xml:space="preserve"> </w:t>
      </w:r>
      <w:r w:rsidR="00067325">
        <w:t>conflicto</w:t>
      </w:r>
      <w:r w:rsidR="003B379F">
        <w:t xml:space="preserve"> </w:t>
      </w:r>
      <w:r w:rsidR="00067325">
        <w:t>armado.</w:t>
      </w:r>
    </w:p>
    <w:p w14:paraId="172CF7DD" w14:textId="5FA2A91C" w:rsidR="001D61A6" w:rsidRPr="00FD6245" w:rsidRDefault="001D61A6" w:rsidP="00FC10AA">
      <w:pPr>
        <w:spacing w:after="160" w:line="240" w:lineRule="auto"/>
        <w:jc w:val="both"/>
      </w:pPr>
      <w:r w:rsidRPr="00FD6245">
        <w:t>En</w:t>
      </w:r>
      <w:r w:rsidR="003B379F">
        <w:t xml:space="preserve"> </w:t>
      </w:r>
      <w:r w:rsidRPr="00FD6245">
        <w:t>este</w:t>
      </w:r>
      <w:r w:rsidR="003B379F">
        <w:t xml:space="preserve"> </w:t>
      </w:r>
      <w:r w:rsidRPr="00FD6245">
        <w:t>sentido,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análisis</w:t>
      </w:r>
      <w:r w:rsidR="003B379F">
        <w:t xml:space="preserve"> </w:t>
      </w:r>
      <w:r w:rsidRPr="00FD6245">
        <w:t>jurídico</w:t>
      </w:r>
      <w:r w:rsidR="003B379F">
        <w:t xml:space="preserve"> </w:t>
      </w:r>
      <w:r w:rsidRPr="00FD6245">
        <w:t>debe</w:t>
      </w:r>
      <w:r w:rsidR="003B379F">
        <w:t xml:space="preserve"> </w:t>
      </w:r>
      <w:r w:rsidRPr="00FD6245">
        <w:t>establecer</w:t>
      </w:r>
      <w:r w:rsidR="003B379F">
        <w:t xml:space="preserve"> </w:t>
      </w:r>
      <w:r w:rsidRPr="00FD6245">
        <w:t>si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exigencia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CODA</w:t>
      </w:r>
      <w:r w:rsidR="003B379F">
        <w:t xml:space="preserve"> </w:t>
      </w:r>
      <w:r w:rsidRPr="00FD6245">
        <w:t>constituye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requisito</w:t>
      </w:r>
      <w:r w:rsidR="003B379F">
        <w:t xml:space="preserve"> </w:t>
      </w:r>
      <w:r w:rsidRPr="00FD6245">
        <w:t>obligatorio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condicionante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si,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contrario,</w:t>
      </w:r>
      <w:r w:rsidR="003B379F">
        <w:t xml:space="preserve"> </w:t>
      </w:r>
      <w:r w:rsidRPr="00FD6245">
        <w:t>dicha</w:t>
      </w:r>
      <w:r w:rsidR="003B379F">
        <w:t xml:space="preserve"> </w:t>
      </w:r>
      <w:r w:rsidRPr="00FD6245">
        <w:t>exigencia</w:t>
      </w:r>
      <w:r w:rsidR="003B379F">
        <w:t xml:space="preserve"> </w:t>
      </w:r>
      <w:r w:rsidRPr="00FD6245">
        <w:t>resulta</w:t>
      </w:r>
      <w:r w:rsidR="003B379F">
        <w:t xml:space="preserve"> </w:t>
      </w:r>
      <w:r w:rsidRPr="00FD6245">
        <w:t>incompatible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marco</w:t>
      </w:r>
      <w:r w:rsidR="003B379F">
        <w:t xml:space="preserve"> </w:t>
      </w:r>
      <w:r w:rsidRPr="00FD6245">
        <w:t>constitucional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convencional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reforzada.</w:t>
      </w:r>
    </w:p>
    <w:p w14:paraId="332D8964" w14:textId="47EA3E72" w:rsidR="001D61A6" w:rsidRPr="00FD6245" w:rsidRDefault="001D61A6" w:rsidP="00FC10AA">
      <w:pPr>
        <w:spacing w:after="160" w:line="240" w:lineRule="auto"/>
        <w:jc w:val="both"/>
        <w:rPr>
          <w:b/>
          <w:bCs/>
        </w:rPr>
      </w:pPr>
      <w:r w:rsidRPr="00FD6245">
        <w:rPr>
          <w:b/>
          <w:bCs/>
        </w:rPr>
        <w:t>III.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PROBLEMA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JURÍDICO</w:t>
      </w:r>
    </w:p>
    <w:p w14:paraId="74FC8C54" w14:textId="18888C12" w:rsidR="001D61A6" w:rsidRDefault="001D61A6" w:rsidP="00FC10AA">
      <w:pPr>
        <w:spacing w:line="240" w:lineRule="auto"/>
        <w:jc w:val="both"/>
      </w:pPr>
      <w:r w:rsidRPr="00FD6245">
        <w:t>¿Deben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autoridades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solicitar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Obtención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Armas</w:t>
      </w:r>
      <w:r w:rsidR="003B379F">
        <w:t xml:space="preserve"> </w:t>
      </w:r>
      <w:r w:rsidRPr="00FD6245">
        <w:t>(CODA)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casos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Ley,</w:t>
      </w:r>
      <w:r w:rsidR="003B379F">
        <w:t xml:space="preserve"> </w:t>
      </w:r>
      <w:r w:rsidRPr="00FD6245">
        <w:t>teniendo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cuenta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parágrafo</w:t>
      </w:r>
      <w:r w:rsidR="003B379F">
        <w:t xml:space="preserve"> </w:t>
      </w:r>
      <w:r w:rsidRPr="00FD6245">
        <w:t>4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17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2421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2024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modifica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32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Capítulo</w:t>
      </w:r>
      <w:r w:rsidR="003B379F">
        <w:t xml:space="preserve"> </w:t>
      </w:r>
      <w:r w:rsidRPr="00FD6245">
        <w:t>II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Título</w:t>
      </w:r>
      <w:r w:rsidR="003B379F">
        <w:t xml:space="preserve"> </w:t>
      </w:r>
      <w:r w:rsidRPr="00FD6245">
        <w:t>I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1448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2011,</w:t>
      </w:r>
      <w:r w:rsidR="003B379F">
        <w:t xml:space="preserve"> </w:t>
      </w:r>
      <w:r w:rsidRPr="00FD6245">
        <w:t>indica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les</w:t>
      </w:r>
      <w:r w:rsidR="003B379F">
        <w:t xml:space="preserve"> </w:t>
      </w:r>
      <w:r w:rsidRPr="00FD6245">
        <w:t>exigirá</w:t>
      </w:r>
    </w:p>
    <w:p w14:paraId="109F8F7F" w14:textId="77777777" w:rsidR="002D224A" w:rsidRPr="00FD6245" w:rsidRDefault="002D224A" w:rsidP="00FC10AA">
      <w:pPr>
        <w:spacing w:line="240" w:lineRule="auto"/>
        <w:jc w:val="both"/>
      </w:pPr>
    </w:p>
    <w:p w14:paraId="17A06BE7" w14:textId="35A863EE" w:rsidR="001D61A6" w:rsidRPr="00FD6245" w:rsidRDefault="001D61A6" w:rsidP="00FC10AA">
      <w:pPr>
        <w:spacing w:after="160" w:line="240" w:lineRule="auto"/>
        <w:jc w:val="both"/>
      </w:pPr>
      <w:r w:rsidRPr="00FD6245">
        <w:t>En</w:t>
      </w:r>
      <w:r w:rsidR="003B379F">
        <w:t xml:space="preserve"> </w:t>
      </w:r>
      <w:r w:rsidRPr="00FD6245">
        <w:t>caso</w:t>
      </w:r>
      <w:r w:rsidR="003B379F">
        <w:t xml:space="preserve"> </w:t>
      </w:r>
      <w:r w:rsidRPr="00FD6245">
        <w:t>afirmativo,</w:t>
      </w:r>
      <w:r w:rsidR="003B379F">
        <w:t xml:space="preserve"> </w:t>
      </w:r>
      <w:r w:rsidRPr="00FD6245">
        <w:t>¿la</w:t>
      </w:r>
      <w:r w:rsidR="003B379F">
        <w:t xml:space="preserve"> </w:t>
      </w:r>
      <w:r w:rsidRPr="00FD6245">
        <w:t>Dirección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Especial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Subdirección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Coordinación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Autoridades</w:t>
      </w:r>
      <w:r w:rsidR="003B379F">
        <w:t xml:space="preserve"> </w:t>
      </w:r>
      <w:r w:rsidRPr="00FD6245">
        <w:t>Administrativas,</w:t>
      </w:r>
      <w:r w:rsidR="003B379F">
        <w:t xml:space="preserve"> </w:t>
      </w:r>
      <w:r w:rsidRPr="00FD6245">
        <w:t>deberá</w:t>
      </w:r>
      <w:r w:rsidR="003B379F">
        <w:t xml:space="preserve"> </w:t>
      </w:r>
      <w:r w:rsidRPr="00FD6245">
        <w:t>iniciar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trámite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modificación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actualización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Lineamiento</w:t>
      </w:r>
      <w:r w:rsidR="003B379F">
        <w:t xml:space="preserve"> </w:t>
      </w:r>
      <w:r w:rsidRPr="00FD6245">
        <w:t>Técnico</w:t>
      </w:r>
      <w:r w:rsidR="003B379F">
        <w:t xml:space="preserve"> </w:t>
      </w:r>
      <w:r w:rsidRPr="00FD6245">
        <w:t>Programa</w:t>
      </w:r>
      <w:r w:rsidR="003B379F">
        <w:t xml:space="preserve"> </w:t>
      </w:r>
      <w:r w:rsidRPr="00FD6245">
        <w:t>Atención</w:t>
      </w:r>
      <w:r w:rsidR="003B379F">
        <w:t xml:space="preserve"> </w:t>
      </w:r>
      <w:r w:rsidRPr="00FD6245">
        <w:t>Especializada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Niñas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Reclutamiento</w:t>
      </w:r>
      <w:r w:rsidR="003B379F">
        <w:t xml:space="preserve"> </w:t>
      </w:r>
      <w:r w:rsidRPr="00FD6245">
        <w:t>Ilícito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documentos</w:t>
      </w:r>
      <w:r w:rsidR="003B379F">
        <w:t xml:space="preserve"> </w:t>
      </w:r>
      <w:r w:rsidRPr="00FD6245">
        <w:t>anexos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ahí</w:t>
      </w:r>
      <w:r w:rsidR="003B379F">
        <w:t xml:space="preserve"> </w:t>
      </w:r>
      <w:r w:rsidRPr="00FD6245">
        <w:t>lo</w:t>
      </w:r>
      <w:r w:rsidR="003B379F">
        <w:t xml:space="preserve"> </w:t>
      </w:r>
      <w:r w:rsidRPr="00FD6245">
        <w:t>determinen?</w:t>
      </w:r>
    </w:p>
    <w:p w14:paraId="00583A4A" w14:textId="04C002B3" w:rsidR="001D61A6" w:rsidRDefault="001D61A6" w:rsidP="00FC10AA">
      <w:pPr>
        <w:spacing w:line="240" w:lineRule="auto"/>
        <w:jc w:val="both"/>
        <w:rPr>
          <w:b/>
          <w:bCs/>
        </w:rPr>
      </w:pPr>
      <w:r w:rsidRPr="00FD6245">
        <w:rPr>
          <w:b/>
          <w:bCs/>
        </w:rPr>
        <w:t>IV.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RUTA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METODOLÓGICA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PARA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RESPONDER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LOS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PROBLEMAS</w:t>
      </w:r>
      <w:r w:rsidR="003B379F">
        <w:rPr>
          <w:b/>
          <w:bCs/>
        </w:rPr>
        <w:t xml:space="preserve"> </w:t>
      </w:r>
      <w:r w:rsidR="008D21C6" w:rsidRPr="008D21C6">
        <w:rPr>
          <w:b/>
          <w:bCs/>
        </w:rPr>
        <w:t>JURÍDICOS</w:t>
      </w:r>
      <w:r w:rsidR="003B379F">
        <w:rPr>
          <w:b/>
          <w:bCs/>
        </w:rPr>
        <w:t xml:space="preserve"> </w:t>
      </w:r>
      <w:r w:rsidR="008D21C6">
        <w:rPr>
          <w:b/>
          <w:bCs/>
        </w:rPr>
        <w:t>E</w:t>
      </w:r>
      <w:r w:rsidR="003B379F">
        <w:rPr>
          <w:b/>
          <w:bCs/>
        </w:rPr>
        <w:t xml:space="preserve"> </w:t>
      </w:r>
      <w:r w:rsidR="008D21C6">
        <w:rPr>
          <w:b/>
          <w:bCs/>
        </w:rPr>
        <w:t>INSTRUMENTOS</w:t>
      </w:r>
      <w:r w:rsidR="003B379F">
        <w:rPr>
          <w:b/>
          <w:bCs/>
        </w:rPr>
        <w:t xml:space="preserve"> </w:t>
      </w:r>
      <w:r w:rsidR="008D21C6">
        <w:rPr>
          <w:b/>
          <w:bCs/>
        </w:rPr>
        <w:t>JURIDICOS</w:t>
      </w:r>
      <w:r w:rsidR="003B379F">
        <w:rPr>
          <w:b/>
          <w:bCs/>
        </w:rPr>
        <w:t xml:space="preserve"> </w:t>
      </w:r>
      <w:r w:rsidR="008D21C6">
        <w:rPr>
          <w:b/>
          <w:bCs/>
        </w:rPr>
        <w:t>APLICABLES</w:t>
      </w:r>
      <w:r w:rsidR="003B379F">
        <w:rPr>
          <w:b/>
          <w:bCs/>
        </w:rPr>
        <w:t xml:space="preserve"> </w:t>
      </w:r>
    </w:p>
    <w:p w14:paraId="0AB35192" w14:textId="77777777" w:rsidR="0003236C" w:rsidRDefault="0003236C" w:rsidP="00FC10AA">
      <w:pPr>
        <w:spacing w:line="240" w:lineRule="auto"/>
        <w:jc w:val="both"/>
        <w:rPr>
          <w:b/>
          <w:bCs/>
        </w:rPr>
      </w:pPr>
    </w:p>
    <w:p w14:paraId="131F5CB1" w14:textId="0F5907C2" w:rsidR="0003236C" w:rsidRDefault="0003236C" w:rsidP="00FC10AA">
      <w:pPr>
        <w:spacing w:line="240" w:lineRule="auto"/>
        <w:jc w:val="both"/>
      </w:pPr>
      <w:r w:rsidRPr="0003236C">
        <w:t>Para</w:t>
      </w:r>
      <w:r w:rsidR="003B379F">
        <w:t xml:space="preserve"> </w:t>
      </w:r>
      <w:r w:rsidRPr="0003236C">
        <w:t>dar</w:t>
      </w:r>
      <w:r w:rsidR="003B379F">
        <w:t xml:space="preserve"> </w:t>
      </w:r>
      <w:r w:rsidRPr="0003236C">
        <w:t>respuesta</w:t>
      </w:r>
      <w:r w:rsidR="003B379F">
        <w:t xml:space="preserve"> </w:t>
      </w:r>
      <w:r w:rsidRPr="0003236C">
        <w:t>al</w:t>
      </w:r>
      <w:r w:rsidR="003B379F">
        <w:t xml:space="preserve"> </w:t>
      </w:r>
      <w:r w:rsidRPr="0003236C">
        <w:t>problema</w:t>
      </w:r>
      <w:r w:rsidR="003B379F">
        <w:t xml:space="preserve"> </w:t>
      </w:r>
      <w:r w:rsidRPr="0003236C">
        <w:t>jurídico</w:t>
      </w:r>
      <w:r w:rsidR="003B379F">
        <w:t xml:space="preserve"> </w:t>
      </w:r>
      <w:r w:rsidRPr="0003236C">
        <w:t>se</w:t>
      </w:r>
      <w:r w:rsidR="003B379F">
        <w:t xml:space="preserve"> </w:t>
      </w:r>
      <w:r w:rsidRPr="0003236C">
        <w:t>abordará</w:t>
      </w:r>
      <w:r w:rsidR="00553045">
        <w:t>n</w:t>
      </w:r>
      <w:r w:rsidR="003B379F">
        <w:t xml:space="preserve"> </w:t>
      </w:r>
      <w:r w:rsidR="00553045">
        <w:t>las</w:t>
      </w:r>
      <w:r w:rsidR="003B379F">
        <w:t xml:space="preserve"> </w:t>
      </w:r>
      <w:r w:rsidR="00553045">
        <w:t>siguientes</w:t>
      </w:r>
      <w:r w:rsidR="003B379F">
        <w:t xml:space="preserve"> </w:t>
      </w:r>
      <w:r w:rsidR="00553045">
        <w:t>consideraciones</w:t>
      </w:r>
      <w:r w:rsidRPr="0003236C">
        <w:t>:</w:t>
      </w:r>
      <w:r w:rsidR="003B379F">
        <w:t xml:space="preserve"> </w:t>
      </w:r>
      <w:r w:rsidRPr="0003236C">
        <w:t>(1)</w:t>
      </w:r>
      <w:r w:rsidR="003B379F">
        <w:t xml:space="preserve"> </w:t>
      </w:r>
      <w:r w:rsidR="00553045" w:rsidRPr="00553045">
        <w:t>Protección</w:t>
      </w:r>
      <w:r w:rsidR="003B379F">
        <w:t xml:space="preserve"> </w:t>
      </w:r>
      <w:r w:rsidR="00553045" w:rsidRPr="00553045">
        <w:t>constitucional</w:t>
      </w:r>
      <w:r w:rsidR="003B379F">
        <w:t xml:space="preserve"> </w:t>
      </w:r>
      <w:r w:rsidR="00553045" w:rsidRPr="00553045">
        <w:t>reforzada</w:t>
      </w:r>
      <w:r w:rsidR="003B379F">
        <w:t xml:space="preserve"> </w:t>
      </w:r>
      <w:r w:rsidR="00553045" w:rsidRPr="00553045">
        <w:t>de</w:t>
      </w:r>
      <w:r w:rsidR="003B379F">
        <w:t xml:space="preserve"> </w:t>
      </w:r>
      <w:r w:rsidR="00553045" w:rsidRPr="00553045">
        <w:t>niñas,</w:t>
      </w:r>
      <w:r w:rsidR="003B379F">
        <w:t xml:space="preserve"> </w:t>
      </w:r>
      <w:r w:rsidR="00553045" w:rsidRPr="00553045">
        <w:t>niños</w:t>
      </w:r>
      <w:r w:rsidR="003B379F">
        <w:t xml:space="preserve"> </w:t>
      </w:r>
      <w:r w:rsidR="00553045" w:rsidRPr="00553045">
        <w:t>y</w:t>
      </w:r>
      <w:r w:rsidR="003B379F">
        <w:t xml:space="preserve"> </w:t>
      </w:r>
      <w:r w:rsidR="00553045" w:rsidRPr="00553045">
        <w:t>adolescentes</w:t>
      </w:r>
      <w:r w:rsidR="003B379F">
        <w:t xml:space="preserve"> </w:t>
      </w:r>
      <w:r w:rsidR="00553045" w:rsidRPr="00553045">
        <w:t>víctimas</w:t>
      </w:r>
      <w:r w:rsidR="003B379F">
        <w:t xml:space="preserve"> </w:t>
      </w:r>
      <w:r w:rsidR="00553045" w:rsidRPr="00553045">
        <w:t>del</w:t>
      </w:r>
      <w:r w:rsidR="003B379F">
        <w:t xml:space="preserve"> </w:t>
      </w:r>
      <w:r w:rsidR="00553045" w:rsidRPr="00553045">
        <w:t>conflicto</w:t>
      </w:r>
      <w:r w:rsidR="003B379F">
        <w:t xml:space="preserve"> </w:t>
      </w:r>
      <w:r w:rsidR="00553045" w:rsidRPr="00553045">
        <w:t>armado</w:t>
      </w:r>
      <w:r w:rsidR="003B379F">
        <w:t xml:space="preserve"> </w:t>
      </w:r>
      <w:r w:rsidR="00553045">
        <w:t>(2)</w:t>
      </w:r>
      <w:r w:rsidR="003B379F">
        <w:t xml:space="preserve"> </w:t>
      </w:r>
      <w:r w:rsidR="008D72EC" w:rsidRPr="008D72EC">
        <w:t>Alcance</w:t>
      </w:r>
      <w:r w:rsidR="003B379F">
        <w:t xml:space="preserve"> </w:t>
      </w:r>
      <w:r w:rsidR="008D72EC" w:rsidRPr="008D72EC">
        <w:t>del</w:t>
      </w:r>
      <w:r w:rsidR="003B379F">
        <w:t xml:space="preserve"> </w:t>
      </w:r>
      <w:r w:rsidR="008D72EC" w:rsidRPr="008D72EC">
        <w:t>parágrafo</w:t>
      </w:r>
      <w:r w:rsidR="003B379F">
        <w:t xml:space="preserve"> </w:t>
      </w:r>
      <w:r w:rsidR="008D72EC" w:rsidRPr="008D72EC">
        <w:t>4</w:t>
      </w:r>
      <w:r w:rsidR="003B379F">
        <w:t xml:space="preserve"> </w:t>
      </w:r>
      <w:r w:rsidR="008D72EC" w:rsidRPr="008D72EC">
        <w:t>del</w:t>
      </w:r>
      <w:r w:rsidR="003B379F">
        <w:t xml:space="preserve"> </w:t>
      </w:r>
      <w:r w:rsidR="008D72EC" w:rsidRPr="008D72EC">
        <w:t>artículo</w:t>
      </w:r>
      <w:r w:rsidR="003B379F">
        <w:t xml:space="preserve"> </w:t>
      </w:r>
      <w:r w:rsidR="008D72EC" w:rsidRPr="008D72EC">
        <w:t>17</w:t>
      </w:r>
      <w:r w:rsidR="003B379F">
        <w:t xml:space="preserve"> </w:t>
      </w:r>
      <w:r w:rsidR="008D72EC" w:rsidRPr="008D72EC">
        <w:t>de</w:t>
      </w:r>
      <w:r w:rsidR="003B379F">
        <w:t xml:space="preserve"> </w:t>
      </w:r>
      <w:r w:rsidR="008D72EC" w:rsidRPr="008D72EC">
        <w:t>la</w:t>
      </w:r>
      <w:r w:rsidR="003B379F">
        <w:t xml:space="preserve"> </w:t>
      </w:r>
      <w:r w:rsidR="008D72EC" w:rsidRPr="008D72EC">
        <w:t>Ley</w:t>
      </w:r>
      <w:r w:rsidR="003B379F">
        <w:t xml:space="preserve"> </w:t>
      </w:r>
      <w:r w:rsidR="008D72EC" w:rsidRPr="008D72EC">
        <w:t>2421</w:t>
      </w:r>
      <w:r w:rsidR="003B379F">
        <w:t xml:space="preserve"> </w:t>
      </w:r>
      <w:r w:rsidR="008D72EC" w:rsidRPr="008D72EC">
        <w:t>de</w:t>
      </w:r>
      <w:r w:rsidR="003B379F">
        <w:t xml:space="preserve"> </w:t>
      </w:r>
      <w:r w:rsidR="008D72EC" w:rsidRPr="008D72EC">
        <w:t>2024</w:t>
      </w:r>
      <w:r w:rsidR="003B379F">
        <w:t xml:space="preserve"> </w:t>
      </w:r>
      <w:r w:rsidR="008D72EC">
        <w:t>(3)</w:t>
      </w:r>
      <w:r w:rsidR="003B379F">
        <w:t xml:space="preserve"> </w:t>
      </w:r>
      <w:r w:rsidR="008D72EC" w:rsidRPr="008D72EC">
        <w:t>Naturaleza</w:t>
      </w:r>
      <w:r w:rsidR="003B379F">
        <w:t xml:space="preserve"> </w:t>
      </w:r>
      <w:r w:rsidR="008D72EC" w:rsidRPr="008D72EC">
        <w:t>jurídica</w:t>
      </w:r>
      <w:r w:rsidR="003B379F">
        <w:t xml:space="preserve"> </w:t>
      </w:r>
      <w:r w:rsidR="008D72EC" w:rsidRPr="008D72EC">
        <w:t>del</w:t>
      </w:r>
      <w:r w:rsidR="003B379F">
        <w:t xml:space="preserve"> </w:t>
      </w:r>
      <w:r w:rsidR="008D72EC" w:rsidRPr="008D72EC">
        <w:t>certificado</w:t>
      </w:r>
      <w:r w:rsidR="003B379F">
        <w:t xml:space="preserve"> </w:t>
      </w:r>
      <w:r w:rsidR="008D72EC" w:rsidRPr="008D72EC">
        <w:t>CODA</w:t>
      </w:r>
      <w:r w:rsidR="003B379F">
        <w:t xml:space="preserve"> </w:t>
      </w:r>
      <w:r w:rsidR="008D72EC" w:rsidRPr="008D72EC">
        <w:t>y</w:t>
      </w:r>
      <w:r w:rsidR="003B379F">
        <w:t xml:space="preserve"> </w:t>
      </w:r>
      <w:r w:rsidR="008D72EC" w:rsidRPr="008D72EC">
        <w:t>límites</w:t>
      </w:r>
      <w:r w:rsidR="003B379F">
        <w:t xml:space="preserve"> </w:t>
      </w:r>
      <w:r w:rsidR="008D72EC" w:rsidRPr="008D72EC">
        <w:t>de</w:t>
      </w:r>
      <w:r w:rsidR="003B379F">
        <w:t xml:space="preserve"> </w:t>
      </w:r>
      <w:r w:rsidR="008D72EC" w:rsidRPr="008D72EC">
        <w:t>su</w:t>
      </w:r>
      <w:r w:rsidR="003B379F">
        <w:t xml:space="preserve"> </w:t>
      </w:r>
      <w:r w:rsidR="008D72EC" w:rsidRPr="008D72EC">
        <w:t>exigencia</w:t>
      </w:r>
      <w:r w:rsidRPr="0003236C">
        <w:t>;</w:t>
      </w:r>
      <w:r w:rsidR="003B379F">
        <w:t xml:space="preserve"> </w:t>
      </w:r>
      <w:r w:rsidRPr="0003236C">
        <w:t>(</w:t>
      </w:r>
      <w:r w:rsidR="008D72EC">
        <w:t>4</w:t>
      </w:r>
      <w:r w:rsidRPr="0003236C">
        <w:t>)</w:t>
      </w:r>
      <w:r w:rsidR="003B379F">
        <w:t xml:space="preserve"> </w:t>
      </w:r>
      <w:r w:rsidRPr="0003236C">
        <w:t>análisis</w:t>
      </w:r>
      <w:r w:rsidR="003B379F">
        <w:t xml:space="preserve"> </w:t>
      </w:r>
      <w:r w:rsidRPr="0003236C">
        <w:t>jurídico</w:t>
      </w:r>
      <w:r w:rsidR="003B379F">
        <w:t xml:space="preserve"> </w:t>
      </w:r>
      <w:r w:rsidRPr="0003236C">
        <w:t>concerniente</w:t>
      </w:r>
      <w:r w:rsidR="003B379F">
        <w:t xml:space="preserve"> </w:t>
      </w:r>
      <w:r w:rsidRPr="0003236C">
        <w:t>a</w:t>
      </w:r>
      <w:r w:rsidR="003B379F">
        <w:t xml:space="preserve"> </w:t>
      </w:r>
      <w:r w:rsidRPr="0003236C">
        <w:t>la</w:t>
      </w:r>
      <w:r w:rsidR="008D72EC">
        <w:t>s</w:t>
      </w:r>
      <w:r w:rsidR="003B379F">
        <w:t xml:space="preserve"> </w:t>
      </w:r>
      <w:r w:rsidRPr="0003236C">
        <w:t>pregunta</w:t>
      </w:r>
      <w:r w:rsidR="008D72EC">
        <w:t>s</w:t>
      </w:r>
      <w:r w:rsidR="003B379F">
        <w:t xml:space="preserve"> </w:t>
      </w:r>
      <w:r w:rsidRPr="0003236C">
        <w:t>formulada</w:t>
      </w:r>
      <w:r w:rsidR="008D72EC">
        <w:t>s</w:t>
      </w:r>
      <w:r w:rsidR="003B379F">
        <w:t xml:space="preserve"> </w:t>
      </w:r>
      <w:r w:rsidRPr="0003236C">
        <w:t>y</w:t>
      </w:r>
      <w:r w:rsidR="003B379F">
        <w:t xml:space="preserve"> </w:t>
      </w:r>
      <w:r w:rsidR="0020559A">
        <w:t>(5)</w:t>
      </w:r>
      <w:r w:rsidR="003B379F">
        <w:t xml:space="preserve"> </w:t>
      </w:r>
      <w:r w:rsidRPr="0003236C">
        <w:t>se</w:t>
      </w:r>
      <w:r w:rsidR="003B379F">
        <w:t xml:space="preserve"> </w:t>
      </w:r>
      <w:r w:rsidRPr="0003236C">
        <w:t>presentará</w:t>
      </w:r>
      <w:r w:rsidR="003B379F">
        <w:t xml:space="preserve"> </w:t>
      </w:r>
      <w:r w:rsidRPr="0003236C">
        <w:t>la</w:t>
      </w:r>
      <w:r w:rsidR="003B379F">
        <w:t xml:space="preserve"> </w:t>
      </w:r>
      <w:r w:rsidRPr="0003236C">
        <w:t>respuesta</w:t>
      </w:r>
      <w:r w:rsidR="003B379F">
        <w:t xml:space="preserve"> </w:t>
      </w:r>
      <w:r w:rsidRPr="0003236C">
        <w:t>respectiva</w:t>
      </w:r>
      <w:r w:rsidR="003B379F">
        <w:t xml:space="preserve"> </w:t>
      </w:r>
      <w:r w:rsidR="008D72EC">
        <w:t>teniendo</w:t>
      </w:r>
      <w:r w:rsidR="003B379F">
        <w:t xml:space="preserve"> </w:t>
      </w:r>
      <w:r w:rsidR="008D72EC">
        <w:t>en</w:t>
      </w:r>
      <w:r w:rsidR="003B379F">
        <w:t xml:space="preserve"> </w:t>
      </w:r>
      <w:r w:rsidR="008D72EC">
        <w:t>cuenta</w:t>
      </w:r>
      <w:r w:rsidR="003B379F">
        <w:t xml:space="preserve"> </w:t>
      </w:r>
      <w:r w:rsidR="008D72EC">
        <w:t>los</w:t>
      </w:r>
      <w:r w:rsidR="003B379F">
        <w:t xml:space="preserve"> </w:t>
      </w:r>
      <w:r w:rsidR="008D72EC">
        <w:t>siguientes</w:t>
      </w:r>
      <w:r w:rsidR="003B379F">
        <w:t xml:space="preserve"> </w:t>
      </w:r>
      <w:r w:rsidR="008D72EC">
        <w:t>instrumentos</w:t>
      </w:r>
      <w:r w:rsidR="003B379F">
        <w:t xml:space="preserve"> </w:t>
      </w:r>
      <w:r w:rsidR="008D72EC">
        <w:t>jurídicos:</w:t>
      </w:r>
    </w:p>
    <w:p w14:paraId="2F223373" w14:textId="77777777" w:rsidR="008D72EC" w:rsidRDefault="008D72EC" w:rsidP="00FC10AA">
      <w:pPr>
        <w:spacing w:line="240" w:lineRule="auto"/>
        <w:jc w:val="both"/>
      </w:pPr>
    </w:p>
    <w:p w14:paraId="48D89E3A" w14:textId="52F6676A" w:rsidR="0044391C" w:rsidRPr="00C62B77" w:rsidRDefault="0044391C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lastRenderedPageBreak/>
        <w:t>Articulo</w:t>
      </w:r>
      <w:r w:rsidR="003B379F">
        <w:t xml:space="preserve"> </w:t>
      </w:r>
      <w:r w:rsidRPr="00C62B77">
        <w:t>44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la</w:t>
      </w:r>
      <w:r w:rsidR="003B379F">
        <w:t xml:space="preserve"> </w:t>
      </w:r>
      <w:r w:rsidRPr="00C62B77">
        <w:t>Constitución</w:t>
      </w:r>
      <w:r w:rsidR="003B379F">
        <w:t xml:space="preserve"> </w:t>
      </w:r>
      <w:r w:rsidRPr="00C62B77">
        <w:t>Política</w:t>
      </w:r>
      <w:r w:rsidR="00097571">
        <w:t>.</w:t>
      </w:r>
      <w:r w:rsidR="003B379F">
        <w:t xml:space="preserve"> </w:t>
      </w:r>
    </w:p>
    <w:p w14:paraId="02201B14" w14:textId="7F4C5546" w:rsidR="002D672B" w:rsidRPr="00C62B77" w:rsidRDefault="008D72EC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t>Ley</w:t>
      </w:r>
      <w:r w:rsidR="003B379F">
        <w:t xml:space="preserve"> </w:t>
      </w:r>
      <w:r w:rsidRPr="00C62B77">
        <w:t>1448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2011</w:t>
      </w:r>
      <w:r w:rsidR="003B379F">
        <w:t xml:space="preserve"> </w:t>
      </w:r>
      <w:r w:rsidRPr="00C62B77">
        <w:t>modificada</w:t>
      </w:r>
      <w:r w:rsidR="003B379F">
        <w:t xml:space="preserve"> </w:t>
      </w:r>
      <w:r w:rsidRPr="00C62B77">
        <w:t>por</w:t>
      </w:r>
      <w:r w:rsidR="003B379F">
        <w:t xml:space="preserve"> </w:t>
      </w:r>
      <w:r w:rsidRPr="00C62B77">
        <w:t>la</w:t>
      </w:r>
      <w:r w:rsidR="003B379F">
        <w:t xml:space="preserve"> </w:t>
      </w:r>
      <w:r w:rsidRPr="00C62B77">
        <w:t>Ley</w:t>
      </w:r>
      <w:r w:rsidR="003B379F">
        <w:t xml:space="preserve"> </w:t>
      </w:r>
      <w:r w:rsidRPr="00C62B77">
        <w:t>2421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2024</w:t>
      </w:r>
      <w:r w:rsidR="00097571">
        <w:t>.</w:t>
      </w:r>
    </w:p>
    <w:p w14:paraId="0BEF18E6" w14:textId="0843DBA7" w:rsidR="00B24813" w:rsidRPr="00C62B77" w:rsidRDefault="00B24813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t>Convención</w:t>
      </w:r>
      <w:r w:rsidR="003B379F">
        <w:t xml:space="preserve"> </w:t>
      </w:r>
      <w:r w:rsidRPr="00C62B77">
        <w:t>sobre</w:t>
      </w:r>
      <w:r w:rsidR="003B379F">
        <w:t xml:space="preserve"> </w:t>
      </w:r>
      <w:r w:rsidRPr="00C62B77">
        <w:t>los</w:t>
      </w:r>
      <w:r w:rsidR="003B379F">
        <w:t xml:space="preserve"> </w:t>
      </w:r>
      <w:r w:rsidRPr="00C62B77">
        <w:t>Derechos</w:t>
      </w:r>
      <w:r w:rsidR="003B379F">
        <w:t xml:space="preserve"> </w:t>
      </w:r>
      <w:r w:rsidRPr="00C62B77">
        <w:t>del</w:t>
      </w:r>
      <w:r w:rsidR="003B379F">
        <w:t xml:space="preserve"> </w:t>
      </w:r>
      <w:r w:rsidRPr="00C62B77">
        <w:t>Niño</w:t>
      </w:r>
      <w:r w:rsidR="003B379F">
        <w:t xml:space="preserve"> </w:t>
      </w:r>
      <w:r w:rsidRPr="00C62B77">
        <w:t>(1989)</w:t>
      </w:r>
      <w:r w:rsidR="00097571">
        <w:t>.</w:t>
      </w:r>
    </w:p>
    <w:p w14:paraId="315116C1" w14:textId="792950DF" w:rsidR="00B24813" w:rsidRDefault="00B24813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t>Protocolo</w:t>
      </w:r>
      <w:r w:rsidR="003B379F">
        <w:t xml:space="preserve"> </w:t>
      </w:r>
      <w:r w:rsidRPr="00C62B77">
        <w:t>Facultativo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la</w:t>
      </w:r>
      <w:r w:rsidR="003B379F">
        <w:t xml:space="preserve"> </w:t>
      </w:r>
      <w:r w:rsidRPr="00C62B77">
        <w:t>Convención</w:t>
      </w:r>
      <w:r w:rsidR="003B379F">
        <w:t xml:space="preserve"> </w:t>
      </w:r>
      <w:r w:rsidRPr="00C62B77">
        <w:t>sobre</w:t>
      </w:r>
      <w:r w:rsidR="003B379F">
        <w:t xml:space="preserve"> </w:t>
      </w:r>
      <w:r w:rsidRPr="00C62B77">
        <w:t>los</w:t>
      </w:r>
      <w:r w:rsidR="003B379F">
        <w:t xml:space="preserve"> </w:t>
      </w:r>
      <w:r w:rsidRPr="00C62B77">
        <w:t>Derechos</w:t>
      </w:r>
      <w:r w:rsidR="003B379F">
        <w:t xml:space="preserve"> </w:t>
      </w:r>
      <w:r w:rsidRPr="00C62B77">
        <w:t>del</w:t>
      </w:r>
      <w:r w:rsidR="003B379F">
        <w:t xml:space="preserve"> </w:t>
      </w:r>
      <w:r w:rsidRPr="00C62B77">
        <w:t>Niño</w:t>
      </w:r>
      <w:r w:rsidR="003B379F">
        <w:t xml:space="preserve"> </w:t>
      </w:r>
      <w:r w:rsidRPr="00C62B77">
        <w:t>relativo</w:t>
      </w:r>
      <w:r w:rsidR="003B379F">
        <w:t xml:space="preserve"> </w:t>
      </w:r>
      <w:r w:rsidRPr="00C62B77">
        <w:t>a</w:t>
      </w:r>
      <w:r w:rsidR="003B379F">
        <w:t xml:space="preserve"> </w:t>
      </w:r>
      <w:r w:rsidRPr="00C62B77">
        <w:t>la</w:t>
      </w:r>
      <w:r w:rsidR="003B379F">
        <w:t xml:space="preserve"> </w:t>
      </w:r>
      <w:r w:rsidRPr="00C62B77">
        <w:t>participación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niños</w:t>
      </w:r>
      <w:r w:rsidR="003B379F">
        <w:t xml:space="preserve"> </w:t>
      </w:r>
      <w:r w:rsidRPr="00C62B77">
        <w:t>en</w:t>
      </w:r>
      <w:r w:rsidR="003B379F">
        <w:t xml:space="preserve"> </w:t>
      </w:r>
      <w:r w:rsidRPr="00C62B77">
        <w:t>los</w:t>
      </w:r>
      <w:r w:rsidR="003B379F">
        <w:t xml:space="preserve"> </w:t>
      </w:r>
      <w:r w:rsidRPr="00C62B77">
        <w:t>conflictos</w:t>
      </w:r>
      <w:r w:rsidR="003B379F">
        <w:t xml:space="preserve"> </w:t>
      </w:r>
      <w:r w:rsidRPr="00C62B77">
        <w:t>armados</w:t>
      </w:r>
      <w:r w:rsidR="00097571">
        <w:t>.</w:t>
      </w:r>
    </w:p>
    <w:p w14:paraId="1F9F1E09" w14:textId="196B290E" w:rsidR="007B738D" w:rsidRDefault="007B738D" w:rsidP="007B738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lang w:val="es-CO" w:eastAsia="es-CO"/>
        </w:rPr>
      </w:pPr>
      <w:r w:rsidRPr="00C62B77">
        <w:rPr>
          <w:rFonts w:eastAsia="Times New Roman"/>
          <w:lang w:val="es-CO" w:eastAsia="es-CO"/>
        </w:rPr>
        <w:t>Sentencia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C-240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2009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sobre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protección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menores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frente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cualquier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forma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participación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en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grupos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armados</w:t>
      </w:r>
      <w:r w:rsidR="00097571">
        <w:rPr>
          <w:rFonts w:eastAsia="Times New Roman"/>
          <w:lang w:val="es-CO" w:eastAsia="es-CO"/>
        </w:rPr>
        <w:t>.</w:t>
      </w:r>
    </w:p>
    <w:p w14:paraId="52F815EF" w14:textId="184D1718" w:rsidR="007B738D" w:rsidRPr="007B738D" w:rsidRDefault="007B738D" w:rsidP="007B738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lang w:val="es-CO" w:eastAsia="es-CO"/>
        </w:rPr>
      </w:pPr>
      <w:r w:rsidRPr="00C62B77">
        <w:t>Sentencia</w:t>
      </w:r>
      <w:r w:rsidR="003B379F">
        <w:t xml:space="preserve"> </w:t>
      </w:r>
      <w:r w:rsidRPr="00C62B77">
        <w:t>C-069</w:t>
      </w:r>
      <w:r w:rsidR="003B379F">
        <w:t xml:space="preserve"> </w:t>
      </w:r>
      <w:r w:rsidRPr="00C62B77">
        <w:t>de</w:t>
      </w:r>
      <w:r w:rsidR="003B379F">
        <w:t xml:space="preserve"> </w:t>
      </w:r>
      <w:r w:rsidRPr="00C62B77">
        <w:t>2016</w:t>
      </w:r>
      <w:r w:rsidR="003B379F">
        <w:t xml:space="preserve"> </w:t>
      </w:r>
      <w:r w:rsidRPr="00C62B77">
        <w:t>al</w:t>
      </w:r>
      <w:r w:rsidR="003B379F">
        <w:t xml:space="preserve"> </w:t>
      </w:r>
      <w:r w:rsidRPr="00C62B77">
        <w:rPr>
          <w:rFonts w:cs="Calibri"/>
          <w:color w:val="000000" w:themeColor="text1"/>
          <w:lang w:val="es"/>
        </w:rPr>
        <w:t>analiza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cargo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contra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del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enunciado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final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del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artículo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190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Ley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1448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C62B77">
        <w:rPr>
          <w:rFonts w:cs="Calibri"/>
          <w:color w:val="000000" w:themeColor="text1"/>
          <w:lang w:val="es"/>
        </w:rPr>
        <w:t>2011</w:t>
      </w:r>
      <w:r w:rsidR="00097571">
        <w:rPr>
          <w:rFonts w:cs="Calibri"/>
          <w:color w:val="000000" w:themeColor="text1"/>
          <w:lang w:val="es"/>
        </w:rPr>
        <w:t>.</w:t>
      </w:r>
    </w:p>
    <w:p w14:paraId="320A568A" w14:textId="6612A527" w:rsidR="007C66FB" w:rsidRPr="00C62B77" w:rsidRDefault="007C66FB" w:rsidP="007B738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lang w:val="es-CO" w:eastAsia="es-CO"/>
        </w:rPr>
      </w:pPr>
      <w:r w:rsidRPr="00C62B77">
        <w:rPr>
          <w:rFonts w:eastAsia="Times New Roman"/>
          <w:lang w:val="es-CO" w:eastAsia="es-CO"/>
        </w:rPr>
        <w:t>Sentencia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T-506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2020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que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reconoce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los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NNA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vinculados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grupo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armados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como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víctimas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independientemente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forma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participación</w:t>
      </w:r>
      <w:r w:rsidR="00097571">
        <w:rPr>
          <w:rFonts w:eastAsia="Times New Roman"/>
          <w:lang w:val="es-CO" w:eastAsia="es-CO"/>
        </w:rPr>
        <w:t>.</w:t>
      </w:r>
    </w:p>
    <w:p w14:paraId="09B63E51" w14:textId="60A16B2D" w:rsidR="002D672B" w:rsidRPr="00C62B77" w:rsidRDefault="002D672B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rPr>
          <w:rFonts w:eastAsia="Times New Roman"/>
          <w:lang w:val="es-CO" w:eastAsia="es-CO"/>
        </w:rPr>
        <w:t>Decreto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1385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1994.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Sobre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creación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del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Comité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Operativo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para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la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Dejación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las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Armas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(CODA)</w:t>
      </w:r>
      <w:r w:rsidR="00097571">
        <w:rPr>
          <w:rFonts w:eastAsia="Times New Roman"/>
          <w:lang w:val="es-CO" w:eastAsia="es-CO"/>
        </w:rPr>
        <w:t>.</w:t>
      </w:r>
      <w:r w:rsidR="003B379F">
        <w:rPr>
          <w:rFonts w:eastAsia="Times New Roman"/>
          <w:lang w:val="es-CO" w:eastAsia="es-CO"/>
        </w:rPr>
        <w:t xml:space="preserve"> </w:t>
      </w:r>
    </w:p>
    <w:p w14:paraId="0B506825" w14:textId="05427D0B" w:rsidR="002D672B" w:rsidRPr="00C62B77" w:rsidRDefault="002D672B" w:rsidP="007B738D">
      <w:pPr>
        <w:pStyle w:val="Prrafodelista"/>
        <w:numPr>
          <w:ilvl w:val="0"/>
          <w:numId w:val="7"/>
        </w:numPr>
        <w:spacing w:line="240" w:lineRule="auto"/>
        <w:jc w:val="both"/>
      </w:pPr>
      <w:r w:rsidRPr="00C62B77">
        <w:rPr>
          <w:rFonts w:eastAsia="Times New Roman"/>
          <w:lang w:val="es-CO" w:eastAsia="es-CO"/>
        </w:rPr>
        <w:t>Decreto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128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2003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que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modificó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disposiciones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relacionadas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con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el</w:t>
      </w:r>
      <w:r w:rsidR="003B379F">
        <w:rPr>
          <w:rFonts w:eastAsia="Times New Roman"/>
          <w:lang w:val="es-CO" w:eastAsia="es-CO"/>
        </w:rPr>
        <w:t xml:space="preserve"> </w:t>
      </w:r>
      <w:r w:rsidRPr="00C62B77">
        <w:rPr>
          <w:rFonts w:eastAsia="Times New Roman"/>
          <w:lang w:val="es-CO" w:eastAsia="es-CO"/>
        </w:rPr>
        <w:t>CODA</w:t>
      </w:r>
      <w:r w:rsidR="00097571">
        <w:rPr>
          <w:rFonts w:eastAsia="Times New Roman"/>
          <w:lang w:val="es-CO" w:eastAsia="es-CO"/>
        </w:rPr>
        <w:t>.</w:t>
      </w:r>
    </w:p>
    <w:p w14:paraId="69B61DBC" w14:textId="77777777" w:rsidR="002D224A" w:rsidRPr="00FD6245" w:rsidRDefault="002D224A" w:rsidP="00FC10AA">
      <w:pPr>
        <w:spacing w:line="240" w:lineRule="auto"/>
        <w:jc w:val="both"/>
      </w:pPr>
    </w:p>
    <w:p w14:paraId="34E461D1" w14:textId="12076B0D" w:rsidR="00380C8A" w:rsidRPr="00380C8A" w:rsidRDefault="001D61A6" w:rsidP="00FC10AA">
      <w:pPr>
        <w:spacing w:after="160" w:line="240" w:lineRule="auto"/>
        <w:jc w:val="both"/>
        <w:rPr>
          <w:b/>
          <w:bCs/>
        </w:rPr>
      </w:pPr>
      <w:r w:rsidRPr="00FD6245">
        <w:rPr>
          <w:b/>
          <w:bCs/>
        </w:rPr>
        <w:t>V.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CONSIDERACIONES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JURÍDICAS</w:t>
      </w:r>
    </w:p>
    <w:p w14:paraId="0BBB6AE9" w14:textId="40B180EF" w:rsidR="00380C8A" w:rsidRPr="00380C8A" w:rsidRDefault="00380C8A" w:rsidP="00FC10AA">
      <w:pPr>
        <w:spacing w:after="160" w:line="240" w:lineRule="auto"/>
        <w:jc w:val="both"/>
        <w:rPr>
          <w:b/>
          <w:bCs/>
        </w:rPr>
      </w:pPr>
      <w:r w:rsidRPr="00380C8A">
        <w:rPr>
          <w:b/>
          <w:bCs/>
        </w:rPr>
        <w:t>5.1.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Protección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constitucional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reforzada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niñas,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niños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y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adolescentes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víctimas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del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conflicto</w:t>
      </w:r>
      <w:r w:rsidR="003B379F">
        <w:rPr>
          <w:b/>
          <w:bCs/>
        </w:rPr>
        <w:t xml:space="preserve"> </w:t>
      </w:r>
      <w:r w:rsidRPr="00380C8A">
        <w:rPr>
          <w:b/>
          <w:bCs/>
        </w:rPr>
        <w:t>armado</w:t>
      </w:r>
      <w:r w:rsidR="00EC2AD7">
        <w:rPr>
          <w:b/>
          <w:bCs/>
        </w:rPr>
        <w:t>.</w:t>
      </w:r>
    </w:p>
    <w:p w14:paraId="14119F95" w14:textId="1D17DFA5" w:rsidR="00236C9E" w:rsidRDefault="00236C9E" w:rsidP="00236C9E">
      <w:pPr>
        <w:spacing w:line="240" w:lineRule="auto"/>
        <w:jc w:val="both"/>
        <w:rPr>
          <w:lang w:val="es-CO"/>
        </w:rPr>
      </w:pPr>
      <w:r w:rsidRPr="00236C9E">
        <w:rPr>
          <w:lang w:val="es-CO"/>
        </w:rPr>
        <w:t>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artículo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44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Constitución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Política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Colombia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contiene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un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mandato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superior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que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establece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que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derechos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prevalecen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sobre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demás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dispone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obligaciones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protección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asistencia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cabeza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familia,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sociedad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Estado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como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garantía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para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su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desarrollo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armónico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integral</w:t>
      </w:r>
      <w:r w:rsidRPr="00236C9E">
        <w:rPr>
          <w:vertAlign w:val="superscript"/>
          <w:lang w:val="es-CO"/>
        </w:rPr>
        <w:t>5</w:t>
      </w:r>
      <w:r w:rsidRPr="00236C9E">
        <w:rPr>
          <w:lang w:val="es-CO"/>
        </w:rPr>
        <w:t>.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Convención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sobre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Derechos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Niño</w:t>
      </w:r>
      <w:r w:rsidRPr="00236C9E">
        <w:rPr>
          <w:vertAlign w:val="superscript"/>
          <w:lang w:val="es-CO"/>
        </w:rPr>
        <w:t>6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ratifica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descrito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mandato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constitucional,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obligación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autoridades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judiciales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administrativas,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entre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otras,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(para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que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actúen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conformidad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como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garantes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derechos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especial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protección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niños,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niñas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adolescentes);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por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último,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Ley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1098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2006</w:t>
      </w:r>
      <w:r w:rsidRPr="00236C9E">
        <w:rPr>
          <w:vertAlign w:val="superscript"/>
          <w:lang w:val="es-CO"/>
        </w:rPr>
        <w:t>7</w:t>
      </w:r>
      <w:r w:rsidRPr="00236C9E">
        <w:rPr>
          <w:lang w:val="es-CO"/>
        </w:rPr>
        <w:t>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desarrolla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concepto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interés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superior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prevalencia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derechos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niños,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niñas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adolescentes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(artículos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8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9).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“</w:t>
      </w:r>
      <w:r w:rsidRPr="00236C9E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principio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interés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superior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niños,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y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adolescentes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tiene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un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amplio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reconocimiento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solo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ordenamiento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jurídico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interno,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sino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instrumentos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internacionales,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que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han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catalogado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manera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general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como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una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protección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especial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que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goza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menor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dirigida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adecuado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desarrollo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físico,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sicológico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y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social</w:t>
      </w:r>
      <w:r w:rsidR="00B16D60">
        <w:rPr>
          <w:i/>
          <w:iCs/>
        </w:rPr>
        <w:t>”</w:t>
      </w:r>
      <w:r w:rsidRPr="00236C9E">
        <w:rPr>
          <w:i/>
          <w:iCs/>
          <w:vertAlign w:val="superscript"/>
        </w:rPr>
        <w:t>8</w:t>
      </w:r>
      <w:r w:rsidRPr="00236C9E">
        <w:t>.</w:t>
      </w:r>
    </w:p>
    <w:p w14:paraId="03B4FA1B" w14:textId="77777777" w:rsidR="007A7FF0" w:rsidRPr="00236C9E" w:rsidRDefault="007A7FF0" w:rsidP="00236C9E">
      <w:pPr>
        <w:spacing w:line="240" w:lineRule="auto"/>
        <w:jc w:val="both"/>
        <w:rPr>
          <w:lang w:val="es-CO"/>
        </w:rPr>
      </w:pPr>
    </w:p>
    <w:p w14:paraId="0323DACB" w14:textId="0359C1BF" w:rsidR="00236C9E" w:rsidRDefault="00236C9E" w:rsidP="00236C9E">
      <w:pPr>
        <w:spacing w:line="240" w:lineRule="auto"/>
        <w:jc w:val="both"/>
        <w:rPr>
          <w:lang w:val="es-CO"/>
        </w:rPr>
      </w:pPr>
      <w:r w:rsidRPr="00236C9E">
        <w:rPr>
          <w:lang w:val="es-CO"/>
        </w:rPr>
        <w:t>En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este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sentido,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“[</w:t>
      </w:r>
      <w:r w:rsidRPr="00236C9E">
        <w:rPr>
          <w:i/>
          <w:iCs/>
          <w:lang w:val="es-CO"/>
        </w:rPr>
        <w:t>l</w:t>
      </w:r>
      <w:r w:rsidRPr="00236C9E">
        <w:rPr>
          <w:lang w:val="es-CO"/>
        </w:rPr>
        <w:t>]</w:t>
      </w:r>
      <w:r w:rsidRPr="00236C9E">
        <w:rPr>
          <w:i/>
          <w:iCs/>
          <w:lang w:val="es-CO"/>
        </w:rPr>
        <w:t>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protección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especial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niños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prevalencia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sus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derechos,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representan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verdaderos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valores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principios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que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no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solo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están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llamados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irradiar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expedición,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interpretación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aplicación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todas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normas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justicia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imputable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los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menores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[de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edad]</w:t>
      </w:r>
      <w:r w:rsidRPr="00236C9E">
        <w:rPr>
          <w:i/>
          <w:iCs/>
          <w:lang w:val="es-CO"/>
        </w:rPr>
        <w:t>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sino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también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orientar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promoción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políticas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realización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acciones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concretas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dirigidas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al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logro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su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bienestar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físico,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moral,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intelectual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espiritual;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entendiendo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dicho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bienestar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como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una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causas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finales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la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sociedad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del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Estado,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y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como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un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objetivo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del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sistema</w:t>
      </w:r>
      <w:r w:rsidR="003B379F">
        <w:rPr>
          <w:i/>
          <w:iCs/>
          <w:lang w:val="es-CO"/>
        </w:rPr>
        <w:t xml:space="preserve"> </w:t>
      </w:r>
      <w:r w:rsidRPr="00236C9E">
        <w:rPr>
          <w:i/>
          <w:iCs/>
          <w:lang w:val="es-CO"/>
        </w:rPr>
        <w:t>jurídico”</w:t>
      </w:r>
      <w:r w:rsidRPr="00236C9E">
        <w:rPr>
          <w:i/>
          <w:iCs/>
          <w:vertAlign w:val="superscript"/>
          <w:lang w:val="es-CO"/>
        </w:rPr>
        <w:t>9</w:t>
      </w:r>
      <w:r w:rsidRPr="00236C9E">
        <w:rPr>
          <w:lang w:val="es-CO"/>
        </w:rPr>
        <w:t>.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Esta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obligación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protección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deber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especial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cuidado,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dirigida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sujetos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que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propio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texto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constitucional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establece,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tiene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especial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énfasis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aquellas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edades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y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condiciones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mayor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vulnerabilidad.</w:t>
      </w:r>
      <w:r w:rsidR="003B379F">
        <w:rPr>
          <w:lang w:val="es-CO"/>
        </w:rPr>
        <w:t xml:space="preserve"> </w:t>
      </w:r>
    </w:p>
    <w:p w14:paraId="7A6A9595" w14:textId="77777777" w:rsidR="007A7FF0" w:rsidRPr="00236C9E" w:rsidRDefault="007A7FF0" w:rsidP="00236C9E">
      <w:pPr>
        <w:spacing w:line="240" w:lineRule="auto"/>
        <w:jc w:val="both"/>
        <w:rPr>
          <w:lang w:val="es-CO"/>
        </w:rPr>
      </w:pPr>
    </w:p>
    <w:p w14:paraId="118D520D" w14:textId="7E7A6C99" w:rsidR="00236C9E" w:rsidRDefault="00236C9E" w:rsidP="00236C9E">
      <w:pPr>
        <w:spacing w:line="240" w:lineRule="auto"/>
        <w:jc w:val="both"/>
        <w:rPr>
          <w:lang w:val="es-CO"/>
        </w:rPr>
      </w:pPr>
      <w:r w:rsidRPr="00236C9E">
        <w:rPr>
          <w:lang w:val="es-CO"/>
        </w:rPr>
        <w:lastRenderedPageBreak/>
        <w:t>De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acuerdo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la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Corte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Constitucional,</w:t>
      </w:r>
      <w:r w:rsidR="003B379F">
        <w:rPr>
          <w:lang w:val="es-CO"/>
        </w:rPr>
        <w:t xml:space="preserve"> </w:t>
      </w:r>
      <w:r w:rsidRPr="00236C9E">
        <w:rPr>
          <w:lang w:val="es-CO"/>
        </w:rPr>
        <w:t>“[</w:t>
      </w:r>
      <w:r w:rsidRPr="00236C9E">
        <w:rPr>
          <w:i/>
          <w:iCs/>
          <w:lang w:val="es-CO"/>
        </w:rPr>
        <w:t>s</w:t>
      </w:r>
      <w:r w:rsidRPr="00236C9E">
        <w:rPr>
          <w:lang w:val="es-CO"/>
        </w:rPr>
        <w:t>]</w:t>
      </w:r>
      <w:proofErr w:type="spellStart"/>
      <w:r w:rsidRPr="00236C9E">
        <w:rPr>
          <w:i/>
          <w:iCs/>
        </w:rPr>
        <w:t>on</w:t>
      </w:r>
      <w:proofErr w:type="spellEnd"/>
      <w:r w:rsidR="003B379F">
        <w:rPr>
          <w:i/>
          <w:iCs/>
        </w:rPr>
        <w:t xml:space="preserve"> </w:t>
      </w:r>
      <w:r w:rsidRPr="00236C9E">
        <w:rPr>
          <w:i/>
          <w:iCs/>
        </w:rPr>
        <w:t>criterios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jurídicos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para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determinar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interés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superior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niños,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y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adolescentes: (i) la garantía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desarrollo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integral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menor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edad; (</w:t>
      </w:r>
      <w:proofErr w:type="spellStart"/>
      <w:r w:rsidRPr="00236C9E">
        <w:rPr>
          <w:i/>
          <w:iCs/>
        </w:rPr>
        <w:t>ii</w:t>
      </w:r>
      <w:proofErr w:type="spellEnd"/>
      <w:r w:rsidRPr="00236C9E">
        <w:rPr>
          <w:i/>
          <w:iCs/>
        </w:rPr>
        <w:t>) 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garantía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condiciones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necesarias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para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pleno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ejercicio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derechos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fundamentales; (</w:t>
      </w:r>
      <w:proofErr w:type="spellStart"/>
      <w:r w:rsidRPr="00236C9E">
        <w:rPr>
          <w:i/>
          <w:iCs/>
        </w:rPr>
        <w:t>iii</w:t>
      </w:r>
      <w:proofErr w:type="spellEnd"/>
      <w:r w:rsidRPr="00236C9E">
        <w:rPr>
          <w:i/>
          <w:iCs/>
        </w:rPr>
        <w:t>) 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protección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frente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riesgos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prohibidos; (</w:t>
      </w:r>
      <w:proofErr w:type="spellStart"/>
      <w:r w:rsidRPr="00236C9E">
        <w:rPr>
          <w:i/>
          <w:iCs/>
        </w:rPr>
        <w:t>iv</w:t>
      </w:r>
      <w:proofErr w:type="spellEnd"/>
      <w:r w:rsidRPr="00236C9E">
        <w:rPr>
          <w:i/>
          <w:iCs/>
        </w:rPr>
        <w:t>) 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equilibrio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derechos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con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familiares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tal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forma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que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si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altera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dicho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equilibrio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debe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adoptarse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decisión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que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mejor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satisfaga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derechos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niños,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y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adolescentes; (v) 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provisión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un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ambiente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familiar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apto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para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su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desarrollo; (vi) 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necesidad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justificar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con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razones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peso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intervención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del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Estado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relaciones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familiares;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y (</w:t>
      </w:r>
      <w:proofErr w:type="spellStart"/>
      <w:r w:rsidRPr="00236C9E">
        <w:rPr>
          <w:i/>
          <w:iCs/>
        </w:rPr>
        <w:t>vii</w:t>
      </w:r>
      <w:proofErr w:type="spellEnd"/>
      <w:r w:rsidRPr="00236C9E">
        <w:rPr>
          <w:i/>
          <w:iCs/>
        </w:rPr>
        <w:t>) la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evasión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cambios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desfavorables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en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condiciones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los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niños</w:t>
      </w:r>
      <w:r w:rsidR="003B379F">
        <w:rPr>
          <w:i/>
          <w:iCs/>
        </w:rPr>
        <w:t xml:space="preserve"> </w:t>
      </w:r>
      <w:r w:rsidRPr="00236C9E">
        <w:rPr>
          <w:i/>
          <w:iCs/>
        </w:rPr>
        <w:t>involucrados</w:t>
      </w:r>
      <w:r w:rsidR="00B16D60">
        <w:rPr>
          <w:i/>
          <w:iCs/>
        </w:rPr>
        <w:t>”</w:t>
      </w:r>
      <w:r w:rsidRPr="00236C9E">
        <w:rPr>
          <w:i/>
          <w:iCs/>
          <w:vertAlign w:val="superscript"/>
        </w:rPr>
        <w:t>10</w:t>
      </w:r>
      <w:r w:rsidRPr="00236C9E">
        <w:t>.</w:t>
      </w:r>
    </w:p>
    <w:p w14:paraId="3E23BD3A" w14:textId="77777777" w:rsidR="007A7FF0" w:rsidRPr="00236C9E" w:rsidRDefault="007A7FF0" w:rsidP="00236C9E">
      <w:pPr>
        <w:spacing w:line="240" w:lineRule="auto"/>
        <w:jc w:val="both"/>
        <w:rPr>
          <w:lang w:val="es-CO"/>
        </w:rPr>
      </w:pPr>
    </w:p>
    <w:p w14:paraId="27F29976" w14:textId="799DFCA4" w:rsidR="001D61A6" w:rsidRDefault="001D61A6" w:rsidP="00FC10AA">
      <w:pPr>
        <w:spacing w:line="240" w:lineRule="auto"/>
        <w:jc w:val="both"/>
      </w:pPr>
      <w:r w:rsidRPr="00FD6245">
        <w:t>Así</w:t>
      </w:r>
      <w:r w:rsidR="003B379F">
        <w:t xml:space="preserve"> </w:t>
      </w:r>
      <w:r w:rsidRPr="00FD6245">
        <w:t>mismo,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jurisprudencia</w:t>
      </w:r>
      <w:r w:rsidR="003B379F">
        <w:t xml:space="preserve"> </w:t>
      </w:r>
      <w:r w:rsidRPr="00FD6245">
        <w:t>constitucional</w:t>
      </w:r>
      <w:r w:rsidR="003B379F">
        <w:t xml:space="preserve"> </w:t>
      </w:r>
      <w:r w:rsidRPr="00FD6245">
        <w:t>ha</w:t>
      </w:r>
      <w:r w:rsidR="003B379F">
        <w:t xml:space="preserve"> </w:t>
      </w:r>
      <w:r w:rsidRPr="00FD6245">
        <w:t>señalado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interés</w:t>
      </w:r>
      <w:r w:rsidR="003B379F">
        <w:t xml:space="preserve"> </w:t>
      </w:r>
      <w:r w:rsidRPr="00FD6245">
        <w:t>superior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niño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constituye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concepto</w:t>
      </w:r>
      <w:r w:rsidR="003B379F">
        <w:t xml:space="preserve"> </w:t>
      </w:r>
      <w:r w:rsidRPr="00FD6245">
        <w:t>abstracto</w:t>
      </w:r>
      <w:r w:rsidR="003B379F">
        <w:t xml:space="preserve"> </w:t>
      </w:r>
      <w:r w:rsidRPr="00FD6245">
        <w:t>sino</w:t>
      </w:r>
      <w:r w:rsidR="003B379F">
        <w:t xml:space="preserve"> </w:t>
      </w:r>
      <w:r w:rsidRPr="00FD6245">
        <w:t>una</w:t>
      </w:r>
      <w:r w:rsidR="003B379F">
        <w:t xml:space="preserve"> </w:t>
      </w:r>
      <w:r w:rsidRPr="00FD6245">
        <w:t>garantía</w:t>
      </w:r>
      <w:r w:rsidR="003B379F">
        <w:t xml:space="preserve"> </w:t>
      </w:r>
      <w:r w:rsidRPr="00FD6245">
        <w:t>concreta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obliga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autoridades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adoptar</w:t>
      </w:r>
      <w:r w:rsidR="003B379F">
        <w:t xml:space="preserve"> </w:t>
      </w:r>
      <w:r w:rsidRPr="00FD6245">
        <w:t>decisiones</w:t>
      </w:r>
      <w:r w:rsidR="003B379F">
        <w:t xml:space="preserve"> </w:t>
      </w:r>
      <w:r w:rsidRPr="00FD6245">
        <w:t>orientadas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maximizar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efectiva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6D3346">
        <w:t xml:space="preserve"> en todos los ámbitos del ejercicio de sus competencia</w:t>
      </w:r>
      <w:r w:rsidR="003D5CBF">
        <w:t>s</w:t>
      </w:r>
      <w:r w:rsidR="006D3346">
        <w:t xml:space="preserve"> funcionales</w:t>
      </w:r>
      <w:r w:rsidRPr="00FD6245">
        <w:t>.</w:t>
      </w:r>
    </w:p>
    <w:p w14:paraId="11AE1571" w14:textId="77777777" w:rsidR="00701963" w:rsidRPr="00F94276" w:rsidRDefault="00701963" w:rsidP="00FC10AA">
      <w:pPr>
        <w:spacing w:line="240" w:lineRule="auto"/>
        <w:jc w:val="both"/>
        <w:rPr>
          <w:b/>
          <w:bCs/>
        </w:rPr>
      </w:pPr>
    </w:p>
    <w:p w14:paraId="2089CCDD" w14:textId="19FF4555" w:rsidR="00F94276" w:rsidRPr="00F94276" w:rsidRDefault="00F94276" w:rsidP="00FC10AA">
      <w:pPr>
        <w:spacing w:line="240" w:lineRule="auto"/>
        <w:jc w:val="both"/>
        <w:rPr>
          <w:b/>
          <w:bCs/>
        </w:rPr>
      </w:pPr>
      <w:r w:rsidRPr="00F94276">
        <w:rPr>
          <w:b/>
          <w:bCs/>
        </w:rPr>
        <w:t>5.2.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Alcance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del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artículo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17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la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Ley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2421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Pr="00F94276">
        <w:rPr>
          <w:b/>
          <w:bCs/>
        </w:rPr>
        <w:t>2024</w:t>
      </w:r>
      <w:r w:rsidR="00F6775B">
        <w:rPr>
          <w:b/>
          <w:bCs/>
        </w:rPr>
        <w:t>.</w:t>
      </w:r>
    </w:p>
    <w:p w14:paraId="4822CFA7" w14:textId="77777777" w:rsidR="00F94276" w:rsidRDefault="00F94276" w:rsidP="00FC10AA">
      <w:pPr>
        <w:spacing w:line="240" w:lineRule="auto"/>
        <w:jc w:val="both"/>
      </w:pPr>
    </w:p>
    <w:p w14:paraId="20F607C1" w14:textId="11BF247F" w:rsidR="001D61A6" w:rsidRDefault="001D61A6" w:rsidP="00FC10AA">
      <w:pPr>
        <w:spacing w:line="240" w:lineRule="auto"/>
        <w:jc w:val="both"/>
      </w:pPr>
      <w:r>
        <w:t>Por</w:t>
      </w:r>
      <w:r w:rsidR="003B379F">
        <w:t xml:space="preserve"> </w:t>
      </w:r>
      <w:r>
        <w:t>su</w:t>
      </w:r>
      <w:r w:rsidR="003B379F">
        <w:t xml:space="preserve"> </w:t>
      </w:r>
      <w:r>
        <w:t>parte,</w:t>
      </w:r>
      <w:r w:rsidR="003B379F">
        <w:t xml:space="preserve"> </w:t>
      </w:r>
      <w:r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2421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2024</w:t>
      </w:r>
      <w:r w:rsidR="003B379F">
        <w:t xml:space="preserve"> </w:t>
      </w:r>
      <w:r w:rsidRPr="00FD6245">
        <w:t>modificó</w:t>
      </w:r>
      <w:r w:rsidR="003B379F">
        <w:t xml:space="preserve"> </w:t>
      </w:r>
      <w:r w:rsidRPr="00FD6245">
        <w:t>diversas</w:t>
      </w:r>
      <w:r w:rsidR="003B379F">
        <w:t xml:space="preserve"> </w:t>
      </w:r>
      <w:r w:rsidRPr="00FD6245">
        <w:t>disposiciones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1448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2011,</w:t>
      </w:r>
      <w:r w:rsidR="003B379F">
        <w:t xml:space="preserve"> </w:t>
      </w:r>
      <w:r>
        <w:t>incluyendo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32,</w:t>
      </w:r>
      <w:r w:rsidR="003B379F">
        <w:t xml:space="preserve"> </w:t>
      </w:r>
      <w:r w:rsidR="006C70EF">
        <w:t xml:space="preserve">con el fin de ampliar las garantías de </w:t>
      </w:r>
      <w:proofErr w:type="gramStart"/>
      <w:r w:rsidR="006C70EF">
        <w:t>los menores</w:t>
      </w:r>
      <w:r w:rsidR="00B16D60">
        <w:t xml:space="preserve"> </w:t>
      </w:r>
      <w:r w:rsidR="006C70EF">
        <w:t>víctimas</w:t>
      </w:r>
      <w:proofErr w:type="gramEnd"/>
      <w:r w:rsidR="006C70EF">
        <w:t xml:space="preserve"> del conflicto armado, </w:t>
      </w:r>
      <w:r w:rsidRPr="00FD6245">
        <w:t>establec</w:t>
      </w:r>
      <w:r>
        <w:t>iendo</w:t>
      </w:r>
      <w:r w:rsidR="003B379F">
        <w:t xml:space="preserve"> </w:t>
      </w:r>
      <w:r w:rsidRPr="00FD6245">
        <w:t>expresamente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 w:rsidRPr="00FD6245">
        <w:t>organizados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margen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se</w:t>
      </w:r>
      <w:r w:rsidR="003B379F">
        <w:t xml:space="preserve"> </w:t>
      </w:r>
      <w:r w:rsidRPr="00FD6245">
        <w:t>les</w:t>
      </w:r>
      <w:r w:rsidR="003B379F">
        <w:t xml:space="preserve"> </w:t>
      </w:r>
      <w:r w:rsidRPr="00FD6245">
        <w:t>exigirá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Obtención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Armas</w:t>
      </w:r>
      <w:r w:rsidR="003B379F">
        <w:t xml:space="preserve"> </w:t>
      </w:r>
      <w:r>
        <w:t>para</w:t>
      </w:r>
      <w:r w:rsidR="003B379F">
        <w:t xml:space="preserve"> </w:t>
      </w:r>
      <w:r>
        <w:t>la</w:t>
      </w:r>
      <w:r w:rsidR="003B379F">
        <w:t xml:space="preserve"> </w:t>
      </w:r>
      <w:r>
        <w:t>implementación</w:t>
      </w:r>
      <w:r w:rsidR="003B379F">
        <w:t xml:space="preserve"> </w:t>
      </w:r>
      <w:r>
        <w:t>de</w:t>
      </w:r>
      <w:r w:rsidR="003B379F">
        <w:t xml:space="preserve"> </w:t>
      </w:r>
      <w:r>
        <w:t>los</w:t>
      </w:r>
      <w:r w:rsidR="003B379F">
        <w:t xml:space="preserve"> </w:t>
      </w:r>
      <w:r>
        <w:t>programas</w:t>
      </w:r>
      <w:r w:rsidR="003B379F">
        <w:t xml:space="preserve"> </w:t>
      </w:r>
      <w:r>
        <w:t>de</w:t>
      </w:r>
      <w:r w:rsidR="003B379F">
        <w:t xml:space="preserve"> </w:t>
      </w:r>
      <w:r>
        <w:t>protección</w:t>
      </w:r>
      <w:r w:rsidR="003B379F">
        <w:t xml:space="preserve"> </w:t>
      </w:r>
      <w:r>
        <w:t>integral</w:t>
      </w:r>
      <w:r w:rsidRPr="00FD6245">
        <w:t>.</w:t>
      </w:r>
    </w:p>
    <w:p w14:paraId="6FFA82DD" w14:textId="77777777" w:rsidR="00701963" w:rsidRPr="00FD6245" w:rsidRDefault="00701963" w:rsidP="00FC10AA">
      <w:pPr>
        <w:spacing w:line="240" w:lineRule="auto"/>
        <w:jc w:val="both"/>
      </w:pPr>
    </w:p>
    <w:p w14:paraId="19944052" w14:textId="3E739340" w:rsidR="001D61A6" w:rsidRPr="00FD6245" w:rsidRDefault="001D61A6" w:rsidP="00FC10AA">
      <w:pPr>
        <w:spacing w:after="160" w:line="240" w:lineRule="auto"/>
        <w:jc w:val="both"/>
      </w:pPr>
      <w:r w:rsidRPr="00FD6245">
        <w:t>La</w:t>
      </w:r>
      <w:r w:rsidR="003B379F">
        <w:t xml:space="preserve"> </w:t>
      </w:r>
      <w:r w:rsidRPr="00FD6245">
        <w:t>inclusión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esta</w:t>
      </w:r>
      <w:r w:rsidR="003B379F">
        <w:t xml:space="preserve"> </w:t>
      </w:r>
      <w:r w:rsidRPr="00FD6245">
        <w:t>disposición</w:t>
      </w:r>
      <w:r w:rsidR="003B379F">
        <w:t xml:space="preserve"> </w:t>
      </w:r>
      <w:r w:rsidRPr="00FD6245">
        <w:t>debe</w:t>
      </w:r>
      <w:r w:rsidR="003B379F">
        <w:t xml:space="preserve"> </w:t>
      </w:r>
      <w:r w:rsidRPr="00FD6245">
        <w:t>interpretarse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manera</w:t>
      </w:r>
      <w:r w:rsidR="003B379F">
        <w:t xml:space="preserve"> </w:t>
      </w:r>
      <w:r w:rsidRPr="00FD6245">
        <w:t>sistemática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conforme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principio</w:t>
      </w:r>
      <w:r w:rsidR="003B379F">
        <w:t xml:space="preserve"> </w:t>
      </w:r>
      <w:r w:rsidRPr="00FD6245">
        <w:t>pro</w:t>
      </w:r>
      <w:r w:rsidR="003B379F">
        <w:t xml:space="preserve"> </w:t>
      </w:r>
      <w:r w:rsidRPr="00FD6245">
        <w:t>homine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interés</w:t>
      </w:r>
      <w:r w:rsidR="003B379F">
        <w:t xml:space="preserve"> </w:t>
      </w:r>
      <w:r w:rsidRPr="00FD6245">
        <w:t>superior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niño,</w:t>
      </w:r>
      <w:r w:rsidR="003B379F">
        <w:t xml:space="preserve"> </w:t>
      </w:r>
      <w:r w:rsidRPr="00FD6245">
        <w:t>entendiendo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legislador</w:t>
      </w:r>
      <w:r w:rsidR="003B379F">
        <w:t xml:space="preserve"> </w:t>
      </w:r>
      <w:r w:rsidRPr="00FD6245">
        <w:t>buscó</w:t>
      </w:r>
      <w:r w:rsidR="003B379F">
        <w:t xml:space="preserve"> </w:t>
      </w:r>
      <w:r w:rsidRPr="00FD6245">
        <w:t>eliminar</w:t>
      </w:r>
      <w:r w:rsidR="003B379F">
        <w:t xml:space="preserve"> </w:t>
      </w:r>
      <w:r w:rsidRPr="00FD6245">
        <w:t>barreras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probatorias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pudieran</w:t>
      </w:r>
      <w:r w:rsidR="003B379F">
        <w:t xml:space="preserve"> </w:t>
      </w:r>
      <w:r w:rsidRPr="00FD6245">
        <w:t>obstaculizar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acceso</w:t>
      </w:r>
      <w:r w:rsidR="003B379F">
        <w:t xml:space="preserve"> </w:t>
      </w:r>
      <w:r w:rsidRPr="00FD6245">
        <w:t>efectivo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esta</w:t>
      </w:r>
      <w:r w:rsidR="003B379F">
        <w:t xml:space="preserve"> </w:t>
      </w:r>
      <w:r w:rsidRPr="00FD6245">
        <w:t>población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medidas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protección,</w:t>
      </w:r>
      <w:r w:rsidR="003B379F">
        <w:t xml:space="preserve"> </w:t>
      </w:r>
      <w:r w:rsidRPr="00FD6245">
        <w:t>atención,</w:t>
      </w:r>
      <w:r w:rsidR="003B379F">
        <w:t xml:space="preserve"> </w:t>
      </w:r>
      <w:r w:rsidRPr="00FD6245">
        <w:t>asistencia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reparación</w:t>
      </w:r>
      <w:r w:rsidR="003B379F">
        <w:t xml:space="preserve"> </w:t>
      </w:r>
      <w:r>
        <w:t>y</w:t>
      </w:r>
      <w:r w:rsidR="003B379F">
        <w:t xml:space="preserve"> </w:t>
      </w:r>
      <w:r>
        <w:t>por</w:t>
      </w:r>
      <w:r w:rsidR="003B379F">
        <w:t xml:space="preserve"> </w:t>
      </w:r>
      <w:r>
        <w:t>lo</w:t>
      </w:r>
      <w:r w:rsidR="003B379F">
        <w:t xml:space="preserve"> </w:t>
      </w:r>
      <w:r>
        <w:t>tanto,</w:t>
      </w:r>
      <w:r w:rsidR="003B379F">
        <w:t xml:space="preserve"> </w:t>
      </w:r>
      <w:r>
        <w:t>la</w:t>
      </w:r>
      <w:r w:rsidR="003B379F">
        <w:t xml:space="preserve"> </w:t>
      </w:r>
      <w:r>
        <w:t>modificación</w:t>
      </w:r>
      <w:r w:rsidR="003B379F">
        <w:t xml:space="preserve"> </w:t>
      </w:r>
      <w:r>
        <w:t>normativa</w:t>
      </w:r>
      <w:r w:rsidR="003B379F">
        <w:t xml:space="preserve"> </w:t>
      </w:r>
      <w:r w:rsidR="00E855A2">
        <w:t>debe</w:t>
      </w:r>
      <w:r w:rsidR="003B379F">
        <w:t xml:space="preserve"> </w:t>
      </w:r>
      <w:r>
        <w:t>ser</w:t>
      </w:r>
      <w:r w:rsidR="003B379F">
        <w:t xml:space="preserve"> </w:t>
      </w:r>
      <w:r>
        <w:t>aplicada</w:t>
      </w:r>
      <w:r w:rsidR="003B379F">
        <w:t xml:space="preserve"> </w:t>
      </w:r>
      <w:r>
        <w:t>de</w:t>
      </w:r>
      <w:r w:rsidR="003B379F">
        <w:t xml:space="preserve"> </w:t>
      </w:r>
      <w:r>
        <w:t>manera</w:t>
      </w:r>
      <w:r w:rsidR="003B379F">
        <w:t xml:space="preserve"> </w:t>
      </w:r>
      <w:r>
        <w:t>directa</w:t>
      </w:r>
      <w:r w:rsidR="003B379F">
        <w:t xml:space="preserve"> </w:t>
      </w:r>
      <w:r>
        <w:t>a</w:t>
      </w:r>
      <w:r w:rsidR="003B379F">
        <w:t xml:space="preserve"> </w:t>
      </w:r>
      <w:r>
        <w:t>los</w:t>
      </w:r>
      <w:r w:rsidR="003B379F">
        <w:t xml:space="preserve"> </w:t>
      </w:r>
      <w:r>
        <w:t>procedimientos</w:t>
      </w:r>
      <w:r w:rsidR="003B379F">
        <w:t xml:space="preserve"> </w:t>
      </w:r>
      <w:r>
        <w:t>del</w:t>
      </w:r>
      <w:r w:rsidR="003B379F">
        <w:t xml:space="preserve"> </w:t>
      </w:r>
      <w:r>
        <w:t>ICBF</w:t>
      </w:r>
      <w:r w:rsidR="003B379F">
        <w:t xml:space="preserve"> </w:t>
      </w:r>
      <w:r>
        <w:t>relacionados</w:t>
      </w:r>
      <w:r w:rsidR="003B379F">
        <w:t xml:space="preserve"> </w:t>
      </w:r>
      <w:r>
        <w:t>precisamente</w:t>
      </w:r>
      <w:r w:rsidR="003B379F">
        <w:t xml:space="preserve"> </w:t>
      </w:r>
      <w:r>
        <w:t>con</w:t>
      </w:r>
      <w:r w:rsidR="003B379F">
        <w:t xml:space="preserve"> </w:t>
      </w:r>
      <w:r>
        <w:t>estas</w:t>
      </w:r>
      <w:r w:rsidR="003B379F">
        <w:t xml:space="preserve"> </w:t>
      </w:r>
      <w:r>
        <w:t>medidas.</w:t>
      </w:r>
    </w:p>
    <w:p w14:paraId="67744F05" w14:textId="2596CD36" w:rsidR="001D61A6" w:rsidRPr="00F6775B" w:rsidRDefault="001D61A6" w:rsidP="00FC10AA">
      <w:pPr>
        <w:spacing w:after="160" w:line="240" w:lineRule="auto"/>
        <w:jc w:val="both"/>
        <w:rPr>
          <w:b/>
          <w:bCs/>
        </w:rPr>
      </w:pPr>
      <w:r w:rsidRPr="00FD6245">
        <w:t>En</w:t>
      </w:r>
      <w:r w:rsidR="003B379F">
        <w:t xml:space="preserve"> </w:t>
      </w:r>
      <w:r w:rsidRPr="00FD6245">
        <w:t>consecuencia,</w:t>
      </w:r>
      <w:r w:rsidR="003B379F">
        <w:t xml:space="preserve"> </w:t>
      </w:r>
      <w:r>
        <w:t>dado</w:t>
      </w:r>
      <w:r w:rsidR="003B379F">
        <w:t xml:space="preserve"> </w:t>
      </w:r>
      <w:r>
        <w:t>que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norma</w:t>
      </w:r>
      <w:r w:rsidR="003B379F">
        <w:t xml:space="preserve"> </w:t>
      </w:r>
      <w:r w:rsidRPr="00FD6245">
        <w:t>excluye</w:t>
      </w:r>
      <w:r w:rsidR="003B379F">
        <w:t xml:space="preserve"> </w:t>
      </w:r>
      <w:r w:rsidR="00E855A2">
        <w:t>claramente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exigibilidad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CODA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requisito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e</w:t>
      </w:r>
      <w:r w:rsidR="00AA7A38">
        <w:t xml:space="preserve">l reconocimiento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reclutamiento</w:t>
      </w:r>
      <w:r w:rsidR="003B379F">
        <w:t xml:space="preserve"> </w:t>
      </w:r>
      <w:r w:rsidRPr="00FD6245">
        <w:t>ilícito,</w:t>
      </w:r>
      <w:r w:rsidR="003B379F">
        <w:t xml:space="preserve"> </w:t>
      </w:r>
      <w:r w:rsidRPr="00FD6245">
        <w:t>uso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utilización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grupos</w:t>
      </w:r>
      <w:r w:rsidR="003B379F">
        <w:t xml:space="preserve"> </w:t>
      </w:r>
      <w:r w:rsidRPr="00FD6245">
        <w:t>armados</w:t>
      </w:r>
      <w:r w:rsidR="003B379F">
        <w:t xml:space="preserve"> </w:t>
      </w:r>
      <w:r>
        <w:t>y</w:t>
      </w:r>
      <w:r w:rsidR="003B379F">
        <w:t xml:space="preserve"> </w:t>
      </w:r>
      <w:r>
        <w:t>para</w:t>
      </w:r>
      <w:r w:rsidR="003B379F">
        <w:t xml:space="preserve"> </w:t>
      </w:r>
      <w:r>
        <w:t>el</w:t>
      </w:r>
      <w:r w:rsidR="003B379F">
        <w:t xml:space="preserve"> </w:t>
      </w:r>
      <w:r>
        <w:t>acceso</w:t>
      </w:r>
      <w:r w:rsidR="003B379F">
        <w:t xml:space="preserve"> </w:t>
      </w:r>
      <w:r>
        <w:t>a</w:t>
      </w:r>
      <w:r w:rsidR="003B379F">
        <w:t xml:space="preserve"> </w:t>
      </w:r>
      <w:r>
        <w:t>protección</w:t>
      </w:r>
      <w:r w:rsidR="003B379F">
        <w:t xml:space="preserve"> </w:t>
      </w:r>
      <w:r>
        <w:t>integral,</w:t>
      </w:r>
      <w:r w:rsidR="003B379F">
        <w:t xml:space="preserve"> </w:t>
      </w:r>
      <w:r>
        <w:t>compete</w:t>
      </w:r>
      <w:r w:rsidR="003B379F">
        <w:t xml:space="preserve"> </w:t>
      </w:r>
      <w:r>
        <w:t>al</w:t>
      </w:r>
      <w:r w:rsidR="003B379F">
        <w:t xml:space="preserve"> </w:t>
      </w:r>
      <w:r>
        <w:t>instituto</w:t>
      </w:r>
      <w:r w:rsidR="003B379F">
        <w:t xml:space="preserve"> </w:t>
      </w:r>
      <w:r>
        <w:t>modificar</w:t>
      </w:r>
      <w:r w:rsidR="003B379F">
        <w:t xml:space="preserve"> </w:t>
      </w:r>
      <w:r>
        <w:t>sus</w:t>
      </w:r>
      <w:r w:rsidR="003B379F">
        <w:t xml:space="preserve"> </w:t>
      </w:r>
      <w:r>
        <w:t>procedimientos</w:t>
      </w:r>
      <w:r w:rsidR="003B379F">
        <w:t xml:space="preserve"> </w:t>
      </w:r>
      <w:r>
        <w:t>internos</w:t>
      </w:r>
      <w:r w:rsidR="003B379F">
        <w:t xml:space="preserve"> </w:t>
      </w:r>
      <w:r>
        <w:t>para</w:t>
      </w:r>
      <w:r w:rsidR="003B379F">
        <w:t xml:space="preserve"> </w:t>
      </w:r>
      <w:r>
        <w:t>garantizar</w:t>
      </w:r>
      <w:r w:rsidR="003B379F">
        <w:t xml:space="preserve"> </w:t>
      </w:r>
      <w:r>
        <w:t>la</w:t>
      </w:r>
      <w:r w:rsidR="003B379F">
        <w:t xml:space="preserve"> </w:t>
      </w:r>
      <w:r>
        <w:t>aplicación</w:t>
      </w:r>
      <w:r w:rsidR="003B379F">
        <w:t xml:space="preserve"> </w:t>
      </w:r>
      <w:r>
        <w:t>de</w:t>
      </w:r>
      <w:r w:rsidR="003B379F">
        <w:t xml:space="preserve"> </w:t>
      </w:r>
      <w:r>
        <w:t>la</w:t>
      </w:r>
      <w:r w:rsidR="003B379F">
        <w:t xml:space="preserve"> </w:t>
      </w:r>
      <w:r>
        <w:t>norma</w:t>
      </w:r>
      <w:r w:rsidR="003B379F">
        <w:t xml:space="preserve"> </w:t>
      </w:r>
      <w:r>
        <w:t>y</w:t>
      </w:r>
      <w:r w:rsidR="003B379F">
        <w:t xml:space="preserve"> </w:t>
      </w:r>
      <w:r>
        <w:t>la</w:t>
      </w:r>
      <w:r w:rsidR="003B379F">
        <w:t xml:space="preserve"> </w:t>
      </w:r>
      <w:r>
        <w:t>flexibilidad</w:t>
      </w:r>
      <w:r w:rsidR="003B379F">
        <w:t xml:space="preserve"> </w:t>
      </w:r>
      <w:r>
        <w:t>probatoria</w:t>
      </w:r>
      <w:r w:rsidR="003B379F">
        <w:t xml:space="preserve"> </w:t>
      </w:r>
      <w:r>
        <w:t>en</w:t>
      </w:r>
      <w:r w:rsidR="003B379F">
        <w:t xml:space="preserve"> </w:t>
      </w:r>
      <w:r>
        <w:t>materia</w:t>
      </w:r>
      <w:r w:rsidR="003B379F">
        <w:t xml:space="preserve"> </w:t>
      </w:r>
      <w:r>
        <w:t>de</w:t>
      </w:r>
      <w:r w:rsidR="003B379F">
        <w:t xml:space="preserve"> </w:t>
      </w:r>
      <w:r>
        <w:t>derechos</w:t>
      </w:r>
      <w:r w:rsidR="003B379F">
        <w:t xml:space="preserve"> </w:t>
      </w:r>
      <w:r>
        <w:t>de</w:t>
      </w:r>
      <w:r w:rsidR="003B379F">
        <w:t xml:space="preserve"> </w:t>
      </w:r>
      <w:r>
        <w:t>víctimas</w:t>
      </w:r>
      <w:r w:rsidR="003B379F">
        <w:t xml:space="preserve"> </w:t>
      </w:r>
      <w:r>
        <w:t>del</w:t>
      </w:r>
      <w:r w:rsidR="003B379F">
        <w:t xml:space="preserve"> </w:t>
      </w:r>
      <w:r>
        <w:t>conflicto</w:t>
      </w:r>
      <w:r w:rsidR="003B379F">
        <w:t xml:space="preserve"> </w:t>
      </w:r>
      <w:r>
        <w:t>armado</w:t>
      </w:r>
      <w:r w:rsidRPr="00FD6245">
        <w:t>.</w:t>
      </w:r>
    </w:p>
    <w:p w14:paraId="426D6401" w14:textId="5633BD71" w:rsidR="00F6775B" w:rsidRPr="00F6775B" w:rsidRDefault="00F6775B" w:rsidP="00FC10AA">
      <w:pPr>
        <w:spacing w:after="160" w:line="240" w:lineRule="auto"/>
        <w:jc w:val="both"/>
        <w:rPr>
          <w:b/>
          <w:bCs/>
        </w:rPr>
      </w:pPr>
      <w:r w:rsidRPr="00F6775B">
        <w:rPr>
          <w:b/>
          <w:bCs/>
        </w:rPr>
        <w:t>5.3.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Naturaleza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jurídica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del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certificado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CODA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y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límites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su</w:t>
      </w:r>
      <w:r w:rsidR="003B379F">
        <w:rPr>
          <w:b/>
          <w:bCs/>
        </w:rPr>
        <w:t xml:space="preserve"> </w:t>
      </w:r>
      <w:r w:rsidRPr="00F6775B">
        <w:rPr>
          <w:b/>
          <w:bCs/>
        </w:rPr>
        <w:t>exigencia</w:t>
      </w:r>
      <w:r>
        <w:rPr>
          <w:b/>
          <w:bCs/>
        </w:rPr>
        <w:t>.</w:t>
      </w:r>
    </w:p>
    <w:p w14:paraId="74086CB9" w14:textId="0D5F1D6B" w:rsidR="001D61A6" w:rsidRDefault="001D61A6" w:rsidP="00FC10AA">
      <w:pPr>
        <w:spacing w:line="240" w:lineRule="auto"/>
        <w:jc w:val="both"/>
      </w:pPr>
      <w:r>
        <w:t>Además,</w:t>
      </w:r>
      <w:r w:rsidR="003B379F">
        <w:t xml:space="preserve"> </w:t>
      </w:r>
      <w:r>
        <w:t>e</w:t>
      </w:r>
      <w:r w:rsidRPr="00FD6245">
        <w:t>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expedido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Comité</w:t>
      </w:r>
      <w:r w:rsidR="003B379F">
        <w:t xml:space="preserve"> </w:t>
      </w:r>
      <w:r w:rsidRPr="00FD6245">
        <w:t>Operativo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Dejación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Armas</w:t>
      </w:r>
      <w:r w:rsidR="003B379F">
        <w:t xml:space="preserve"> </w:t>
      </w:r>
      <w:r w:rsidRPr="00FD6245">
        <w:t>constituye</w:t>
      </w:r>
      <w:r w:rsidR="003B379F">
        <w:t xml:space="preserve"> </w:t>
      </w:r>
      <w:r>
        <w:t>únicamente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instrumento</w:t>
      </w:r>
      <w:r w:rsidR="003B379F">
        <w:t xml:space="preserve"> </w:t>
      </w:r>
      <w:r w:rsidRPr="00FD6245">
        <w:t>administrativo</w:t>
      </w:r>
      <w:r w:rsidR="003B379F">
        <w:t xml:space="preserve"> </w:t>
      </w:r>
      <w:r w:rsidRPr="00FD6245">
        <w:t>orientado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acreditar</w:t>
      </w:r>
      <w:r w:rsidR="003B379F">
        <w:t xml:space="preserve"> </w:t>
      </w:r>
      <w:r w:rsidRPr="00FD6245">
        <w:t>determinadas</w:t>
      </w:r>
      <w:r w:rsidR="003B379F">
        <w:t xml:space="preserve"> </w:t>
      </w:r>
      <w:r w:rsidRPr="00FD6245">
        <w:t>circunstancias</w:t>
      </w:r>
      <w:r w:rsidR="003B379F">
        <w:t xml:space="preserve"> </w:t>
      </w:r>
      <w:r w:rsidRPr="00FD6245">
        <w:t>relacionadas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procesos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desmovilización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desvinculación</w:t>
      </w:r>
      <w:r w:rsidR="003B379F">
        <w:t xml:space="preserve"> </w:t>
      </w:r>
      <w:r>
        <w:t>que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puede</w:t>
      </w:r>
      <w:r w:rsidR="003B379F">
        <w:t xml:space="preserve"> </w:t>
      </w:r>
      <w:r w:rsidRPr="00FD6245">
        <w:t>interpretarse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requisito</w:t>
      </w:r>
      <w:r w:rsidR="003B379F">
        <w:t xml:space="preserve"> </w:t>
      </w:r>
      <w:r w:rsidRPr="00FD6245">
        <w:t>constitutivo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lastRenderedPageBreak/>
        <w:t>condición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víctima</w:t>
      </w:r>
      <w:r w:rsidR="003B379F">
        <w:t xml:space="preserve"> </w:t>
      </w:r>
      <w:r w:rsidRPr="00FD6245">
        <w:t>ni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presupuesto</w:t>
      </w:r>
      <w:r w:rsidR="003B379F">
        <w:t xml:space="preserve"> </w:t>
      </w:r>
      <w:r w:rsidRPr="00FD6245">
        <w:t>indispensable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acceso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medidas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adolescentes.</w:t>
      </w:r>
    </w:p>
    <w:p w14:paraId="2D4998D1" w14:textId="77777777" w:rsidR="00701963" w:rsidRDefault="00701963" w:rsidP="00FC10AA">
      <w:pPr>
        <w:spacing w:line="240" w:lineRule="auto"/>
        <w:jc w:val="both"/>
      </w:pPr>
    </w:p>
    <w:p w14:paraId="023FE35B" w14:textId="3B277323" w:rsidR="001D61A6" w:rsidRPr="006D741D" w:rsidRDefault="001D61A6" w:rsidP="00FC10AA">
      <w:pPr>
        <w:widowControl w:val="0"/>
        <w:spacing w:after="240" w:line="240" w:lineRule="auto"/>
        <w:ind w:left="-20" w:right="-20"/>
        <w:jc w:val="both"/>
        <w:rPr>
          <w:rFonts w:cs="Calibri"/>
          <w:color w:val="000000" w:themeColor="text1"/>
          <w:lang w:val="es"/>
        </w:rPr>
      </w:pPr>
      <w:r>
        <w:t>Así</w:t>
      </w:r>
      <w:r w:rsidR="003B379F">
        <w:t xml:space="preserve"> </w:t>
      </w:r>
      <w:r>
        <w:t>lo</w:t>
      </w:r>
      <w:r w:rsidR="003B379F">
        <w:t xml:space="preserve"> </w:t>
      </w:r>
      <w:r>
        <w:t>señaló</w:t>
      </w:r>
      <w:r w:rsidR="003B379F">
        <w:t xml:space="preserve"> </w:t>
      </w:r>
      <w:r>
        <w:t>la</w:t>
      </w:r>
      <w:r w:rsidR="003B379F">
        <w:t xml:space="preserve"> </w:t>
      </w:r>
      <w:r>
        <w:t>Corte</w:t>
      </w:r>
      <w:r w:rsidR="003B379F">
        <w:t xml:space="preserve"> </w:t>
      </w:r>
      <w:r>
        <w:t>Constitucional</w:t>
      </w:r>
      <w:r w:rsidR="003B379F">
        <w:t xml:space="preserve"> </w:t>
      </w:r>
      <w:r>
        <w:t>en</w:t>
      </w:r>
      <w:r w:rsidR="003B379F">
        <w:t xml:space="preserve"> </w:t>
      </w:r>
      <w:r>
        <w:t>Sentencia</w:t>
      </w:r>
      <w:r w:rsidR="003B379F">
        <w:t xml:space="preserve"> </w:t>
      </w:r>
      <w:r>
        <w:t>C-069</w:t>
      </w:r>
      <w:r w:rsidR="003B379F">
        <w:t xml:space="preserve"> </w:t>
      </w:r>
      <w:r>
        <w:t>de</w:t>
      </w:r>
      <w:r w:rsidR="003B379F">
        <w:t xml:space="preserve"> </w:t>
      </w:r>
      <w:r>
        <w:t>2016</w:t>
      </w:r>
      <w:r w:rsidR="003B379F">
        <w:t xml:space="preserve"> </w:t>
      </w:r>
      <w:r>
        <w:t>al</w:t>
      </w:r>
      <w:r w:rsidR="003B379F">
        <w:t xml:space="preserve"> </w:t>
      </w:r>
      <w:r w:rsidRPr="006D741D">
        <w:rPr>
          <w:rFonts w:cs="Calibri"/>
          <w:color w:val="000000" w:themeColor="text1"/>
          <w:lang w:val="es"/>
        </w:rPr>
        <w:t>analiza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cargo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contra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enunciado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final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artículo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190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Ley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1448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2011,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cual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establec</w:t>
      </w:r>
      <w:r>
        <w:rPr>
          <w:rFonts w:cs="Calibri"/>
          <w:color w:val="000000" w:themeColor="text1"/>
          <w:lang w:val="es"/>
        </w:rPr>
        <w:t>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que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niñas,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niños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adolescentes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víctimas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reclutamiento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ilícito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que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cumplan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mayoría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edad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pueden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acceder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proceso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reintegración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social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económica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i/>
          <w:iCs/>
          <w:color w:val="000000" w:themeColor="text1"/>
          <w:lang w:val="es"/>
        </w:rPr>
        <w:t>“</w:t>
      </w:r>
      <w:r w:rsidRPr="006D741D">
        <w:rPr>
          <w:rFonts w:cs="Calibri"/>
          <w:color w:val="000000" w:themeColor="text1"/>
          <w:lang w:val="es"/>
        </w:rPr>
        <w:t>Siempre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que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cuenten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certificación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desvinculación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un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grupo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armado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organizado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margen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ley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expedida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por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Comité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Operativo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Dejación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Armas</w:t>
      </w:r>
      <w:r w:rsidRPr="006D741D">
        <w:rPr>
          <w:rFonts w:cs="Calibri"/>
          <w:i/>
          <w:iCs/>
          <w:color w:val="000000" w:themeColor="text1"/>
          <w:lang w:val="es"/>
        </w:rPr>
        <w:t>”.</w:t>
      </w:r>
    </w:p>
    <w:p w14:paraId="6801CE22" w14:textId="7BF24FB5" w:rsidR="001D61A6" w:rsidRPr="006D741D" w:rsidRDefault="001D61A6" w:rsidP="00FC10AA">
      <w:pPr>
        <w:widowControl w:val="0"/>
        <w:spacing w:after="240" w:line="240" w:lineRule="auto"/>
        <w:ind w:left="-20" w:right="-20"/>
        <w:jc w:val="both"/>
        <w:rPr>
          <w:rFonts w:cs="Calibri"/>
          <w:color w:val="000000" w:themeColor="text1"/>
          <w:lang w:val="es"/>
        </w:rPr>
      </w:pP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Corte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subraya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que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certificación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expedida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por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CODA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tiene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como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E01490">
        <w:rPr>
          <w:rFonts w:cs="Calibri"/>
          <w:color w:val="000000" w:themeColor="text1"/>
          <w:u w:val="single"/>
          <w:lang w:val="es"/>
        </w:rPr>
        <w:t>único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propósito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específico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verificar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pertenencia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personas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desmovilizadas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una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organización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armada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margen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ley,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incluyendo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niñas,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niños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adolescentes,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con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fin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viabilizar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su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acceso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beneficios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programas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sociales,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económicos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jurídicos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diseñados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para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lograr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su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E9555C">
        <w:rPr>
          <w:rFonts w:cs="Calibri"/>
          <w:color w:val="000000" w:themeColor="text1"/>
          <w:u w:val="single"/>
          <w:lang w:val="es"/>
        </w:rPr>
        <w:t>reintegración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social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y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económica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vida</w:t>
      </w:r>
      <w:r w:rsidR="003B379F">
        <w:rPr>
          <w:rFonts w:cs="Calibri"/>
          <w:color w:val="000000" w:themeColor="text1"/>
          <w:lang w:val="es"/>
        </w:rPr>
        <w:t xml:space="preserve"> </w:t>
      </w:r>
      <w:r w:rsidRPr="006D741D">
        <w:rPr>
          <w:rFonts w:cs="Calibri"/>
          <w:color w:val="000000" w:themeColor="text1"/>
          <w:lang w:val="es"/>
        </w:rPr>
        <w:t>civil.</w:t>
      </w:r>
    </w:p>
    <w:p w14:paraId="284DD169" w14:textId="0948EFE4" w:rsidR="001D61A6" w:rsidRPr="00E9555C" w:rsidRDefault="001D61A6" w:rsidP="00FC10AA">
      <w:pPr>
        <w:widowControl w:val="0"/>
        <w:spacing w:after="240" w:line="240" w:lineRule="auto"/>
        <w:ind w:left="-20" w:right="-20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lang w:val="es"/>
        </w:rPr>
        <w:t>Es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decir,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que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incluso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desde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antes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expedición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la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Ley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2421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de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  <w:lang w:val="es"/>
        </w:rPr>
        <w:t>2024,</w:t>
      </w:r>
      <w:r w:rsidR="003B379F">
        <w:rPr>
          <w:rFonts w:cs="Calibri"/>
          <w:color w:val="000000" w:themeColor="text1"/>
          <w:lang w:val="es"/>
        </w:rPr>
        <w:t xml:space="preserve"> </w:t>
      </w:r>
      <w:r>
        <w:rPr>
          <w:rFonts w:cs="Calibri"/>
          <w:color w:val="000000" w:themeColor="text1"/>
        </w:rPr>
        <w:t>l</w:t>
      </w:r>
      <w:r w:rsidRPr="006D741D">
        <w:rPr>
          <w:rFonts w:cs="Calibri"/>
          <w:color w:val="000000" w:themeColor="text1"/>
        </w:rPr>
        <w:t>a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Corte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ya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había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señalado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que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la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exigencia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de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la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certificación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de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desvinculación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solo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es</w:t>
      </w:r>
      <w:r w:rsidR="003B379F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exigible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para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ingresar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programas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de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reinserción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y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reintegración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social</w:t>
      </w:r>
      <w:r w:rsidR="003B379F">
        <w:rPr>
          <w:rFonts w:cs="Calibri"/>
          <w:color w:val="000000" w:themeColor="text1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que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lidera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la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Agencia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para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la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Reincorporación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y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la</w:t>
      </w:r>
      <w:r w:rsidR="003B379F">
        <w:rPr>
          <w:rFonts w:cs="Calibri"/>
          <w:color w:val="000000" w:themeColor="text1"/>
          <w:u w:val="single"/>
        </w:rPr>
        <w:t xml:space="preserve"> </w:t>
      </w:r>
      <w:r w:rsidRPr="00E9555C">
        <w:rPr>
          <w:rFonts w:cs="Calibri"/>
          <w:color w:val="000000" w:themeColor="text1"/>
          <w:u w:val="single"/>
        </w:rPr>
        <w:t>Normalización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(antes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Agencia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Colombiana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para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la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Reintegración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de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Personas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y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Grupos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Alzados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en</w:t>
      </w:r>
      <w:r w:rsidR="003B379F">
        <w:rPr>
          <w:rFonts w:cs="Calibri"/>
          <w:color w:val="000000" w:themeColor="text1"/>
        </w:rPr>
        <w:t xml:space="preserve"> </w:t>
      </w:r>
      <w:r w:rsidRPr="006D741D">
        <w:rPr>
          <w:rFonts w:cs="Calibri"/>
          <w:color w:val="000000" w:themeColor="text1"/>
        </w:rPr>
        <w:t>Armas).</w:t>
      </w:r>
    </w:p>
    <w:p w14:paraId="4C677891" w14:textId="6CE7C425" w:rsidR="001D61A6" w:rsidRPr="00FD6245" w:rsidRDefault="001D61A6" w:rsidP="00FC10AA">
      <w:pPr>
        <w:spacing w:after="160" w:line="240" w:lineRule="auto"/>
        <w:jc w:val="both"/>
      </w:pPr>
      <w:r>
        <w:t>Por</w:t>
      </w:r>
      <w:r w:rsidR="003B379F">
        <w:t xml:space="preserve"> </w:t>
      </w:r>
      <w:r>
        <w:t>otro</w:t>
      </w:r>
      <w:r w:rsidR="003B379F">
        <w:t xml:space="preserve"> </w:t>
      </w:r>
      <w:r>
        <w:t>lado,</w:t>
      </w:r>
      <w:r w:rsidR="003B379F">
        <w:t xml:space="preserve"> </w:t>
      </w:r>
      <w:r>
        <w:t>l</w:t>
      </w:r>
      <w:r w:rsidRPr="00FD6245">
        <w:t>a</w:t>
      </w:r>
      <w:r w:rsidR="003B379F">
        <w:t xml:space="preserve"> </w:t>
      </w:r>
      <w:r w:rsidRPr="00FD6245">
        <w:t>jurisprudencia</w:t>
      </w:r>
      <w:r w:rsidR="003B379F">
        <w:t xml:space="preserve"> </w:t>
      </w:r>
      <w:r w:rsidRPr="00FD6245">
        <w:t>constitucional</w:t>
      </w:r>
      <w:r w:rsidR="003B379F">
        <w:t xml:space="preserve"> </w:t>
      </w:r>
      <w:r w:rsidRPr="00FD6245">
        <w:t>ha</w:t>
      </w:r>
      <w:r w:rsidR="003B379F">
        <w:t xml:space="preserve"> </w:t>
      </w:r>
      <w:r w:rsidRPr="00FD6245">
        <w:t>reiterado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autoridades</w:t>
      </w:r>
      <w:r w:rsidR="003B379F">
        <w:t xml:space="preserve"> </w:t>
      </w:r>
      <w:r w:rsidRPr="00FD6245">
        <w:t>deben</w:t>
      </w:r>
      <w:r w:rsidR="003B379F">
        <w:t xml:space="preserve"> </w:t>
      </w:r>
      <w:r w:rsidRPr="00FD6245">
        <w:t>aplicar</w:t>
      </w:r>
      <w:r w:rsidR="003B379F">
        <w:t xml:space="preserve"> </w:t>
      </w:r>
      <w:r w:rsidRPr="00FD6245">
        <w:t>criterios</w:t>
      </w:r>
      <w:r w:rsidR="003B379F">
        <w:t xml:space="preserve"> </w:t>
      </w:r>
      <w:r w:rsidRPr="00FD6245">
        <w:t>probatorios</w:t>
      </w:r>
      <w:r w:rsidR="003B379F">
        <w:t xml:space="preserve"> </w:t>
      </w:r>
      <w:r w:rsidRPr="00FD6245">
        <w:t>flexibles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materia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reconocimiento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armado,</w:t>
      </w:r>
      <w:r w:rsidR="003B379F">
        <w:t xml:space="preserve"> </w:t>
      </w:r>
      <w:r w:rsidRPr="00FD6245">
        <w:t>especialmente</w:t>
      </w:r>
      <w:r w:rsidR="003B379F">
        <w:t xml:space="preserve"> </w:t>
      </w:r>
      <w:r w:rsidRPr="00FD6245">
        <w:t>respecto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adolescentes,</w:t>
      </w:r>
      <w:r w:rsidR="003B379F">
        <w:t xml:space="preserve"> </w:t>
      </w:r>
      <w:r w:rsidRPr="00FD6245">
        <w:t>atendiendo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principios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buena</w:t>
      </w:r>
      <w:r w:rsidR="003B379F">
        <w:t xml:space="preserve"> </w:t>
      </w:r>
      <w:r w:rsidRPr="00FD6245">
        <w:t>fe</w:t>
      </w:r>
      <w:r w:rsidR="003B379F">
        <w:t xml:space="preserve"> </w:t>
      </w:r>
      <w:r w:rsidRPr="00FD6245">
        <w:t>e</w:t>
      </w:r>
      <w:r w:rsidR="003B379F">
        <w:t xml:space="preserve"> </w:t>
      </w:r>
      <w:r w:rsidRPr="00FD6245">
        <w:t>in</w:t>
      </w:r>
      <w:r w:rsidR="003B379F">
        <w:t xml:space="preserve"> </w:t>
      </w:r>
      <w:r w:rsidRPr="00FD6245">
        <w:t>dubio</w:t>
      </w:r>
      <w:r w:rsidR="003B379F">
        <w:t xml:space="preserve"> </w:t>
      </w:r>
      <w:r w:rsidRPr="00FD6245">
        <w:t>pro</w:t>
      </w:r>
      <w:r w:rsidR="003B379F">
        <w:t xml:space="preserve"> </w:t>
      </w:r>
      <w:r w:rsidRPr="00FD6245">
        <w:t>víctima</w:t>
      </w:r>
      <w:r>
        <w:t>,</w:t>
      </w:r>
      <w:r w:rsidR="001043D0">
        <w:t xml:space="preserve"> en Sentencia</w:t>
      </w:r>
      <w:r w:rsidR="001043D0" w:rsidRPr="001043D0">
        <w:t xml:space="preserve"> T117-22</w:t>
      </w:r>
      <w:r w:rsidR="003B379F">
        <w:t xml:space="preserve"> </w:t>
      </w:r>
      <w:r w:rsidR="001043D0">
        <w:t xml:space="preserve">señaló que </w:t>
      </w:r>
      <w:r w:rsidR="00590B84">
        <w:t xml:space="preserve">esto debe tenerse en cuenta </w:t>
      </w:r>
      <w:r>
        <w:t>“</w:t>
      </w:r>
      <w:r w:rsidRPr="008626E5">
        <w:rPr>
          <w:i/>
          <w:iCs/>
        </w:rPr>
        <w:t>a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partir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la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situación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fáctica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que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rodea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a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las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víctimas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conflicto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armado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como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sujetos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especial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protección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constitucional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en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el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marco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graves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violaciones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derechos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humanos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e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infracciones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al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derecho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internacional</w:t>
      </w:r>
      <w:r w:rsidR="003B379F">
        <w:rPr>
          <w:i/>
          <w:iCs/>
        </w:rPr>
        <w:t xml:space="preserve"> </w:t>
      </w:r>
      <w:r w:rsidRPr="008626E5">
        <w:rPr>
          <w:i/>
          <w:iCs/>
        </w:rPr>
        <w:t>humanitario</w:t>
      </w:r>
      <w:r>
        <w:rPr>
          <w:i/>
          <w:iCs/>
        </w:rPr>
        <w:t>”</w:t>
      </w:r>
      <w:r w:rsidR="00B16D60">
        <w:rPr>
          <w:i/>
          <w:iCs/>
        </w:rPr>
        <w:t>.</w:t>
      </w:r>
      <w:r w:rsidR="003B379F">
        <w:rPr>
          <w:i/>
          <w:iCs/>
        </w:rPr>
        <w:t xml:space="preserve"> </w:t>
      </w:r>
    </w:p>
    <w:p w14:paraId="0496F1EF" w14:textId="3F8085FA" w:rsidR="001D61A6" w:rsidRPr="00FD6245" w:rsidRDefault="001D61A6" w:rsidP="00FC10AA">
      <w:pPr>
        <w:spacing w:after="160" w:line="240" w:lineRule="auto"/>
        <w:jc w:val="both"/>
      </w:pPr>
      <w:r w:rsidRPr="00FD6245">
        <w:t>De</w:t>
      </w:r>
      <w:r w:rsidR="003B379F">
        <w:t xml:space="preserve"> </w:t>
      </w:r>
      <w:r w:rsidRPr="00FD6245">
        <w:t>igual</w:t>
      </w:r>
      <w:r w:rsidR="003B379F">
        <w:t xml:space="preserve"> </w:t>
      </w:r>
      <w:r w:rsidRPr="00FD6245">
        <w:t>forma,</w:t>
      </w:r>
      <w:r w:rsidR="003B379F">
        <w:t xml:space="preserve"> </w:t>
      </w:r>
      <w:r w:rsidRPr="00FD6245">
        <w:t>ha</w:t>
      </w:r>
      <w:r w:rsidR="003B379F">
        <w:t xml:space="preserve"> </w:t>
      </w:r>
      <w:r w:rsidRPr="00FD6245">
        <w:t>reconocido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dinámicas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</w:t>
      </w:r>
      <w:r w:rsidR="003B379F">
        <w:t xml:space="preserve"> </w:t>
      </w:r>
      <w:r w:rsidRPr="00FD6245">
        <w:t>generan</w:t>
      </w:r>
      <w:r w:rsidR="003B379F">
        <w:t xml:space="preserve"> </w:t>
      </w:r>
      <w:r w:rsidRPr="00FD6245">
        <w:t>escenarios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subregistro,</w:t>
      </w:r>
      <w:r w:rsidR="003B379F">
        <w:t xml:space="preserve"> </w:t>
      </w:r>
      <w:r w:rsidRPr="00FD6245">
        <w:t>ausencia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documentación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dificultades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acceso</w:t>
      </w:r>
      <w:r w:rsidR="003B379F">
        <w:t xml:space="preserve"> </w:t>
      </w:r>
      <w:r w:rsidRPr="00FD6245">
        <w:t>institucional</w:t>
      </w:r>
      <w:r w:rsidR="007F654B">
        <w:t>.</w:t>
      </w:r>
      <w:r w:rsidR="003B379F">
        <w:t xml:space="preserve"> </w:t>
      </w:r>
      <w:r w:rsidR="007F654B">
        <w:t>R</w:t>
      </w:r>
      <w:r w:rsidRPr="00FD6245">
        <w:t>azón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cual</w:t>
      </w:r>
      <w:r w:rsidR="003B379F">
        <w:t xml:space="preserve"> </w:t>
      </w:r>
      <w:r w:rsidRPr="00FD6245">
        <w:t>imponer</w:t>
      </w:r>
      <w:r w:rsidR="003B379F">
        <w:t xml:space="preserve"> </w:t>
      </w:r>
      <w:r w:rsidRPr="00FD6245">
        <w:t>cargas</w:t>
      </w:r>
      <w:r w:rsidR="003B379F">
        <w:t xml:space="preserve"> </w:t>
      </w:r>
      <w:r w:rsidRPr="00FD6245">
        <w:t>probatorias</w:t>
      </w:r>
      <w:r w:rsidR="003B379F">
        <w:t xml:space="preserve"> </w:t>
      </w:r>
      <w:r w:rsidRPr="00FD6245">
        <w:t>rígidas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resulta</w:t>
      </w:r>
      <w:r w:rsidR="003B379F">
        <w:t xml:space="preserve"> </w:t>
      </w:r>
      <w:r w:rsidRPr="00FD6245">
        <w:t>contrario</w:t>
      </w:r>
      <w:r w:rsidR="003B379F">
        <w:t xml:space="preserve"> </w:t>
      </w:r>
      <w:r w:rsidRPr="008626E5">
        <w:t>al</w:t>
      </w:r>
      <w:r w:rsidR="003B379F">
        <w:t xml:space="preserve"> </w:t>
      </w:r>
      <w:r w:rsidRPr="008626E5">
        <w:t>marco</w:t>
      </w:r>
      <w:r w:rsidR="003B379F">
        <w:t xml:space="preserve"> </w:t>
      </w:r>
      <w:r w:rsidRPr="008626E5">
        <w:t>constitucional</w:t>
      </w:r>
      <w:r w:rsidR="003B379F">
        <w:t xml:space="preserve"> </w:t>
      </w:r>
      <w:r w:rsidRPr="008626E5">
        <w:t>de</w:t>
      </w:r>
      <w:r w:rsidR="003B379F">
        <w:t xml:space="preserve"> </w:t>
      </w:r>
      <w:r w:rsidRPr="008626E5">
        <w:t>protección</w:t>
      </w:r>
      <w:r w:rsidR="003B379F">
        <w:t xml:space="preserve"> </w:t>
      </w:r>
      <w:r w:rsidRPr="008626E5">
        <w:t>reforzada</w:t>
      </w:r>
      <w:r w:rsidR="007F654B">
        <w:t>;</w:t>
      </w:r>
      <w:r w:rsidR="003402CD">
        <w:t xml:space="preserve"> máxime si se exigen </w:t>
      </w:r>
      <w:r w:rsidR="006179EA">
        <w:t>para</w:t>
      </w:r>
      <w:r w:rsidR="003B379F">
        <w:t xml:space="preserve"> </w:t>
      </w:r>
      <w:r w:rsidR="006179EA">
        <w:t>fines</w:t>
      </w:r>
      <w:r w:rsidR="003B379F">
        <w:t xml:space="preserve"> </w:t>
      </w:r>
      <w:r w:rsidR="006179EA">
        <w:t>de</w:t>
      </w:r>
      <w:r w:rsidR="003B379F">
        <w:t xml:space="preserve"> </w:t>
      </w:r>
      <w:r w:rsidR="006179EA">
        <w:t>acceso</w:t>
      </w:r>
      <w:r w:rsidR="003B379F">
        <w:t xml:space="preserve"> </w:t>
      </w:r>
      <w:r w:rsidR="006179EA">
        <w:t>a</w:t>
      </w:r>
      <w:r w:rsidR="003B379F">
        <w:t xml:space="preserve"> </w:t>
      </w:r>
      <w:r w:rsidR="006179EA">
        <w:t>programas</w:t>
      </w:r>
      <w:r w:rsidR="003B379F">
        <w:t xml:space="preserve"> </w:t>
      </w:r>
      <w:r w:rsidR="006179EA">
        <w:t>de</w:t>
      </w:r>
      <w:r w:rsidR="003B379F">
        <w:t xml:space="preserve"> </w:t>
      </w:r>
      <w:r w:rsidR="006179EA">
        <w:t>restablecimiento</w:t>
      </w:r>
      <w:r w:rsidR="003B379F">
        <w:t xml:space="preserve"> </w:t>
      </w:r>
      <w:r w:rsidR="006179EA">
        <w:t>de</w:t>
      </w:r>
      <w:r w:rsidR="003B379F">
        <w:t xml:space="preserve"> </w:t>
      </w:r>
      <w:r w:rsidR="006179EA">
        <w:t>derechos</w:t>
      </w:r>
      <w:r w:rsidR="003402CD">
        <w:t>, lo cual</w:t>
      </w:r>
      <w:r w:rsidR="007F654B">
        <w:t>,</w:t>
      </w:r>
      <w:r w:rsidR="003402CD">
        <w:t xml:space="preserve"> a partir de la expedición de la norma que lo prohíbe,</w:t>
      </w:r>
      <w:r w:rsidR="003B379F">
        <w:t xml:space="preserve"> </w:t>
      </w:r>
      <w:r w:rsidR="006179EA" w:rsidRPr="00FD6245">
        <w:t>resulta</w:t>
      </w:r>
      <w:r w:rsidR="003B379F">
        <w:t xml:space="preserve"> </w:t>
      </w:r>
      <w:r w:rsidR="006179EA" w:rsidRPr="00FD6245">
        <w:t>incompatible</w:t>
      </w:r>
      <w:r w:rsidR="003B379F">
        <w:t xml:space="preserve"> </w:t>
      </w:r>
      <w:r w:rsidR="00FB0D46">
        <w:t xml:space="preserve">además </w:t>
      </w:r>
      <w:r w:rsidR="006179EA" w:rsidRPr="00FD6245">
        <w:t>con</w:t>
      </w:r>
      <w:r w:rsidR="003B379F">
        <w:t xml:space="preserve"> </w:t>
      </w:r>
      <w:r w:rsidR="006179EA" w:rsidRPr="00FD6245">
        <w:t>los</w:t>
      </w:r>
      <w:r w:rsidR="003B379F">
        <w:t xml:space="preserve"> </w:t>
      </w:r>
      <w:r w:rsidR="006179EA" w:rsidRPr="00FD6245">
        <w:t>principios</w:t>
      </w:r>
      <w:r w:rsidR="003B379F">
        <w:t xml:space="preserve"> </w:t>
      </w:r>
      <w:r w:rsidR="006179EA" w:rsidRPr="00FD6245">
        <w:t>de</w:t>
      </w:r>
      <w:r w:rsidR="003B379F">
        <w:t xml:space="preserve"> </w:t>
      </w:r>
      <w:r w:rsidR="006179EA" w:rsidRPr="00FD6245">
        <w:t>interés</w:t>
      </w:r>
      <w:r w:rsidR="003B379F">
        <w:t xml:space="preserve"> </w:t>
      </w:r>
      <w:r w:rsidR="006179EA" w:rsidRPr="00FD6245">
        <w:t>superior</w:t>
      </w:r>
      <w:r w:rsidR="003B379F">
        <w:t xml:space="preserve"> </w:t>
      </w:r>
      <w:r w:rsidR="006179EA" w:rsidRPr="00FD6245">
        <w:t>del</w:t>
      </w:r>
      <w:r w:rsidR="003B379F">
        <w:t xml:space="preserve"> </w:t>
      </w:r>
      <w:r w:rsidR="006179EA" w:rsidRPr="00FD6245">
        <w:t>niño,</w:t>
      </w:r>
      <w:r w:rsidR="003B379F">
        <w:t xml:space="preserve"> </w:t>
      </w:r>
      <w:r w:rsidR="006179EA" w:rsidRPr="00FD6245">
        <w:t>prevalencia</w:t>
      </w:r>
      <w:r w:rsidR="003B379F">
        <w:t xml:space="preserve"> </w:t>
      </w:r>
      <w:r w:rsidR="006179EA" w:rsidRPr="00FD6245">
        <w:t>de</w:t>
      </w:r>
      <w:r w:rsidR="003B379F">
        <w:t xml:space="preserve"> </w:t>
      </w:r>
      <w:r w:rsidR="006179EA" w:rsidRPr="00FD6245">
        <w:t>derechos,</w:t>
      </w:r>
      <w:r w:rsidR="003B379F">
        <w:t xml:space="preserve"> </w:t>
      </w:r>
      <w:r w:rsidR="006179EA" w:rsidRPr="00FD6245">
        <w:t>buena</w:t>
      </w:r>
      <w:r w:rsidR="003B379F">
        <w:t xml:space="preserve"> </w:t>
      </w:r>
      <w:r w:rsidR="006179EA" w:rsidRPr="00FD6245">
        <w:t>fe,</w:t>
      </w:r>
      <w:r w:rsidR="003B379F">
        <w:t xml:space="preserve"> </w:t>
      </w:r>
      <w:r w:rsidR="006179EA" w:rsidRPr="00FD6245">
        <w:t>favorabilidad</w:t>
      </w:r>
      <w:r w:rsidR="003B379F">
        <w:t xml:space="preserve"> </w:t>
      </w:r>
      <w:r w:rsidR="006179EA" w:rsidRPr="00FD6245">
        <w:t>e</w:t>
      </w:r>
      <w:r w:rsidR="003B379F">
        <w:t xml:space="preserve"> </w:t>
      </w:r>
      <w:r w:rsidR="006179EA" w:rsidRPr="00FD6245">
        <w:t>in</w:t>
      </w:r>
      <w:r w:rsidR="003B379F">
        <w:t xml:space="preserve"> </w:t>
      </w:r>
      <w:r w:rsidR="006179EA" w:rsidRPr="00FD6245">
        <w:t>dubio</w:t>
      </w:r>
      <w:r w:rsidR="003B379F">
        <w:t xml:space="preserve"> </w:t>
      </w:r>
      <w:proofErr w:type="gramStart"/>
      <w:r w:rsidR="006179EA" w:rsidRPr="00FD6245">
        <w:t>pro</w:t>
      </w:r>
      <w:r w:rsidR="003B379F">
        <w:t xml:space="preserve"> </w:t>
      </w:r>
      <w:r w:rsidR="006179EA" w:rsidRPr="00FD6245">
        <w:t>víctima</w:t>
      </w:r>
      <w:proofErr w:type="gramEnd"/>
      <w:r w:rsidR="006179EA" w:rsidRPr="00FD6245">
        <w:t>.</w:t>
      </w:r>
    </w:p>
    <w:p w14:paraId="2DCC1E57" w14:textId="0F4AF382" w:rsidR="001D61A6" w:rsidRPr="00FD6245" w:rsidRDefault="001D61A6" w:rsidP="00FC10AA">
      <w:pPr>
        <w:spacing w:after="160" w:line="240" w:lineRule="auto"/>
        <w:jc w:val="both"/>
      </w:pPr>
      <w:r w:rsidRPr="00FD6245">
        <w:t>Por</w:t>
      </w:r>
      <w:r w:rsidR="003B379F">
        <w:t xml:space="preserve"> </w:t>
      </w:r>
      <w:r w:rsidRPr="00FD6245">
        <w:t>su</w:t>
      </w:r>
      <w:r w:rsidR="003B379F">
        <w:t xml:space="preserve"> </w:t>
      </w:r>
      <w:r w:rsidRPr="00FD6245">
        <w:t>parte,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artículo</w:t>
      </w:r>
      <w:r w:rsidR="003B379F">
        <w:t xml:space="preserve"> </w:t>
      </w:r>
      <w:r w:rsidRPr="00FD6245">
        <w:t>191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Ley</w:t>
      </w:r>
      <w:r w:rsidR="003B379F">
        <w:t xml:space="preserve"> </w:t>
      </w:r>
      <w:r w:rsidRPr="00FD6245">
        <w:t>1448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2011</w:t>
      </w:r>
      <w:r w:rsidR="003B379F">
        <w:t xml:space="preserve"> </w:t>
      </w:r>
      <w:r w:rsidRPr="00FD6245">
        <w:t>dispone</w:t>
      </w:r>
      <w:r w:rsidR="003B379F">
        <w:t xml:space="preserve"> </w:t>
      </w:r>
      <w:r w:rsidRPr="00FD6245">
        <w:t>que,</w:t>
      </w:r>
      <w:r w:rsidR="003B379F">
        <w:t xml:space="preserve"> </w:t>
      </w:r>
      <w:r w:rsidRPr="00FD6245">
        <w:t>en</w:t>
      </w:r>
      <w:r w:rsidR="003B379F">
        <w:t xml:space="preserve"> </w:t>
      </w:r>
      <w:r w:rsidRPr="00FD6245">
        <w:t>caso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duda</w:t>
      </w:r>
      <w:r w:rsidR="003B379F">
        <w:t xml:space="preserve"> </w:t>
      </w:r>
      <w:r w:rsidRPr="00FD6245">
        <w:t>respecto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aplicación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interpretación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disposiciones</w:t>
      </w:r>
      <w:r w:rsidR="003B379F">
        <w:t xml:space="preserve"> </w:t>
      </w:r>
      <w:r w:rsidRPr="00FD6245">
        <w:t>relacionadas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armado,</w:t>
      </w:r>
      <w:r w:rsidR="003B379F">
        <w:t xml:space="preserve"> </w:t>
      </w:r>
      <w:r w:rsidRPr="00FD6245">
        <w:t>deberá</w:t>
      </w:r>
      <w:r w:rsidR="003B379F">
        <w:t xml:space="preserve"> </w:t>
      </w:r>
      <w:r w:rsidRPr="00FD6245">
        <w:t>aplicarse</w:t>
      </w:r>
      <w:r w:rsidR="003B379F">
        <w:t xml:space="preserve"> </w:t>
      </w:r>
      <w:r w:rsidRPr="00FD6245">
        <w:t>aquella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resulte</w:t>
      </w:r>
      <w:r w:rsidR="003B379F">
        <w:t xml:space="preserve"> </w:t>
      </w:r>
      <w:r w:rsidRPr="00FD6245">
        <w:t>más</w:t>
      </w:r>
      <w:r w:rsidR="003B379F">
        <w:t xml:space="preserve"> </w:t>
      </w:r>
      <w:r w:rsidRPr="00FD6245">
        <w:t>favorable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sus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e</w:t>
      </w:r>
      <w:r w:rsidR="003B379F">
        <w:t xml:space="preserve"> </w:t>
      </w:r>
      <w:r w:rsidRPr="00FD6245">
        <w:t>intereses.</w:t>
      </w:r>
    </w:p>
    <w:p w14:paraId="0AB4B225" w14:textId="6D99AE67" w:rsidR="001D61A6" w:rsidRPr="00FD6245" w:rsidRDefault="001D61A6" w:rsidP="00FC10AA">
      <w:pPr>
        <w:spacing w:after="160" w:line="240" w:lineRule="auto"/>
        <w:jc w:val="both"/>
      </w:pPr>
      <w:r w:rsidRPr="00FD6245">
        <w:t>En</w:t>
      </w:r>
      <w:r w:rsidR="003B379F">
        <w:t xml:space="preserve"> </w:t>
      </w:r>
      <w:r w:rsidRPr="00FD6245">
        <w:t>consecuencia,</w:t>
      </w:r>
      <w:r w:rsidR="003B379F">
        <w:t xml:space="preserve"> </w:t>
      </w:r>
      <w:r w:rsidRPr="00FD6245">
        <w:t>exigir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CODA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requisito</w:t>
      </w:r>
      <w:r w:rsidR="003B379F">
        <w:t xml:space="preserve"> </w:t>
      </w:r>
      <w:r w:rsidRPr="00FD6245">
        <w:t>obligatorio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excluyente</w:t>
      </w:r>
      <w:r w:rsidR="003B379F">
        <w:t xml:space="preserve"> </w:t>
      </w:r>
      <w:r w:rsidRPr="00FD6245">
        <w:t>para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desvinculados</w:t>
      </w:r>
      <w:r w:rsidR="003B379F">
        <w:t xml:space="preserve"> </w:t>
      </w:r>
      <w:r w:rsidRPr="00FD6245">
        <w:lastRenderedPageBreak/>
        <w:t>implicaría</w:t>
      </w:r>
      <w:r w:rsidR="003B379F">
        <w:t xml:space="preserve"> </w:t>
      </w:r>
      <w:r w:rsidRPr="00FD6245">
        <w:t>trasladar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cargas</w:t>
      </w:r>
      <w:r w:rsidR="003B379F">
        <w:t xml:space="preserve"> </w:t>
      </w:r>
      <w:r w:rsidRPr="00FD6245">
        <w:t>administrativas</w:t>
      </w:r>
      <w:r w:rsidR="003B379F">
        <w:t xml:space="preserve"> </w:t>
      </w:r>
      <w:r w:rsidRPr="00FD6245">
        <w:t>incompatibles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deber</w:t>
      </w:r>
      <w:r w:rsidR="003B379F">
        <w:t xml:space="preserve"> </w:t>
      </w:r>
      <w:r w:rsidRPr="00FD6245">
        <w:t>reforzado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estatal.</w:t>
      </w:r>
    </w:p>
    <w:p w14:paraId="2856CBC5" w14:textId="3126FC4A" w:rsidR="001D61A6" w:rsidRPr="00FD6245" w:rsidRDefault="001D61A6" w:rsidP="00FC10AA">
      <w:pPr>
        <w:spacing w:after="160" w:line="240" w:lineRule="auto"/>
        <w:jc w:val="both"/>
      </w:pPr>
      <w:r>
        <w:t>Finalmente,</w:t>
      </w:r>
      <w:r w:rsidR="003B379F">
        <w:t xml:space="preserve"> </w:t>
      </w:r>
      <w:r>
        <w:t>e</w:t>
      </w:r>
      <w:r w:rsidRPr="00FD6245">
        <w:t>l</w:t>
      </w:r>
      <w:r w:rsidR="003B379F">
        <w:t xml:space="preserve"> </w:t>
      </w:r>
      <w:r w:rsidRPr="00FD6245">
        <w:t>derecho</w:t>
      </w:r>
      <w:r w:rsidR="003B379F">
        <w:t xml:space="preserve"> </w:t>
      </w:r>
      <w:r w:rsidRPr="00FD6245">
        <w:t>internacional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los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humanos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derecho</w:t>
      </w:r>
      <w:r w:rsidR="003B379F">
        <w:t xml:space="preserve"> </w:t>
      </w:r>
      <w:r w:rsidRPr="00FD6245">
        <w:t>internacional</w:t>
      </w:r>
      <w:r w:rsidR="003B379F">
        <w:t xml:space="preserve"> </w:t>
      </w:r>
      <w:r w:rsidRPr="00FD6245">
        <w:t>humanitario</w:t>
      </w:r>
      <w:r w:rsidR="003B379F">
        <w:t xml:space="preserve"> </w:t>
      </w:r>
      <w:r w:rsidRPr="00FD6245">
        <w:t>imponen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Estado</w:t>
      </w:r>
      <w:r w:rsidR="003B379F">
        <w:t xml:space="preserve"> </w:t>
      </w:r>
      <w:r w:rsidRPr="00FD6245">
        <w:t>colombiano</w:t>
      </w:r>
      <w:r w:rsidR="003B379F">
        <w:t xml:space="preserve"> </w:t>
      </w:r>
      <w:r w:rsidRPr="00FD6245">
        <w:t>obligaciones</w:t>
      </w:r>
      <w:r w:rsidR="003B379F">
        <w:t xml:space="preserve"> </w:t>
      </w:r>
      <w:r w:rsidRPr="00FD6245">
        <w:t>reforzadas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prevención,</w:t>
      </w:r>
      <w:r w:rsidR="003B379F">
        <w:t xml:space="preserve"> </w:t>
      </w:r>
      <w:r w:rsidRPr="00FD6245">
        <w:t>protección,</w:t>
      </w:r>
      <w:r w:rsidR="003B379F">
        <w:t xml:space="preserve"> </w:t>
      </w:r>
      <w:r w:rsidRPr="00FD6245">
        <w:t>atención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reparación</w:t>
      </w:r>
      <w:r w:rsidR="003B379F">
        <w:t xml:space="preserve"> </w:t>
      </w:r>
      <w:r w:rsidRPr="00FD6245">
        <w:t>respecto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niñas,</w:t>
      </w:r>
      <w:r w:rsidR="003B379F">
        <w:t xml:space="preserve"> </w:t>
      </w:r>
      <w:r w:rsidRPr="00FD6245">
        <w:t>niños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adolescentes</w:t>
      </w:r>
      <w:r w:rsidR="003B379F">
        <w:t xml:space="preserve"> </w:t>
      </w:r>
      <w:r w:rsidRPr="00FD6245">
        <w:t>afectados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conflictos</w:t>
      </w:r>
      <w:r w:rsidR="003B379F">
        <w:t xml:space="preserve"> </w:t>
      </w:r>
      <w:r w:rsidRPr="00FD6245">
        <w:t>armados.</w:t>
      </w:r>
      <w:r w:rsidR="00FD094D">
        <w:t xml:space="preserve"> </w:t>
      </w:r>
      <w:r w:rsidRPr="00FD6245">
        <w:t>Adicionalmente,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principio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igualdad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no</w:t>
      </w:r>
      <w:r w:rsidR="003B379F">
        <w:t xml:space="preserve"> </w:t>
      </w:r>
      <w:r w:rsidRPr="00FD6245">
        <w:t>discriminación,</w:t>
      </w:r>
      <w:r w:rsidR="003B379F">
        <w:t xml:space="preserve"> </w:t>
      </w:r>
      <w:r w:rsidRPr="00FD6245">
        <w:t>reconocido</w:t>
      </w:r>
      <w:r w:rsidR="003B379F">
        <w:t xml:space="preserve"> </w:t>
      </w:r>
      <w:r w:rsidRPr="00FD6245">
        <w:t>como</w:t>
      </w:r>
      <w:r w:rsidR="003B379F">
        <w:t xml:space="preserve"> </w:t>
      </w:r>
      <w:r w:rsidRPr="00FD6245">
        <w:t>norma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ius</w:t>
      </w:r>
      <w:r w:rsidR="003B379F">
        <w:t xml:space="preserve"> </w:t>
      </w:r>
      <w:r w:rsidRPr="00FD6245">
        <w:t>cogens,</w:t>
      </w:r>
      <w:r w:rsidR="003B379F">
        <w:t xml:space="preserve"> </w:t>
      </w:r>
      <w:r w:rsidRPr="00FD6245">
        <w:t>obliga</w:t>
      </w:r>
      <w:r w:rsidR="003B379F">
        <w:t xml:space="preserve"> </w:t>
      </w:r>
      <w:r w:rsidRPr="00FD6245">
        <w:t>al</w:t>
      </w:r>
      <w:r w:rsidR="003B379F">
        <w:t xml:space="preserve"> </w:t>
      </w:r>
      <w:r w:rsidRPr="00FD6245">
        <w:t>Estado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evitar</w:t>
      </w:r>
      <w:r w:rsidR="003B379F">
        <w:t xml:space="preserve"> </w:t>
      </w:r>
      <w:r w:rsidRPr="00FD6245">
        <w:t>distinciones</w:t>
      </w:r>
      <w:r w:rsidR="003B379F">
        <w:t xml:space="preserve"> </w:t>
      </w:r>
      <w:r w:rsidRPr="00FD6245">
        <w:t>o</w:t>
      </w:r>
      <w:r w:rsidR="003B379F">
        <w:t xml:space="preserve"> </w:t>
      </w:r>
      <w:r w:rsidRPr="00FD6245">
        <w:t>restricciones</w:t>
      </w:r>
      <w:r w:rsidR="003B379F">
        <w:t xml:space="preserve"> </w:t>
      </w:r>
      <w:r w:rsidRPr="00FD6245">
        <w:t>desproporcionadas</w:t>
      </w:r>
      <w:r w:rsidR="003B379F">
        <w:t xml:space="preserve"> </w:t>
      </w:r>
      <w:r w:rsidRPr="00FD6245">
        <w:t>que</w:t>
      </w:r>
      <w:r w:rsidR="003B379F">
        <w:t xml:space="preserve"> </w:t>
      </w:r>
      <w:r w:rsidRPr="00FD6245">
        <w:t>limiten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acceso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medidas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reparación.</w:t>
      </w:r>
    </w:p>
    <w:p w14:paraId="24D3FF03" w14:textId="2867F00F" w:rsidR="001D61A6" w:rsidRPr="00FD6245" w:rsidRDefault="001D61A6" w:rsidP="00FC10AA">
      <w:pPr>
        <w:spacing w:after="160" w:line="240" w:lineRule="auto"/>
        <w:jc w:val="both"/>
      </w:pPr>
      <w:r w:rsidRPr="00FD6245">
        <w:t>En</w:t>
      </w:r>
      <w:r w:rsidR="003B379F">
        <w:t xml:space="preserve"> </w:t>
      </w:r>
      <w:r w:rsidRPr="00FD6245">
        <w:t>este</w:t>
      </w:r>
      <w:r w:rsidR="003B379F">
        <w:t xml:space="preserve"> </w:t>
      </w:r>
      <w:r w:rsidRPr="00FD6245">
        <w:t>contexto,</w:t>
      </w:r>
      <w:r w:rsidR="003B379F">
        <w:t xml:space="preserve"> </w:t>
      </w:r>
      <w:r w:rsidRPr="00FD6245">
        <w:t>cualquier</w:t>
      </w:r>
      <w:r w:rsidR="003B379F">
        <w:t xml:space="preserve"> </w:t>
      </w:r>
      <w:r w:rsidRPr="00FD6245">
        <w:t>interpretación</w:t>
      </w:r>
      <w:r w:rsidR="003B379F">
        <w:t xml:space="preserve"> </w:t>
      </w:r>
      <w:r w:rsidRPr="00FD6245">
        <w:t>administrativa</w:t>
      </w:r>
      <w:r w:rsidR="003B379F">
        <w:t xml:space="preserve"> </w:t>
      </w:r>
      <w:r w:rsidRPr="00FD6245">
        <w:t>orientada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condicionar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acceso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medidas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restablecimiento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derechos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expedición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un</w:t>
      </w:r>
      <w:r w:rsidR="003B379F">
        <w:t xml:space="preserve"> </w:t>
      </w:r>
      <w:r w:rsidRPr="00FD6245">
        <w:t>certificado</w:t>
      </w:r>
      <w:r w:rsidR="003B379F">
        <w:t xml:space="preserve"> </w:t>
      </w:r>
      <w:r w:rsidRPr="00FD6245">
        <w:t>administrativo</w:t>
      </w:r>
      <w:r w:rsidR="003B379F">
        <w:t xml:space="preserve"> </w:t>
      </w:r>
      <w:r w:rsidRPr="00FD6245">
        <w:t>específico</w:t>
      </w:r>
      <w:r w:rsidR="003B379F">
        <w:t xml:space="preserve"> </w:t>
      </w:r>
      <w:r w:rsidRPr="00FD6245">
        <w:t>resultaría</w:t>
      </w:r>
      <w:r w:rsidR="003B379F">
        <w:t xml:space="preserve"> </w:t>
      </w:r>
      <w:r w:rsidRPr="00FD6245">
        <w:t>incompatible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obligaciones</w:t>
      </w:r>
      <w:r w:rsidR="003B379F">
        <w:t xml:space="preserve"> </w:t>
      </w:r>
      <w:r w:rsidRPr="00FD6245">
        <w:t>internacionales</w:t>
      </w:r>
      <w:r w:rsidR="003B379F">
        <w:t xml:space="preserve"> </w:t>
      </w:r>
      <w:r w:rsidRPr="00FD6245">
        <w:t>asumidas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Estado</w:t>
      </w:r>
      <w:r w:rsidR="003B379F">
        <w:t xml:space="preserve"> </w:t>
      </w:r>
      <w:r w:rsidRPr="00FD6245">
        <w:t>colombiano</w:t>
      </w:r>
      <w:r w:rsidR="00EA5A52">
        <w:t xml:space="preserve"> y con la jurisprudencia en materia de protección a niños, niñas y adolescentes víctimas del conflicto armado</w:t>
      </w:r>
      <w:r w:rsidRPr="00FD6245">
        <w:t>.</w:t>
      </w:r>
    </w:p>
    <w:p w14:paraId="73EAE3A3" w14:textId="29672F8B" w:rsidR="001D61A6" w:rsidRPr="00FD6245" w:rsidRDefault="001D61A6" w:rsidP="00FC10AA">
      <w:pPr>
        <w:spacing w:after="160" w:line="240" w:lineRule="auto"/>
        <w:jc w:val="both"/>
        <w:rPr>
          <w:b/>
          <w:bCs/>
        </w:rPr>
      </w:pPr>
      <w:r w:rsidRPr="00FD6245">
        <w:rPr>
          <w:b/>
          <w:bCs/>
        </w:rPr>
        <w:t>VI.</w:t>
      </w:r>
      <w:r w:rsidR="003B379F">
        <w:rPr>
          <w:b/>
          <w:bCs/>
        </w:rPr>
        <w:t xml:space="preserve"> </w:t>
      </w:r>
      <w:r w:rsidRPr="00FD6245">
        <w:rPr>
          <w:b/>
          <w:bCs/>
        </w:rPr>
        <w:t>CONCLUSIÓN</w:t>
      </w:r>
      <w:r w:rsidR="006008E8">
        <w:rPr>
          <w:b/>
          <w:bCs/>
        </w:rPr>
        <w:t>.</w:t>
      </w:r>
    </w:p>
    <w:p w14:paraId="5AEAB0AA" w14:textId="2EE57C1D" w:rsidR="00C61317" w:rsidRPr="00E9555C" w:rsidRDefault="00BF168B" w:rsidP="00C61317">
      <w:pPr>
        <w:spacing w:after="160" w:line="240" w:lineRule="auto"/>
        <w:jc w:val="both"/>
        <w:rPr>
          <w:b/>
          <w:bCs/>
        </w:rPr>
      </w:pPr>
      <w:r>
        <w:t>Atendiendo</w:t>
      </w:r>
      <w:r w:rsidR="003B379F">
        <w:t xml:space="preserve"> </w:t>
      </w:r>
      <w:r>
        <w:t>a</w:t>
      </w:r>
      <w:r w:rsidR="003B379F">
        <w:t xml:space="preserve"> </w:t>
      </w:r>
      <w:r>
        <w:t>lo</w:t>
      </w:r>
      <w:r w:rsidR="003B379F">
        <w:t xml:space="preserve"> </w:t>
      </w:r>
      <w:r>
        <w:t>señalado</w:t>
      </w:r>
      <w:r w:rsidR="003B379F">
        <w:t xml:space="preserve"> </w:t>
      </w:r>
      <w:r>
        <w:t>en</w:t>
      </w:r>
      <w:r w:rsidR="003B379F">
        <w:t xml:space="preserve"> </w:t>
      </w:r>
      <w:r w:rsidR="00B40F2B">
        <w:t>párrafos</w:t>
      </w:r>
      <w:r w:rsidR="003B379F">
        <w:t xml:space="preserve"> </w:t>
      </w:r>
      <w:r w:rsidR="00B40F2B">
        <w:t>anteriores</w:t>
      </w:r>
      <w:r w:rsidR="003B379F">
        <w:t xml:space="preserve"> </w:t>
      </w:r>
      <w:r w:rsidR="00C61317">
        <w:t>y</w:t>
      </w:r>
      <w:r w:rsidR="003B379F">
        <w:t xml:space="preserve"> </w:t>
      </w:r>
      <w:r w:rsidR="00C61317">
        <w:t>d</w:t>
      </w:r>
      <w:r w:rsidR="00C61317" w:rsidRPr="00FD6245">
        <w:t>e</w:t>
      </w:r>
      <w:r w:rsidR="003B379F">
        <w:t xml:space="preserve"> </w:t>
      </w:r>
      <w:r w:rsidR="00C61317" w:rsidRPr="00FD6245">
        <w:t>conformidad</w:t>
      </w:r>
      <w:r w:rsidR="003B379F">
        <w:t xml:space="preserve"> </w:t>
      </w:r>
      <w:r w:rsidR="00C61317" w:rsidRPr="00FD6245">
        <w:t>con</w:t>
      </w:r>
      <w:r w:rsidR="003B379F">
        <w:t xml:space="preserve"> </w:t>
      </w:r>
      <w:r w:rsidR="00C61317" w:rsidRPr="00FD6245">
        <w:t>el</w:t>
      </w:r>
      <w:r w:rsidR="003B379F">
        <w:t xml:space="preserve"> </w:t>
      </w:r>
      <w:r w:rsidR="00C61317" w:rsidRPr="00FD6245">
        <w:t>bloque</w:t>
      </w:r>
      <w:r w:rsidR="003B379F">
        <w:t xml:space="preserve"> </w:t>
      </w:r>
      <w:r w:rsidR="00C61317" w:rsidRPr="00FD6245">
        <w:t>de</w:t>
      </w:r>
      <w:r w:rsidR="003B379F">
        <w:t xml:space="preserve"> </w:t>
      </w:r>
      <w:r w:rsidR="00C61317" w:rsidRPr="00FD6245">
        <w:t>constitucionalidad,</w:t>
      </w:r>
      <w:r w:rsidR="003B379F">
        <w:t xml:space="preserve"> </w:t>
      </w:r>
      <w:r w:rsidR="00C61317" w:rsidRPr="00FD6245">
        <w:t>la</w:t>
      </w:r>
      <w:r w:rsidR="003B379F">
        <w:t xml:space="preserve"> </w:t>
      </w:r>
      <w:r w:rsidR="00C61317" w:rsidRPr="00FD6245">
        <w:t>Constitución</w:t>
      </w:r>
      <w:r w:rsidR="003B379F">
        <w:t xml:space="preserve"> </w:t>
      </w:r>
      <w:r w:rsidR="00C61317" w:rsidRPr="00FD6245">
        <w:t>Política,</w:t>
      </w:r>
      <w:r w:rsidR="003B379F">
        <w:t xml:space="preserve"> </w:t>
      </w:r>
      <w:r w:rsidR="00C61317" w:rsidRPr="00FD6245">
        <w:t>la</w:t>
      </w:r>
      <w:r w:rsidR="003B379F">
        <w:t xml:space="preserve"> </w:t>
      </w:r>
      <w:r w:rsidR="00C61317" w:rsidRPr="00FD6245">
        <w:t>Ley</w:t>
      </w:r>
      <w:r w:rsidR="003B379F">
        <w:t xml:space="preserve"> </w:t>
      </w:r>
      <w:r w:rsidR="00C61317" w:rsidRPr="00FD6245">
        <w:t>1098</w:t>
      </w:r>
      <w:r w:rsidR="003B379F">
        <w:t xml:space="preserve"> </w:t>
      </w:r>
      <w:r w:rsidR="00C61317" w:rsidRPr="00FD6245">
        <w:t>de</w:t>
      </w:r>
      <w:r w:rsidR="003B379F">
        <w:t xml:space="preserve"> </w:t>
      </w:r>
      <w:r w:rsidR="00C61317" w:rsidRPr="00FD6245">
        <w:t>2006,</w:t>
      </w:r>
      <w:r w:rsidR="003B379F">
        <w:t xml:space="preserve"> </w:t>
      </w:r>
      <w:r w:rsidR="00C61317" w:rsidRPr="00FD6245">
        <w:t>la</w:t>
      </w:r>
      <w:r w:rsidR="003B379F">
        <w:t xml:space="preserve"> </w:t>
      </w:r>
      <w:r w:rsidR="00C61317" w:rsidRPr="00FD6245">
        <w:t>Ley</w:t>
      </w:r>
      <w:r w:rsidR="003B379F">
        <w:t xml:space="preserve"> </w:t>
      </w:r>
      <w:r w:rsidR="00C61317" w:rsidRPr="00FD6245">
        <w:t>1448</w:t>
      </w:r>
      <w:r w:rsidR="003B379F">
        <w:t xml:space="preserve"> </w:t>
      </w:r>
      <w:r w:rsidR="00C61317" w:rsidRPr="00FD6245">
        <w:t>de</w:t>
      </w:r>
      <w:r w:rsidR="003B379F">
        <w:t xml:space="preserve"> </w:t>
      </w:r>
      <w:r w:rsidR="00C61317" w:rsidRPr="00FD6245">
        <w:t>2011</w:t>
      </w:r>
      <w:r w:rsidR="003B379F">
        <w:t xml:space="preserve"> </w:t>
      </w:r>
      <w:r w:rsidR="00C61317" w:rsidRPr="00FD6245">
        <w:t>modificada</w:t>
      </w:r>
      <w:r w:rsidR="003B379F">
        <w:t xml:space="preserve"> </w:t>
      </w:r>
      <w:r w:rsidR="00C61317" w:rsidRPr="00FD6245">
        <w:t>por</w:t>
      </w:r>
      <w:r w:rsidR="003B379F">
        <w:t xml:space="preserve"> </w:t>
      </w:r>
      <w:r w:rsidR="00C61317" w:rsidRPr="00FD6245">
        <w:t>la</w:t>
      </w:r>
      <w:r w:rsidR="003B379F">
        <w:t xml:space="preserve"> </w:t>
      </w:r>
      <w:r w:rsidR="00C61317" w:rsidRPr="00FD6245">
        <w:t>Ley</w:t>
      </w:r>
      <w:r w:rsidR="003B379F">
        <w:t xml:space="preserve"> </w:t>
      </w:r>
      <w:r w:rsidR="00C61317" w:rsidRPr="00FD6245">
        <w:t>2421</w:t>
      </w:r>
      <w:r w:rsidR="003B379F">
        <w:t xml:space="preserve"> </w:t>
      </w:r>
      <w:r w:rsidR="00C61317" w:rsidRPr="00FD6245">
        <w:t>de</w:t>
      </w:r>
      <w:r w:rsidR="003B379F">
        <w:t xml:space="preserve"> </w:t>
      </w:r>
      <w:r w:rsidR="00C61317" w:rsidRPr="00FD6245">
        <w:t>2024,</w:t>
      </w:r>
      <w:r w:rsidR="003B379F">
        <w:t xml:space="preserve"> </w:t>
      </w:r>
      <w:r w:rsidR="00C61317" w:rsidRPr="00FD6245">
        <w:t>así</w:t>
      </w:r>
      <w:r w:rsidR="003B379F">
        <w:t xml:space="preserve"> </w:t>
      </w:r>
      <w:r w:rsidR="00C61317" w:rsidRPr="00FD6245">
        <w:t>como</w:t>
      </w:r>
      <w:r w:rsidR="003B379F">
        <w:t xml:space="preserve"> </w:t>
      </w:r>
      <w:r w:rsidR="00C61317" w:rsidRPr="00FD6245">
        <w:t>la</w:t>
      </w:r>
      <w:r w:rsidR="003B379F">
        <w:t xml:space="preserve"> </w:t>
      </w:r>
      <w:r w:rsidR="00C61317" w:rsidRPr="00FD6245">
        <w:t>jurisprudencia</w:t>
      </w:r>
      <w:r w:rsidR="003B379F">
        <w:t xml:space="preserve"> </w:t>
      </w:r>
      <w:r w:rsidR="00C61317" w:rsidRPr="00FD6245">
        <w:t>constitucional</w:t>
      </w:r>
      <w:r w:rsidR="003B379F">
        <w:t xml:space="preserve"> </w:t>
      </w:r>
      <w:r w:rsidR="00C61317" w:rsidRPr="00FD6245">
        <w:t>y</w:t>
      </w:r>
      <w:r w:rsidR="003B379F">
        <w:t xml:space="preserve"> </w:t>
      </w:r>
      <w:r w:rsidR="00C61317" w:rsidRPr="00FD6245">
        <w:t>los</w:t>
      </w:r>
      <w:r w:rsidR="003B379F">
        <w:t xml:space="preserve"> </w:t>
      </w:r>
      <w:r w:rsidR="00C61317" w:rsidRPr="00FD6245">
        <w:t>estándares</w:t>
      </w:r>
      <w:r w:rsidR="003B379F">
        <w:t xml:space="preserve"> </w:t>
      </w:r>
      <w:r w:rsidR="00C61317" w:rsidRPr="00FD6245">
        <w:t>internacionales</w:t>
      </w:r>
      <w:r w:rsidR="003B379F">
        <w:t xml:space="preserve"> </w:t>
      </w:r>
      <w:r w:rsidR="00C61317" w:rsidRPr="00FD6245">
        <w:t>de</w:t>
      </w:r>
      <w:r w:rsidR="003B379F">
        <w:t xml:space="preserve"> </w:t>
      </w:r>
      <w:r w:rsidR="00C61317" w:rsidRPr="00FD6245">
        <w:t>derechos</w:t>
      </w:r>
      <w:r w:rsidR="003B379F">
        <w:t xml:space="preserve"> </w:t>
      </w:r>
      <w:r w:rsidR="00C61317" w:rsidRPr="00FD6245">
        <w:t>humanos</w:t>
      </w:r>
      <w:r w:rsidR="003B379F">
        <w:t xml:space="preserve"> </w:t>
      </w:r>
      <w:r w:rsidR="00C61317" w:rsidRPr="00FD6245">
        <w:t>y</w:t>
      </w:r>
      <w:r w:rsidR="003B379F">
        <w:t xml:space="preserve"> </w:t>
      </w:r>
      <w:r w:rsidR="00C61317" w:rsidRPr="00FD6245">
        <w:t>derecho</w:t>
      </w:r>
      <w:r w:rsidR="003B379F">
        <w:t xml:space="preserve"> </w:t>
      </w:r>
      <w:r w:rsidR="00C61317" w:rsidRPr="00FD6245">
        <w:t>internacional</w:t>
      </w:r>
      <w:r w:rsidR="003B379F">
        <w:t xml:space="preserve"> </w:t>
      </w:r>
      <w:r w:rsidR="00C61317" w:rsidRPr="00FD6245">
        <w:t>humanitario,</w:t>
      </w:r>
      <w:r w:rsidR="003B379F">
        <w:t xml:space="preserve"> </w:t>
      </w:r>
      <w:r w:rsidR="00C61317" w:rsidRPr="00B40F2B">
        <w:rPr>
          <w:b/>
          <w:bCs/>
        </w:rPr>
        <w:t>se</w:t>
      </w:r>
      <w:r w:rsidR="003B379F">
        <w:rPr>
          <w:b/>
          <w:bCs/>
        </w:rPr>
        <w:t xml:space="preserve"> </w:t>
      </w:r>
      <w:r w:rsidR="00C61317" w:rsidRPr="00B40F2B">
        <w:rPr>
          <w:b/>
          <w:bCs/>
        </w:rPr>
        <w:t>con</w:t>
      </w:r>
      <w:r w:rsidR="00B40F2B" w:rsidRPr="00B40F2B">
        <w:rPr>
          <w:b/>
          <w:bCs/>
        </w:rPr>
        <w:t>cluye</w:t>
      </w:r>
      <w:r w:rsidR="003B379F">
        <w:rPr>
          <w:b/>
          <w:bCs/>
        </w:rPr>
        <w:t xml:space="preserve"> </w:t>
      </w:r>
      <w:r w:rsidR="00C61317" w:rsidRPr="00B40F2B">
        <w:rPr>
          <w:b/>
          <w:bCs/>
        </w:rPr>
        <w:t>que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las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autoridades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administrativas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no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deben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exigir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el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Certificado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</w:t>
      </w:r>
      <w:r w:rsidR="000A2442">
        <w:rPr>
          <w:b/>
          <w:bCs/>
        </w:rPr>
        <w:t>l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Comité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Operativo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Dejación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0A2442">
        <w:rPr>
          <w:b/>
          <w:bCs/>
        </w:rPr>
        <w:t>Armas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(CODA)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como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requisito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obligatorio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para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el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restablecimiento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derechos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niñas,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niños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y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adolescentes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desvinculados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grupos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armados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organizados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al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margen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de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la</w:t>
      </w:r>
      <w:r w:rsidR="003B379F">
        <w:rPr>
          <w:b/>
          <w:bCs/>
        </w:rPr>
        <w:t xml:space="preserve"> </w:t>
      </w:r>
      <w:r w:rsidR="00C61317" w:rsidRPr="00E9555C">
        <w:rPr>
          <w:b/>
          <w:bCs/>
        </w:rPr>
        <w:t>ley.</w:t>
      </w:r>
    </w:p>
    <w:p w14:paraId="5E92DEC5" w14:textId="23E15197" w:rsidR="00C61317" w:rsidRDefault="00C61317" w:rsidP="00FC10AA">
      <w:pPr>
        <w:spacing w:after="160" w:line="240" w:lineRule="auto"/>
        <w:jc w:val="both"/>
      </w:pPr>
      <w:r w:rsidRPr="00FD6245">
        <w:t>Lo</w:t>
      </w:r>
      <w:r w:rsidR="003B379F">
        <w:t xml:space="preserve"> </w:t>
      </w:r>
      <w:r w:rsidRPr="00FD6245">
        <w:t>anterior,</w:t>
      </w:r>
      <w:r w:rsidR="003B379F">
        <w:t xml:space="preserve"> </w:t>
      </w:r>
      <w:r w:rsidRPr="00FD6245">
        <w:t>por</w:t>
      </w:r>
      <w:r w:rsidR="003B379F">
        <w:t xml:space="preserve"> </w:t>
      </w:r>
      <w:r w:rsidRPr="00FD6245">
        <w:t>cuanto</w:t>
      </w:r>
      <w:r w:rsidR="003B379F">
        <w:t xml:space="preserve"> </w:t>
      </w:r>
      <w:r w:rsidRPr="00FD6245">
        <w:t>dicha</w:t>
      </w:r>
      <w:r w:rsidR="003B379F">
        <w:t xml:space="preserve"> </w:t>
      </w:r>
      <w:r w:rsidRPr="00FD6245">
        <w:t>exigencia</w:t>
      </w:r>
      <w:r w:rsidR="003B379F">
        <w:t xml:space="preserve"> </w:t>
      </w:r>
      <w:r w:rsidRPr="00FD6245">
        <w:t>resulta</w:t>
      </w:r>
      <w:r w:rsidR="003B379F">
        <w:t xml:space="preserve"> </w:t>
      </w:r>
      <w:r w:rsidRPr="00FD6245">
        <w:t>incompatible</w:t>
      </w:r>
      <w:r w:rsidR="003B379F">
        <w:t xml:space="preserve"> </w:t>
      </w:r>
      <w:r w:rsidRPr="00FD6245">
        <w:t>con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principio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interés</w:t>
      </w:r>
      <w:r w:rsidR="003B379F">
        <w:t xml:space="preserve"> </w:t>
      </w:r>
      <w:r w:rsidRPr="00FD6245">
        <w:t>superior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niño,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prevalencia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sus</w:t>
      </w:r>
      <w:r w:rsidR="003B379F">
        <w:t xml:space="preserve"> </w:t>
      </w:r>
      <w:r w:rsidRPr="00FD6245">
        <w:t>derechos,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principio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buena</w:t>
      </w:r>
      <w:r w:rsidR="003B379F">
        <w:t xml:space="preserve"> </w:t>
      </w:r>
      <w:r w:rsidRPr="00FD6245">
        <w:t>fe,</w:t>
      </w:r>
      <w:r w:rsidR="003B379F">
        <w:t xml:space="preserve"> </w:t>
      </w:r>
      <w:r w:rsidRPr="00FD6245">
        <w:t>el</w:t>
      </w:r>
      <w:r w:rsidR="003B379F">
        <w:t xml:space="preserve"> </w:t>
      </w:r>
      <w:r w:rsidRPr="00FD6245">
        <w:t>enfoque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protección</w:t>
      </w:r>
      <w:r w:rsidR="003B379F">
        <w:t xml:space="preserve"> </w:t>
      </w:r>
      <w:r w:rsidRPr="00FD6245">
        <w:t>integral</w:t>
      </w:r>
      <w:r w:rsidR="003B379F">
        <w:t xml:space="preserve"> </w:t>
      </w:r>
      <w:r w:rsidRPr="00FD6245">
        <w:t>y</w:t>
      </w:r>
      <w:r w:rsidR="003B379F">
        <w:t xml:space="preserve"> </w:t>
      </w:r>
      <w:r w:rsidRPr="00FD6245">
        <w:t>la</w:t>
      </w:r>
      <w:r w:rsidR="003B379F">
        <w:t xml:space="preserve"> </w:t>
      </w:r>
      <w:r w:rsidRPr="00FD6245">
        <w:t>prohibición</w:t>
      </w:r>
      <w:r w:rsidR="003B379F">
        <w:t xml:space="preserve"> </w:t>
      </w:r>
      <w:r w:rsidRPr="00FD6245">
        <w:t>de</w:t>
      </w:r>
      <w:r w:rsidR="003B379F">
        <w:t xml:space="preserve"> </w:t>
      </w:r>
      <w:r w:rsidRPr="00FD6245">
        <w:t>imponer</w:t>
      </w:r>
      <w:r w:rsidR="003B379F">
        <w:t xml:space="preserve"> </w:t>
      </w:r>
      <w:r w:rsidRPr="00FD6245">
        <w:t>cargas</w:t>
      </w:r>
      <w:r w:rsidR="003B379F">
        <w:t xml:space="preserve"> </w:t>
      </w:r>
      <w:r w:rsidRPr="00FD6245">
        <w:t>probatorias</w:t>
      </w:r>
      <w:r w:rsidR="003B379F">
        <w:t xml:space="preserve"> </w:t>
      </w:r>
      <w:r w:rsidRPr="00FD6245">
        <w:t>desproporcionadas</w:t>
      </w:r>
      <w:r w:rsidR="003B379F">
        <w:t xml:space="preserve"> </w:t>
      </w:r>
      <w:r w:rsidRPr="00FD6245">
        <w:t>a</w:t>
      </w:r>
      <w:r w:rsidR="003B379F">
        <w:t xml:space="preserve"> </w:t>
      </w:r>
      <w:r w:rsidRPr="00FD6245">
        <w:t>las</w:t>
      </w:r>
      <w:r w:rsidR="003B379F">
        <w:t xml:space="preserve"> </w:t>
      </w:r>
      <w:r w:rsidRPr="00FD6245">
        <w:t>víctimas</w:t>
      </w:r>
      <w:r w:rsidR="003B379F">
        <w:t xml:space="preserve"> </w:t>
      </w:r>
      <w:r w:rsidRPr="00FD6245">
        <w:t>del</w:t>
      </w:r>
      <w:r w:rsidR="003B379F">
        <w:t xml:space="preserve"> </w:t>
      </w:r>
      <w:r w:rsidRPr="00FD6245">
        <w:t>conflicto</w:t>
      </w:r>
      <w:r w:rsidR="003B379F">
        <w:t xml:space="preserve"> </w:t>
      </w:r>
      <w:r w:rsidRPr="00FD6245">
        <w:t>armado.</w:t>
      </w:r>
    </w:p>
    <w:p w14:paraId="700F9075" w14:textId="242C8B89" w:rsidR="00BA1DEF" w:rsidRDefault="00BF168B" w:rsidP="00FC10AA">
      <w:pPr>
        <w:spacing w:line="240" w:lineRule="auto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Así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y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para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responder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al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interrogante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de</w:t>
      </w:r>
      <w:r w:rsidR="003B379F">
        <w:rPr>
          <w:color w:val="000000" w:themeColor="text1"/>
          <w:lang w:val="es-CO"/>
        </w:rPr>
        <w:t xml:space="preserve"> </w:t>
      </w:r>
      <w:r w:rsidR="00BA1DEF">
        <w:rPr>
          <w:color w:val="000000" w:themeColor="text1"/>
          <w:lang w:val="es-CO"/>
        </w:rPr>
        <w:t>si</w:t>
      </w:r>
      <w:r w:rsidR="003B379F">
        <w:rPr>
          <w:color w:val="000000" w:themeColor="text1"/>
          <w:lang w:val="es-CO"/>
        </w:rPr>
        <w:t xml:space="preserve"> </w:t>
      </w:r>
      <w:r w:rsidR="00E14051">
        <w:rPr>
          <w:color w:val="000000" w:themeColor="text1"/>
          <w:lang w:val="es-CO"/>
        </w:rPr>
        <w:t xml:space="preserve">debería </w:t>
      </w:r>
      <w:r w:rsidR="00BA1DEF" w:rsidRPr="00BA1DEF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Dirección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Protección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Especial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Subdirección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Coordinación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Autoridades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Administrativas,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deberá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iniciar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el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trámite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modificación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actualización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del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Lineamiento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Técnico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Programa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Atención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Especializada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Niños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Niñas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Adolescentes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Víctimas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Reclutamiento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Ilícito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Desvinculados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documentos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anexos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que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ahí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lo</w:t>
      </w:r>
      <w:r w:rsidR="003B379F">
        <w:rPr>
          <w:color w:val="000000" w:themeColor="text1"/>
        </w:rPr>
        <w:t xml:space="preserve"> </w:t>
      </w:r>
      <w:r w:rsidR="00BA1DEF" w:rsidRPr="00BA1DEF">
        <w:rPr>
          <w:color w:val="000000" w:themeColor="text1"/>
        </w:rPr>
        <w:t>determinen</w:t>
      </w:r>
      <w:r w:rsidR="00A94360">
        <w:rPr>
          <w:color w:val="000000" w:themeColor="text1"/>
        </w:rPr>
        <w:t>;</w:t>
      </w:r>
      <w:r w:rsidR="003B379F">
        <w:rPr>
          <w:color w:val="000000" w:themeColor="text1"/>
        </w:rPr>
        <w:t xml:space="preserve"> </w:t>
      </w:r>
      <w:r w:rsidR="00A94360">
        <w:rPr>
          <w:color w:val="000000" w:themeColor="text1"/>
        </w:rPr>
        <w:t>s</w:t>
      </w:r>
      <w:r w:rsidR="00660155">
        <w:rPr>
          <w:color w:val="000000" w:themeColor="text1"/>
        </w:rPr>
        <w:t>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sugiere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adelantar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ajust</w:t>
      </w:r>
      <w:r w:rsidR="0057524B">
        <w:rPr>
          <w:color w:val="000000" w:themeColor="text1"/>
        </w:rPr>
        <w:t>es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necesarios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procedimientos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internos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del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ICBF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relacionados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con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materia</w:t>
      </w:r>
      <w:r w:rsidR="0057524B">
        <w:rPr>
          <w:color w:val="000000" w:themeColor="text1"/>
        </w:rPr>
        <w:t>,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para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garantizar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aplicación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norma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</w:t>
      </w:r>
      <w:r w:rsidR="00A35F73">
        <w:rPr>
          <w:color w:val="000000" w:themeColor="text1"/>
        </w:rPr>
        <w:t>a</w:t>
      </w:r>
      <w:r w:rsidR="003B379F">
        <w:rPr>
          <w:color w:val="000000" w:themeColor="text1"/>
        </w:rPr>
        <w:t xml:space="preserve"> </w:t>
      </w:r>
      <w:r w:rsidR="00A35F73">
        <w:rPr>
          <w:color w:val="000000" w:themeColor="text1"/>
        </w:rPr>
        <w:t>eficaz</w:t>
      </w:r>
      <w:r w:rsidR="003B379F">
        <w:rPr>
          <w:color w:val="000000" w:themeColor="text1"/>
        </w:rPr>
        <w:t xml:space="preserve"> </w:t>
      </w:r>
      <w:r w:rsidR="00A35F73">
        <w:rPr>
          <w:color w:val="000000" w:themeColor="text1"/>
        </w:rPr>
        <w:t>protección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los</w:t>
      </w:r>
      <w:r w:rsidR="003B379F">
        <w:rPr>
          <w:color w:val="000000" w:themeColor="text1"/>
        </w:rPr>
        <w:t xml:space="preserve"> </w:t>
      </w:r>
      <w:r w:rsidR="00A94360">
        <w:rPr>
          <w:color w:val="000000" w:themeColor="text1"/>
        </w:rPr>
        <w:t>niños, niñas y adolescentes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víctimas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reclutamiento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uso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utilización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a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fin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garantizar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sus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derechos</w:t>
      </w:r>
      <w:r w:rsidR="003B379F">
        <w:rPr>
          <w:color w:val="000000" w:themeColor="text1"/>
        </w:rPr>
        <w:t xml:space="preserve"> </w:t>
      </w:r>
      <w:r w:rsidR="0057524B">
        <w:rPr>
          <w:color w:val="000000" w:themeColor="text1"/>
        </w:rPr>
        <w:t>y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la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desestructuración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de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barreras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administrativas</w:t>
      </w:r>
      <w:r w:rsidR="003B379F">
        <w:rPr>
          <w:color w:val="000000" w:themeColor="text1"/>
        </w:rPr>
        <w:t xml:space="preserve"> </w:t>
      </w:r>
      <w:r w:rsidR="00660155">
        <w:rPr>
          <w:color w:val="000000" w:themeColor="text1"/>
        </w:rPr>
        <w:t>para</w:t>
      </w:r>
      <w:r w:rsidR="003B379F">
        <w:rPr>
          <w:color w:val="000000" w:themeColor="text1"/>
        </w:rPr>
        <w:t xml:space="preserve"> </w:t>
      </w:r>
      <w:r w:rsidR="00FC10AA">
        <w:rPr>
          <w:color w:val="000000" w:themeColor="text1"/>
        </w:rPr>
        <w:t>el</w:t>
      </w:r>
      <w:r w:rsidR="003B379F">
        <w:rPr>
          <w:color w:val="000000" w:themeColor="text1"/>
        </w:rPr>
        <w:t xml:space="preserve"> </w:t>
      </w:r>
      <w:r w:rsidR="00FC10AA">
        <w:rPr>
          <w:color w:val="000000" w:themeColor="text1"/>
        </w:rPr>
        <w:t>acceso</w:t>
      </w:r>
      <w:r w:rsidR="003B379F">
        <w:rPr>
          <w:color w:val="000000" w:themeColor="text1"/>
        </w:rPr>
        <w:t xml:space="preserve"> </w:t>
      </w:r>
      <w:r w:rsidR="00FC10AA">
        <w:rPr>
          <w:color w:val="000000" w:themeColor="text1"/>
        </w:rPr>
        <w:t>a</w:t>
      </w:r>
      <w:r w:rsidR="003B379F">
        <w:rPr>
          <w:color w:val="000000" w:themeColor="text1"/>
        </w:rPr>
        <w:t xml:space="preserve"> </w:t>
      </w:r>
      <w:r w:rsidR="00FC10AA">
        <w:rPr>
          <w:color w:val="000000" w:themeColor="text1"/>
        </w:rPr>
        <w:t>los</w:t>
      </w:r>
      <w:r w:rsidR="003B379F">
        <w:rPr>
          <w:color w:val="000000" w:themeColor="text1"/>
        </w:rPr>
        <w:t xml:space="preserve"> </w:t>
      </w:r>
      <w:r w:rsidR="00FC10AA">
        <w:rPr>
          <w:color w:val="000000" w:themeColor="text1"/>
        </w:rPr>
        <w:t>mismos.</w:t>
      </w:r>
      <w:r w:rsidR="003B379F">
        <w:rPr>
          <w:color w:val="000000" w:themeColor="text1"/>
        </w:rPr>
        <w:t xml:space="preserve"> </w:t>
      </w:r>
    </w:p>
    <w:p w14:paraId="627F5CF8" w14:textId="77777777" w:rsidR="00BA1DEF" w:rsidRDefault="00BA1DEF" w:rsidP="00FC10AA">
      <w:pPr>
        <w:spacing w:line="240" w:lineRule="auto"/>
        <w:jc w:val="both"/>
        <w:rPr>
          <w:color w:val="000000" w:themeColor="text1"/>
          <w:lang w:val="es-CO"/>
        </w:rPr>
      </w:pPr>
    </w:p>
    <w:p w14:paraId="7C77E845" w14:textId="638E540A" w:rsidR="00CC5143" w:rsidRDefault="00CB4954" w:rsidP="00A94360">
      <w:pPr>
        <w:spacing w:line="240" w:lineRule="auto"/>
        <w:jc w:val="both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Finalmente</w:t>
      </w:r>
      <w:r w:rsidR="003B379F">
        <w:rPr>
          <w:color w:val="000000" w:themeColor="text1"/>
          <w:lang w:val="es-CO"/>
        </w:rPr>
        <w:t xml:space="preserve"> </w:t>
      </w:r>
      <w:r>
        <w:rPr>
          <w:color w:val="000000" w:themeColor="text1"/>
          <w:lang w:val="es-CO"/>
        </w:rPr>
        <w:t>conviene</w:t>
      </w:r>
      <w:r w:rsidR="003B379F">
        <w:rPr>
          <w:color w:val="000000" w:themeColor="text1"/>
          <w:lang w:val="es-CO"/>
        </w:rPr>
        <w:t xml:space="preserve"> </w:t>
      </w:r>
      <w:r>
        <w:rPr>
          <w:color w:val="000000" w:themeColor="text1"/>
          <w:lang w:val="es-CO"/>
        </w:rPr>
        <w:t>reiterar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que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el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presente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documento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corresponde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un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concepto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jurídico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interno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emitido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por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la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Oficina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Jurídica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del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Instituto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Colombiano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Bienestar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Familiar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(ICBF),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en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ejercicio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la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función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prevista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en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el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Decreto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1430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de</w:t>
      </w:r>
      <w:r w:rsidR="003B379F">
        <w:rPr>
          <w:color w:val="000000" w:themeColor="text1"/>
          <w:lang w:val="es-CO"/>
        </w:rPr>
        <w:t xml:space="preserve"> </w:t>
      </w:r>
      <w:r w:rsidR="00CC5143" w:rsidRPr="00931EB2">
        <w:rPr>
          <w:color w:val="000000" w:themeColor="text1"/>
          <w:lang w:val="es-CO"/>
        </w:rPr>
        <w:t>2025.</w:t>
      </w:r>
      <w:r w:rsidR="003B379F">
        <w:rPr>
          <w:color w:val="000000" w:themeColor="text1"/>
          <w:lang w:val="es-CO"/>
        </w:rPr>
        <w:t xml:space="preserve"> </w:t>
      </w:r>
    </w:p>
    <w:p w14:paraId="70080A6B" w14:textId="77777777" w:rsidR="00CB4954" w:rsidRPr="00931EB2" w:rsidRDefault="00CB4954" w:rsidP="00FC10AA">
      <w:pPr>
        <w:spacing w:line="240" w:lineRule="auto"/>
        <w:rPr>
          <w:color w:val="000000" w:themeColor="text1"/>
          <w:lang w:val="es-CO"/>
        </w:rPr>
      </w:pPr>
    </w:p>
    <w:p w14:paraId="6E2D2D06" w14:textId="61FBB441" w:rsidR="007E0386" w:rsidRPr="00931EB2" w:rsidRDefault="00FF0408" w:rsidP="00FC10AA">
      <w:pPr>
        <w:spacing w:line="240" w:lineRule="auto"/>
        <w:rPr>
          <w:color w:val="000000" w:themeColor="text1"/>
          <w:lang w:val="es-CO"/>
        </w:rPr>
      </w:pPr>
      <w:r>
        <w:rPr>
          <w:color w:val="000000" w:themeColor="text1"/>
          <w:lang w:val="es-CO"/>
        </w:rPr>
        <w:t>Atentamente</w:t>
      </w:r>
      <w:r w:rsidR="007E0386" w:rsidRPr="00931EB2">
        <w:rPr>
          <w:color w:val="000000" w:themeColor="text1"/>
          <w:lang w:val="es-CO"/>
        </w:rPr>
        <w:t>,</w:t>
      </w:r>
      <w:r w:rsidR="003B379F">
        <w:rPr>
          <w:color w:val="000000" w:themeColor="text1"/>
          <w:lang w:val="es-CO"/>
        </w:rPr>
        <w:t xml:space="preserve"> </w:t>
      </w:r>
    </w:p>
    <w:p w14:paraId="289F7587" w14:textId="77777777" w:rsidR="00DA503D" w:rsidRDefault="00DA503D" w:rsidP="00FC10AA">
      <w:pPr>
        <w:spacing w:line="240" w:lineRule="auto"/>
        <w:rPr>
          <w:color w:val="000000" w:themeColor="text1"/>
          <w:lang w:val="es-CO"/>
        </w:rPr>
      </w:pPr>
    </w:p>
    <w:p w14:paraId="7C1C8DFD" w14:textId="77777777" w:rsidR="00CB4954" w:rsidRDefault="00CB4954" w:rsidP="00FC10AA">
      <w:pPr>
        <w:spacing w:line="240" w:lineRule="auto"/>
        <w:rPr>
          <w:color w:val="000000" w:themeColor="text1"/>
          <w:lang w:val="es-CO"/>
        </w:rPr>
      </w:pPr>
    </w:p>
    <w:p w14:paraId="1DC4B06C" w14:textId="77777777" w:rsidR="00A94360" w:rsidRPr="00931EB2" w:rsidRDefault="00A94360" w:rsidP="00FC10AA">
      <w:pPr>
        <w:spacing w:line="240" w:lineRule="auto"/>
        <w:rPr>
          <w:color w:val="000000" w:themeColor="text1"/>
          <w:lang w:val="es-CO"/>
        </w:rPr>
      </w:pPr>
    </w:p>
    <w:p w14:paraId="62350B1A" w14:textId="77777777" w:rsidR="00986C65" w:rsidRPr="00931EB2" w:rsidRDefault="00986C65" w:rsidP="00FC10AA">
      <w:pPr>
        <w:spacing w:line="240" w:lineRule="auto"/>
        <w:jc w:val="both"/>
        <w:rPr>
          <w:rFonts w:cs="Arial"/>
          <w:b/>
          <w:color w:val="000000" w:themeColor="text1"/>
        </w:rPr>
      </w:pPr>
    </w:p>
    <w:p w14:paraId="4899CB86" w14:textId="6B6ED771" w:rsidR="00986C65" w:rsidRPr="00931EB2" w:rsidRDefault="004619CC" w:rsidP="00FC10AA">
      <w:pPr>
        <w:spacing w:line="240" w:lineRule="auto"/>
        <w:jc w:val="both"/>
        <w:rPr>
          <w:rFonts w:cs="Arial"/>
          <w:b/>
          <w:color w:val="000000" w:themeColor="text1"/>
        </w:rPr>
      </w:pPr>
      <w:r w:rsidRPr="00931EB2">
        <w:rPr>
          <w:rFonts w:cs="Arial"/>
          <w:b/>
          <w:color w:val="000000" w:themeColor="text1"/>
        </w:rPr>
        <w:t>JOSÉ</w:t>
      </w:r>
      <w:r w:rsidR="003B379F">
        <w:rPr>
          <w:rFonts w:cs="Arial"/>
          <w:b/>
          <w:color w:val="000000" w:themeColor="text1"/>
        </w:rPr>
        <w:t xml:space="preserve"> </w:t>
      </w:r>
      <w:r w:rsidRPr="00931EB2">
        <w:rPr>
          <w:rFonts w:cs="Arial"/>
          <w:b/>
          <w:color w:val="000000" w:themeColor="text1"/>
        </w:rPr>
        <w:t>MIGUEL</w:t>
      </w:r>
      <w:r w:rsidR="003B379F">
        <w:rPr>
          <w:rFonts w:cs="Arial"/>
          <w:b/>
          <w:color w:val="000000" w:themeColor="text1"/>
        </w:rPr>
        <w:t xml:space="preserve"> </w:t>
      </w:r>
      <w:r w:rsidRPr="00931EB2">
        <w:rPr>
          <w:rFonts w:cs="Arial"/>
          <w:b/>
          <w:color w:val="000000" w:themeColor="text1"/>
        </w:rPr>
        <w:t>RUEDA</w:t>
      </w:r>
      <w:r w:rsidR="003B379F">
        <w:rPr>
          <w:rFonts w:cs="Arial"/>
          <w:b/>
          <w:color w:val="000000" w:themeColor="text1"/>
        </w:rPr>
        <w:t xml:space="preserve"> </w:t>
      </w:r>
      <w:r w:rsidRPr="00931EB2">
        <w:rPr>
          <w:rFonts w:cs="Arial"/>
          <w:b/>
          <w:color w:val="000000" w:themeColor="text1"/>
        </w:rPr>
        <w:t>VÁSQUEZ</w:t>
      </w:r>
    </w:p>
    <w:p w14:paraId="5C1F8826" w14:textId="0E5559EE" w:rsidR="00986C65" w:rsidRPr="00A94360" w:rsidRDefault="004619CC" w:rsidP="00FC10AA">
      <w:pPr>
        <w:spacing w:line="240" w:lineRule="auto"/>
        <w:jc w:val="both"/>
        <w:rPr>
          <w:rFonts w:cs="Arial"/>
          <w:color w:val="000000" w:themeColor="text1"/>
        </w:rPr>
      </w:pPr>
      <w:r w:rsidRPr="00931EB2">
        <w:rPr>
          <w:rFonts w:cs="Arial"/>
          <w:color w:val="000000" w:themeColor="text1"/>
        </w:rPr>
        <w:t>Jefe</w:t>
      </w:r>
      <w:r w:rsidR="003B379F">
        <w:rPr>
          <w:rFonts w:cs="Arial"/>
          <w:color w:val="000000" w:themeColor="text1"/>
        </w:rPr>
        <w:t xml:space="preserve"> </w:t>
      </w:r>
      <w:r w:rsidRPr="00931EB2">
        <w:rPr>
          <w:rFonts w:cs="Arial"/>
          <w:color w:val="000000" w:themeColor="text1"/>
        </w:rPr>
        <w:t>Oficina</w:t>
      </w:r>
      <w:r w:rsidR="003B379F">
        <w:rPr>
          <w:rFonts w:cs="Arial"/>
          <w:color w:val="000000" w:themeColor="text1"/>
        </w:rPr>
        <w:t xml:space="preserve"> </w:t>
      </w:r>
      <w:r w:rsidRPr="00931EB2">
        <w:rPr>
          <w:rFonts w:cs="Arial"/>
          <w:color w:val="000000" w:themeColor="text1"/>
        </w:rPr>
        <w:t>Jurídica</w:t>
      </w:r>
    </w:p>
    <w:p w14:paraId="4973A729" w14:textId="2470977A" w:rsidR="00986C65" w:rsidRPr="00A94360" w:rsidRDefault="00986C65" w:rsidP="00FC10AA">
      <w:pPr>
        <w:tabs>
          <w:tab w:val="right" w:pos="9405"/>
        </w:tabs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A94360">
        <w:rPr>
          <w:rFonts w:cs="Arial"/>
          <w:color w:val="000000" w:themeColor="text1"/>
          <w:sz w:val="16"/>
          <w:szCs w:val="16"/>
        </w:rPr>
        <w:tab/>
      </w:r>
    </w:p>
    <w:sectPr w:rsidR="00986C65" w:rsidRPr="00A94360" w:rsidSect="00234E9C">
      <w:footerReference w:type="default" r:id="rId8"/>
      <w:pgSz w:w="12240" w:h="15840" w:code="1"/>
      <w:pgMar w:top="1560" w:right="1134" w:bottom="1843" w:left="1701" w:header="1531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4566" w14:textId="77777777" w:rsidR="00AA5C8B" w:rsidRDefault="00AA5C8B" w:rsidP="00B92FB1">
      <w:pPr>
        <w:spacing w:line="240" w:lineRule="auto"/>
      </w:pPr>
      <w:r>
        <w:separator/>
      </w:r>
    </w:p>
  </w:endnote>
  <w:endnote w:type="continuationSeparator" w:id="0">
    <w:p w14:paraId="1EF6951E" w14:textId="77777777" w:rsidR="00AA5C8B" w:rsidRDefault="00AA5C8B" w:rsidP="00B92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A5E3" w14:textId="65A3951F" w:rsidR="00B92FB1" w:rsidRDefault="00B92FB1" w:rsidP="00B92FB1">
    <w:pPr>
      <w:spacing w:line="240" w:lineRule="auto"/>
    </w:pPr>
    <w:r>
      <w:t xml:space="preserve">                                              </w:t>
    </w:r>
  </w:p>
  <w:p w14:paraId="246AF2BF" w14:textId="77777777" w:rsidR="00B92FB1" w:rsidRDefault="00B9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9BEE" w14:textId="77777777" w:rsidR="00AA5C8B" w:rsidRDefault="00AA5C8B" w:rsidP="00B92FB1">
      <w:pPr>
        <w:spacing w:line="240" w:lineRule="auto"/>
      </w:pPr>
      <w:r>
        <w:separator/>
      </w:r>
    </w:p>
  </w:footnote>
  <w:footnote w:type="continuationSeparator" w:id="0">
    <w:p w14:paraId="354952BE" w14:textId="77777777" w:rsidR="00AA5C8B" w:rsidRDefault="00AA5C8B" w:rsidP="00B92F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0D"/>
    <w:multiLevelType w:val="hybridMultilevel"/>
    <w:tmpl w:val="59FA22C8"/>
    <w:lvl w:ilvl="0" w:tplc="A5A06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7F97"/>
    <w:multiLevelType w:val="multilevel"/>
    <w:tmpl w:val="538800E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E505E"/>
    <w:multiLevelType w:val="multilevel"/>
    <w:tmpl w:val="E67CE4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05064"/>
    <w:multiLevelType w:val="multilevel"/>
    <w:tmpl w:val="9C1C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F3444"/>
    <w:multiLevelType w:val="multilevel"/>
    <w:tmpl w:val="9DA2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F11A6"/>
    <w:multiLevelType w:val="multilevel"/>
    <w:tmpl w:val="83E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E174B"/>
    <w:multiLevelType w:val="multilevel"/>
    <w:tmpl w:val="97FC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21F79"/>
    <w:multiLevelType w:val="hybridMultilevel"/>
    <w:tmpl w:val="501CACA2"/>
    <w:lvl w:ilvl="0" w:tplc="A5A06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813C3"/>
    <w:multiLevelType w:val="hybridMultilevel"/>
    <w:tmpl w:val="C5D4FE3E"/>
    <w:lvl w:ilvl="0" w:tplc="61E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48E6F2E">
      <w:start w:val="1"/>
      <w:numFmt w:val="decimal"/>
      <w:lvlText w:val="%2."/>
      <w:lvlJc w:val="left"/>
      <w:pPr>
        <w:ind w:left="1780" w:hanging="70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95147"/>
    <w:multiLevelType w:val="hybridMultilevel"/>
    <w:tmpl w:val="03007434"/>
    <w:lvl w:ilvl="0" w:tplc="A288BA0C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B6EFE"/>
    <w:multiLevelType w:val="multilevel"/>
    <w:tmpl w:val="9758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977D0"/>
    <w:multiLevelType w:val="multilevel"/>
    <w:tmpl w:val="88DC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27F22"/>
    <w:multiLevelType w:val="hybridMultilevel"/>
    <w:tmpl w:val="ED3A8B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581606">
    <w:abstractNumId w:val="8"/>
  </w:num>
  <w:num w:numId="2" w16cid:durableId="1621454396">
    <w:abstractNumId w:val="0"/>
  </w:num>
  <w:num w:numId="3" w16cid:durableId="2013019865">
    <w:abstractNumId w:val="7"/>
  </w:num>
  <w:num w:numId="4" w16cid:durableId="649137200">
    <w:abstractNumId w:val="9"/>
  </w:num>
  <w:num w:numId="5" w16cid:durableId="1595671944">
    <w:abstractNumId w:val="11"/>
  </w:num>
  <w:num w:numId="6" w16cid:durableId="1858539160">
    <w:abstractNumId w:val="10"/>
  </w:num>
  <w:num w:numId="7" w16cid:durableId="2124761392">
    <w:abstractNumId w:val="12"/>
  </w:num>
  <w:num w:numId="8" w16cid:durableId="2126536788">
    <w:abstractNumId w:val="5"/>
  </w:num>
  <w:num w:numId="9" w16cid:durableId="840971067">
    <w:abstractNumId w:val="6"/>
  </w:num>
  <w:num w:numId="10" w16cid:durableId="61876737">
    <w:abstractNumId w:val="2"/>
  </w:num>
  <w:num w:numId="11" w16cid:durableId="909385993">
    <w:abstractNumId w:val="3"/>
  </w:num>
  <w:num w:numId="12" w16cid:durableId="102388822">
    <w:abstractNumId w:val="1"/>
  </w:num>
  <w:num w:numId="13" w16cid:durableId="796995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5A55"/>
    <w:rsid w:val="00016B2B"/>
    <w:rsid w:val="0003236C"/>
    <w:rsid w:val="0003682A"/>
    <w:rsid w:val="00041D6F"/>
    <w:rsid w:val="000536D7"/>
    <w:rsid w:val="00054A6B"/>
    <w:rsid w:val="00066625"/>
    <w:rsid w:val="00067325"/>
    <w:rsid w:val="00096FEA"/>
    <w:rsid w:val="00097571"/>
    <w:rsid w:val="000A2442"/>
    <w:rsid w:val="000C3941"/>
    <w:rsid w:val="000C3EA3"/>
    <w:rsid w:val="000D1BE7"/>
    <w:rsid w:val="0010387F"/>
    <w:rsid w:val="001043D0"/>
    <w:rsid w:val="001119CD"/>
    <w:rsid w:val="00120D50"/>
    <w:rsid w:val="001230E4"/>
    <w:rsid w:val="0015743A"/>
    <w:rsid w:val="001614AD"/>
    <w:rsid w:val="00175FAA"/>
    <w:rsid w:val="001919C6"/>
    <w:rsid w:val="001A0287"/>
    <w:rsid w:val="001C242B"/>
    <w:rsid w:val="001C5706"/>
    <w:rsid w:val="001D4D60"/>
    <w:rsid w:val="001D61A6"/>
    <w:rsid w:val="0020559A"/>
    <w:rsid w:val="00230FDD"/>
    <w:rsid w:val="00234E9C"/>
    <w:rsid w:val="00236087"/>
    <w:rsid w:val="00236C9E"/>
    <w:rsid w:val="00244417"/>
    <w:rsid w:val="00244D3D"/>
    <w:rsid w:val="0024678E"/>
    <w:rsid w:val="00274AEB"/>
    <w:rsid w:val="00277F79"/>
    <w:rsid w:val="00294C02"/>
    <w:rsid w:val="002C0ABC"/>
    <w:rsid w:val="002C64B3"/>
    <w:rsid w:val="002D224A"/>
    <w:rsid w:val="002D672B"/>
    <w:rsid w:val="002F0AC6"/>
    <w:rsid w:val="00322184"/>
    <w:rsid w:val="00322466"/>
    <w:rsid w:val="003402CD"/>
    <w:rsid w:val="00362A44"/>
    <w:rsid w:val="00380C8A"/>
    <w:rsid w:val="0038262F"/>
    <w:rsid w:val="00383B97"/>
    <w:rsid w:val="00397C60"/>
    <w:rsid w:val="003A1851"/>
    <w:rsid w:val="003B10D4"/>
    <w:rsid w:val="003B379F"/>
    <w:rsid w:val="003C2C40"/>
    <w:rsid w:val="003D5CBF"/>
    <w:rsid w:val="003F4E57"/>
    <w:rsid w:val="00404F59"/>
    <w:rsid w:val="0044126D"/>
    <w:rsid w:val="0044391C"/>
    <w:rsid w:val="004439CF"/>
    <w:rsid w:val="004554AF"/>
    <w:rsid w:val="004619CC"/>
    <w:rsid w:val="004702ED"/>
    <w:rsid w:val="004742EF"/>
    <w:rsid w:val="00482642"/>
    <w:rsid w:val="00490F50"/>
    <w:rsid w:val="004C21C8"/>
    <w:rsid w:val="004E462F"/>
    <w:rsid w:val="004E5577"/>
    <w:rsid w:val="005300F0"/>
    <w:rsid w:val="00535C0C"/>
    <w:rsid w:val="00541CC4"/>
    <w:rsid w:val="00552D6D"/>
    <w:rsid w:val="00553045"/>
    <w:rsid w:val="005602D3"/>
    <w:rsid w:val="0057524B"/>
    <w:rsid w:val="00590B84"/>
    <w:rsid w:val="005A3D82"/>
    <w:rsid w:val="005A7572"/>
    <w:rsid w:val="005D12FB"/>
    <w:rsid w:val="005D4C82"/>
    <w:rsid w:val="005D7D30"/>
    <w:rsid w:val="005F6FD3"/>
    <w:rsid w:val="006008E8"/>
    <w:rsid w:val="006179EA"/>
    <w:rsid w:val="00621E1D"/>
    <w:rsid w:val="0064317B"/>
    <w:rsid w:val="00647110"/>
    <w:rsid w:val="00660155"/>
    <w:rsid w:val="006624DB"/>
    <w:rsid w:val="006675EC"/>
    <w:rsid w:val="006A7B38"/>
    <w:rsid w:val="006B1159"/>
    <w:rsid w:val="006C70EF"/>
    <w:rsid w:val="006C7934"/>
    <w:rsid w:val="006D14E8"/>
    <w:rsid w:val="006D3346"/>
    <w:rsid w:val="006D475E"/>
    <w:rsid w:val="006D7672"/>
    <w:rsid w:val="006F669E"/>
    <w:rsid w:val="00701963"/>
    <w:rsid w:val="007148BE"/>
    <w:rsid w:val="00734943"/>
    <w:rsid w:val="0074645C"/>
    <w:rsid w:val="00771492"/>
    <w:rsid w:val="00780CFA"/>
    <w:rsid w:val="007A7694"/>
    <w:rsid w:val="007A7FF0"/>
    <w:rsid w:val="007B738D"/>
    <w:rsid w:val="007C66FB"/>
    <w:rsid w:val="007D0953"/>
    <w:rsid w:val="007E0386"/>
    <w:rsid w:val="007F654B"/>
    <w:rsid w:val="00812ED6"/>
    <w:rsid w:val="0084493A"/>
    <w:rsid w:val="00852245"/>
    <w:rsid w:val="00855DC1"/>
    <w:rsid w:val="00861D97"/>
    <w:rsid w:val="00865035"/>
    <w:rsid w:val="008711E7"/>
    <w:rsid w:val="008947EA"/>
    <w:rsid w:val="00895280"/>
    <w:rsid w:val="008D21C6"/>
    <w:rsid w:val="008D72EC"/>
    <w:rsid w:val="008E1DA6"/>
    <w:rsid w:val="008F019D"/>
    <w:rsid w:val="00915363"/>
    <w:rsid w:val="00917A00"/>
    <w:rsid w:val="00931EB2"/>
    <w:rsid w:val="00942999"/>
    <w:rsid w:val="00947CE0"/>
    <w:rsid w:val="00963EFE"/>
    <w:rsid w:val="00965FA3"/>
    <w:rsid w:val="00986C65"/>
    <w:rsid w:val="009A0B60"/>
    <w:rsid w:val="009B2507"/>
    <w:rsid w:val="009D4942"/>
    <w:rsid w:val="00A35F73"/>
    <w:rsid w:val="00A46BC9"/>
    <w:rsid w:val="00A72892"/>
    <w:rsid w:val="00A74479"/>
    <w:rsid w:val="00A87367"/>
    <w:rsid w:val="00A94360"/>
    <w:rsid w:val="00A950AF"/>
    <w:rsid w:val="00A9715D"/>
    <w:rsid w:val="00AA5C8B"/>
    <w:rsid w:val="00AA7A38"/>
    <w:rsid w:val="00AB26EE"/>
    <w:rsid w:val="00AC7067"/>
    <w:rsid w:val="00AE747C"/>
    <w:rsid w:val="00AF332D"/>
    <w:rsid w:val="00B05BEB"/>
    <w:rsid w:val="00B11AB9"/>
    <w:rsid w:val="00B1682E"/>
    <w:rsid w:val="00B16D60"/>
    <w:rsid w:val="00B24813"/>
    <w:rsid w:val="00B2730F"/>
    <w:rsid w:val="00B30715"/>
    <w:rsid w:val="00B35C34"/>
    <w:rsid w:val="00B40F2B"/>
    <w:rsid w:val="00B4758A"/>
    <w:rsid w:val="00B526F5"/>
    <w:rsid w:val="00B822A7"/>
    <w:rsid w:val="00B83CC3"/>
    <w:rsid w:val="00B920B5"/>
    <w:rsid w:val="00B92FB1"/>
    <w:rsid w:val="00B95EBB"/>
    <w:rsid w:val="00BA1DEF"/>
    <w:rsid w:val="00BD1F25"/>
    <w:rsid w:val="00BF168B"/>
    <w:rsid w:val="00C02C9F"/>
    <w:rsid w:val="00C139EB"/>
    <w:rsid w:val="00C44CFF"/>
    <w:rsid w:val="00C5105E"/>
    <w:rsid w:val="00C57CCF"/>
    <w:rsid w:val="00C61317"/>
    <w:rsid w:val="00C62B77"/>
    <w:rsid w:val="00CB281B"/>
    <w:rsid w:val="00CB4954"/>
    <w:rsid w:val="00CB588D"/>
    <w:rsid w:val="00CC2D91"/>
    <w:rsid w:val="00CC5143"/>
    <w:rsid w:val="00CF3B29"/>
    <w:rsid w:val="00D124D6"/>
    <w:rsid w:val="00D2239A"/>
    <w:rsid w:val="00D36767"/>
    <w:rsid w:val="00D5502E"/>
    <w:rsid w:val="00D83D27"/>
    <w:rsid w:val="00DA0A97"/>
    <w:rsid w:val="00DA503D"/>
    <w:rsid w:val="00DC08C0"/>
    <w:rsid w:val="00DC379E"/>
    <w:rsid w:val="00E01490"/>
    <w:rsid w:val="00E14051"/>
    <w:rsid w:val="00E67DA7"/>
    <w:rsid w:val="00E855A2"/>
    <w:rsid w:val="00E914C0"/>
    <w:rsid w:val="00EA57F6"/>
    <w:rsid w:val="00EA5A52"/>
    <w:rsid w:val="00EB550D"/>
    <w:rsid w:val="00EC2AD7"/>
    <w:rsid w:val="00ED4218"/>
    <w:rsid w:val="00ED62E4"/>
    <w:rsid w:val="00EF5CF1"/>
    <w:rsid w:val="00F000ED"/>
    <w:rsid w:val="00F05BDD"/>
    <w:rsid w:val="00F24DE6"/>
    <w:rsid w:val="00F24F5A"/>
    <w:rsid w:val="00F44B69"/>
    <w:rsid w:val="00F6775B"/>
    <w:rsid w:val="00F94276"/>
    <w:rsid w:val="00F976E4"/>
    <w:rsid w:val="00FB0D46"/>
    <w:rsid w:val="00FB6DFB"/>
    <w:rsid w:val="00FB758C"/>
    <w:rsid w:val="00FC10AA"/>
    <w:rsid w:val="00FC1E7F"/>
    <w:rsid w:val="00FC3D11"/>
    <w:rsid w:val="00FD094D"/>
    <w:rsid w:val="00FD2DC9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2937"/>
  <w15:chartTrackingRefBased/>
  <w15:docId w15:val="{69963427-BFC3-4181-A80A-A7DFA6EA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E0386"/>
    <w:pPr>
      <w:spacing w:line="276" w:lineRule="auto"/>
    </w:pPr>
    <w:rPr>
      <w:rFonts w:ascii="Verdana" w:hAnsi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5D12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D4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4D6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4D60"/>
    <w:rPr>
      <w:rFonts w:ascii="Verdana" w:hAnsi="Verdana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D60"/>
    <w:rPr>
      <w:rFonts w:ascii="Verdana" w:hAnsi="Verdana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EE93D9-F34C-4793-A349-0B7948804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6C937-DBA4-49D7-AD94-109446FAFB9B}"/>
</file>

<file path=customXml/itemProps3.xml><?xml version="1.0" encoding="utf-8"?>
<ds:datastoreItem xmlns:ds="http://schemas.openxmlformats.org/officeDocument/2006/customXml" ds:itemID="{BCB39DFE-8801-46E8-BB3B-9D7BF8E90F8D}"/>
</file>

<file path=customXml/itemProps4.xml><?xml version="1.0" encoding="utf-8"?>
<ds:datastoreItem xmlns:ds="http://schemas.openxmlformats.org/officeDocument/2006/customXml" ds:itemID="{7448A5F1-D88A-43BA-9805-C72E28406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2676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Daniel Eduardo Lozano Bocanegra</cp:lastModifiedBy>
  <cp:revision>2</cp:revision>
  <cp:lastPrinted>2019-01-25T16:36:00Z</cp:lastPrinted>
  <dcterms:created xsi:type="dcterms:W3CDTF">2026-05-21T20:03:00Z</dcterms:created>
  <dcterms:modified xsi:type="dcterms:W3CDTF">2026-05-21T20:03:00Z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