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2D5" w:rsidP="00AB22D5" w:rsidRDefault="00E75EEB" w14:paraId="4F8950BC" w14:textId="226A6CC0">
      <w:pPr>
        <w:spacing w:after="0" w:line="260" w:lineRule="exact"/>
        <w:jc w:val="center"/>
        <w:rPr>
          <w:rFonts w:ascii="Verdana" w:hAnsi="Verdana" w:cs="Arial"/>
          <w:b/>
        </w:rPr>
      </w:pPr>
      <w:bookmarkStart w:name="_Hlk190700865" w:id="0"/>
      <w:r>
        <w:rPr>
          <w:rFonts w:ascii="Verdana" w:hAnsi="Verdana" w:cs="Arial"/>
          <w:b/>
        </w:rPr>
        <w:t>CONCEPTO No. 4 DE 2025</w:t>
      </w:r>
    </w:p>
    <w:p w:rsidR="00E75EEB" w:rsidP="00AB22D5" w:rsidRDefault="00E75EEB" w14:paraId="4FBFDD34" w14:textId="77777777">
      <w:pPr>
        <w:spacing w:after="0" w:line="260" w:lineRule="exact"/>
        <w:jc w:val="center"/>
        <w:rPr>
          <w:rFonts w:ascii="Verdana" w:hAnsi="Verdana" w:cs="Arial"/>
          <w:b/>
        </w:rPr>
      </w:pPr>
    </w:p>
    <w:p w:rsidRPr="00E75EEB" w:rsidR="00E75EEB" w:rsidP="202D48B7" w:rsidRDefault="00E75EEB" w14:paraId="28AB7229" w14:textId="67248F01">
      <w:pPr>
        <w:spacing w:after="0" w:line="260" w:lineRule="exact"/>
        <w:jc w:val="center"/>
        <w:rPr>
          <w:rFonts w:ascii="Verdana" w:hAnsi="Verdana" w:cs="Arial"/>
          <w:b w:val="0"/>
          <w:bCs w:val="0"/>
          <w:lang w:val="pt-PT" w:eastAsia="es-ES_tradnl" w:bidi="x-none"/>
        </w:rPr>
      </w:pPr>
      <w:r w:rsidRPr="202D48B7" w:rsidR="00E75EEB">
        <w:rPr>
          <w:rFonts w:ascii="Verdana" w:hAnsi="Verdana" w:cs="Arial"/>
          <w:b w:val="0"/>
          <w:bCs w:val="0"/>
        </w:rPr>
        <w:t>(3 de julio)</w:t>
      </w:r>
    </w:p>
    <w:p w:rsidR="202D48B7" w:rsidP="202D48B7" w:rsidRDefault="202D48B7" w14:paraId="2A0B0709" w14:textId="39B79110">
      <w:pPr>
        <w:spacing w:after="0" w:line="260" w:lineRule="exact"/>
        <w:jc w:val="center"/>
        <w:rPr>
          <w:rFonts w:ascii="Verdana" w:hAnsi="Verdana" w:cs="Arial"/>
          <w:b w:val="1"/>
          <w:bCs w:val="1"/>
        </w:rPr>
      </w:pPr>
    </w:p>
    <w:p w:rsidR="0847C10E" w:rsidP="202D48B7" w:rsidRDefault="0847C10E" w14:paraId="7B815738" w14:textId="10B8CF41">
      <w:pPr>
        <w:spacing w:line="276" w:lineRule="auto"/>
        <w:jc w:val="center"/>
        <w:rPr>
          <w:rFonts w:ascii="Verdana" w:hAnsi="Verdana" w:eastAsia="Verdana" w:cs="Verdana"/>
          <w:noProof w:val="0"/>
          <w:sz w:val="22"/>
          <w:szCs w:val="22"/>
          <w:lang w:val="es-ES"/>
        </w:rPr>
      </w:pPr>
      <w:r w:rsidRPr="202D48B7" w:rsidR="0847C10E">
        <w:rPr>
          <w:rFonts w:ascii="Verdana" w:hAnsi="Verdana" w:eastAsia="Verdana" w:cs="Verdana"/>
          <w:b w:val="1"/>
          <w:bCs w:val="1"/>
          <w:i w:val="0"/>
          <w:iCs w:val="0"/>
          <w:caps w:val="0"/>
          <w:smallCaps w:val="0"/>
          <w:noProof w:val="0"/>
          <w:color w:val="000000" w:themeColor="text1" w:themeTint="FF" w:themeShade="FF"/>
          <w:sz w:val="22"/>
          <w:szCs w:val="22"/>
          <w:lang w:val="es-CO"/>
        </w:rPr>
        <w:t>INSTITUTO COLOMBIANO DE BIENESTAR FAMILIAR</w:t>
      </w:r>
    </w:p>
    <w:p w:rsidRPr="00E75EEB" w:rsidR="00AB22D5" w:rsidP="00AB22D5" w:rsidRDefault="00AB22D5" w14:paraId="61EB20D9" w14:textId="77777777">
      <w:pPr>
        <w:spacing w:after="0" w:line="260" w:lineRule="exact"/>
        <w:jc w:val="center"/>
        <w:rPr>
          <w:rFonts w:ascii="Verdana" w:hAnsi="Verdana" w:cs="Arial"/>
          <w:b/>
          <w:lang w:val="pt-PT"/>
        </w:rPr>
      </w:pPr>
    </w:p>
    <w:p w:rsidRPr="00E75EEB" w:rsidR="00AB22D5" w:rsidP="00AB22D5" w:rsidRDefault="00AB22D5" w14:paraId="14581BE5" w14:textId="77777777">
      <w:pPr>
        <w:spacing w:after="0" w:line="260" w:lineRule="exact"/>
        <w:rPr>
          <w:rFonts w:ascii="Verdana" w:hAnsi="Verdana" w:cs="Arial"/>
          <w:b/>
          <w:lang w:val="pt-PT"/>
        </w:rPr>
      </w:pPr>
    </w:p>
    <w:p w:rsidR="00AB22D5" w:rsidP="00D93541" w:rsidRDefault="00AB22D5" w14:paraId="1332EBB9" w14:textId="4C815958">
      <w:pPr>
        <w:widowControl w:val="0"/>
        <w:autoSpaceDE w:val="0"/>
        <w:autoSpaceDN w:val="0"/>
        <w:adjustRightInd w:val="0"/>
        <w:spacing w:after="0" w:line="240" w:lineRule="auto"/>
        <w:rPr>
          <w:rFonts w:ascii="Verdana" w:hAnsi="Verdana" w:eastAsia="Times New Roman" w:cs="Arial"/>
          <w:b/>
          <w:bCs/>
          <w:lang w:val="es-ES_tradnl" w:eastAsia="es-ES_tradnl" w:bidi="x-none"/>
        </w:rPr>
      </w:pPr>
      <w:r w:rsidRPr="00D9222C">
        <w:rPr>
          <w:rFonts w:ascii="Verdana" w:hAnsi="Verdana" w:eastAsia="Times New Roman" w:cs="Arial"/>
          <w:b/>
          <w:spacing w:val="-3"/>
          <w:lang w:val="es-ES_tradnl" w:eastAsia="es-ES"/>
        </w:rPr>
        <w:t xml:space="preserve">Para: </w:t>
      </w:r>
      <w:r w:rsidRPr="00D9222C">
        <w:rPr>
          <w:rFonts w:ascii="Verdana" w:hAnsi="Verdana" w:eastAsia="Times New Roman" w:cs="Arial"/>
          <w:b/>
          <w:spacing w:val="-3"/>
          <w:lang w:val="es-ES_tradnl" w:eastAsia="es-ES"/>
        </w:rPr>
        <w:tab/>
      </w:r>
      <w:r>
        <w:rPr>
          <w:rFonts w:ascii="Verdana" w:hAnsi="Verdana" w:eastAsia="Times New Roman" w:cs="Arial"/>
          <w:b/>
          <w:lang w:val="es-ES_tradnl" w:eastAsia="es-ES_tradnl" w:bidi="x-none"/>
        </w:rPr>
        <w:t xml:space="preserve"> </w:t>
      </w:r>
      <w:r w:rsidR="00744F70">
        <w:rPr>
          <w:rFonts w:ascii="Verdana" w:hAnsi="Verdana" w:eastAsia="Times New Roman" w:cs="Arial"/>
          <w:b/>
          <w:bCs/>
          <w:lang w:val="es-ES_tradnl" w:eastAsia="es-ES_tradnl" w:bidi="x-none"/>
        </w:rPr>
        <w:t xml:space="preserve">NAYA GUTIÉRREZ PINZÓN </w:t>
      </w:r>
    </w:p>
    <w:p w:rsidR="00AB22D5" w:rsidP="00D93541" w:rsidRDefault="00D93541" w14:paraId="2389CF48" w14:textId="148A4C7D">
      <w:pPr>
        <w:widowControl w:val="0"/>
        <w:autoSpaceDE w:val="0"/>
        <w:autoSpaceDN w:val="0"/>
        <w:adjustRightInd w:val="0"/>
        <w:spacing w:after="0" w:line="240" w:lineRule="auto"/>
        <w:ind w:left="720"/>
        <w:rPr>
          <w:rFonts w:ascii="Verdana" w:hAnsi="Verdana" w:eastAsia="Times New Roman" w:cs="Arial"/>
          <w:lang w:val="es-ES_tradnl" w:eastAsia="es-ES_tradnl" w:bidi="x-none"/>
        </w:rPr>
      </w:pPr>
      <w:r>
        <w:rPr>
          <w:rFonts w:ascii="Verdana" w:hAnsi="Verdana" w:eastAsia="Times New Roman" w:cs="Arial"/>
          <w:lang w:val="es-ES_tradnl" w:eastAsia="es-ES_tradnl" w:bidi="x-none"/>
        </w:rPr>
        <w:t xml:space="preserve"> </w:t>
      </w:r>
      <w:r w:rsidR="00AB22D5">
        <w:rPr>
          <w:rFonts w:ascii="Verdana" w:hAnsi="Verdana" w:eastAsia="Times New Roman" w:cs="Arial"/>
          <w:lang w:val="es-ES_tradnl" w:eastAsia="es-ES_tradnl" w:bidi="x-none"/>
        </w:rPr>
        <w:t xml:space="preserve">Directora </w:t>
      </w:r>
      <w:r w:rsidR="00744F70">
        <w:rPr>
          <w:rFonts w:ascii="Verdana" w:hAnsi="Verdana" w:eastAsia="Times New Roman" w:cs="Arial"/>
          <w:lang w:val="es-ES_tradnl" w:eastAsia="es-ES_tradnl" w:bidi="x-none"/>
        </w:rPr>
        <w:t>de Adolescencia y Juventud</w:t>
      </w:r>
    </w:p>
    <w:p w:rsidR="00AB22D5" w:rsidP="00D93541" w:rsidRDefault="00AB22D5" w14:paraId="78E1C409" w14:textId="77777777">
      <w:pPr>
        <w:widowControl w:val="0"/>
        <w:autoSpaceDE w:val="0"/>
        <w:autoSpaceDN w:val="0"/>
        <w:adjustRightInd w:val="0"/>
        <w:spacing w:after="0" w:line="240" w:lineRule="auto"/>
        <w:rPr>
          <w:rFonts w:ascii="Verdana" w:hAnsi="Verdana" w:eastAsia="Times New Roman" w:cs="Arial"/>
          <w:bCs/>
          <w:lang w:val="es-ES_tradnl" w:eastAsia="es-ES_tradnl" w:bidi="x-none"/>
        </w:rPr>
      </w:pPr>
    </w:p>
    <w:p w:rsidRPr="005F5B27" w:rsidR="00AB22D5" w:rsidP="00D93541" w:rsidRDefault="00AB22D5" w14:paraId="422A2771" w14:textId="4A8CC8B9">
      <w:pPr>
        <w:spacing w:line="240" w:lineRule="auto"/>
        <w:contextualSpacing/>
        <w:jc w:val="both"/>
        <w:rPr>
          <w:rFonts w:ascii="Verdana" w:hAnsi="Verdana" w:cs="Arial"/>
          <w:b/>
          <w:bCs/>
          <w:color w:val="000000"/>
        </w:rPr>
      </w:pPr>
      <w:r w:rsidRPr="36F5DFEE">
        <w:rPr>
          <w:rFonts w:ascii="Verdana" w:hAnsi="Verdana" w:cs="Arial"/>
          <w:b/>
          <w:bCs/>
        </w:rPr>
        <w:t>Asunto:</w:t>
      </w:r>
      <w:r>
        <w:tab/>
      </w:r>
      <w:r w:rsidRPr="00E86386">
        <w:rPr>
          <w:rFonts w:ascii="Verdana" w:hAnsi="Verdana" w:cs="Arial"/>
          <w:b/>
          <w:bCs/>
          <w:color w:val="000000"/>
        </w:rPr>
        <w:t xml:space="preserve">Concepto jurídico sobre </w:t>
      </w:r>
      <w:r w:rsidR="00D34B22">
        <w:rPr>
          <w:rFonts w:ascii="Verdana" w:hAnsi="Verdana" w:cs="Arial"/>
          <w:b/>
          <w:bCs/>
          <w:color w:val="000000"/>
        </w:rPr>
        <w:t>del D</w:t>
      </w:r>
      <w:r w:rsidRPr="00D34B22" w:rsidR="00D34B22">
        <w:rPr>
          <w:rFonts w:ascii="Verdana" w:hAnsi="Verdana" w:cs="Arial"/>
          <w:b/>
          <w:bCs/>
          <w:color w:val="000000"/>
        </w:rPr>
        <w:t>ecreto</w:t>
      </w:r>
      <w:r w:rsidR="00D34B22">
        <w:rPr>
          <w:rFonts w:ascii="Verdana" w:hAnsi="Verdana" w:cs="Arial"/>
          <w:b/>
          <w:bCs/>
          <w:color w:val="000000"/>
        </w:rPr>
        <w:t xml:space="preserve"> Legislativo</w:t>
      </w:r>
      <w:r w:rsidRPr="00D34B22" w:rsidR="00D34B22">
        <w:rPr>
          <w:rFonts w:ascii="Verdana" w:hAnsi="Verdana" w:cs="Arial"/>
          <w:b/>
          <w:bCs/>
          <w:color w:val="000000"/>
        </w:rPr>
        <w:t xml:space="preserve"> 0062 de enero de 2025, "</w:t>
      </w:r>
      <w:r w:rsidRPr="00975FBB" w:rsidR="00D34B22">
        <w:rPr>
          <w:rFonts w:ascii="Verdana" w:hAnsi="Verdana" w:cs="Arial"/>
          <w:b/>
          <w:bCs/>
          <w:i/>
          <w:iCs/>
          <w:color w:val="000000"/>
        </w:rPr>
        <w:t>Por el cual se decreta el estado de conmoción interior en la región del Catatumbo, los municipios del área metropolitana de Cúcuta y los municipios de Río de Oro</w:t>
      </w:r>
      <w:r w:rsidR="00D675D4">
        <w:rPr>
          <w:rFonts w:ascii="Verdana" w:hAnsi="Verdana" w:cs="Arial"/>
          <w:b/>
          <w:bCs/>
          <w:i/>
          <w:iCs/>
          <w:color w:val="000000"/>
        </w:rPr>
        <w:t xml:space="preserve"> </w:t>
      </w:r>
      <w:r w:rsidRPr="00975FBB" w:rsidR="00D34B22">
        <w:rPr>
          <w:rFonts w:ascii="Verdana" w:hAnsi="Verdana" w:cs="Arial"/>
          <w:b/>
          <w:bCs/>
          <w:i/>
          <w:iCs/>
          <w:color w:val="000000"/>
        </w:rPr>
        <w:t>y González del departamento del Cesar</w:t>
      </w:r>
      <w:r w:rsidRPr="00D34B22" w:rsidR="00D34B22">
        <w:rPr>
          <w:rFonts w:ascii="Verdana" w:hAnsi="Verdana" w:cs="Arial"/>
          <w:b/>
          <w:bCs/>
          <w:color w:val="000000"/>
        </w:rPr>
        <w:t>"</w:t>
      </w:r>
      <w:r w:rsidR="005F5B27">
        <w:rPr>
          <w:rFonts w:ascii="Verdana" w:hAnsi="Verdana" w:cs="Arial"/>
          <w:b/>
          <w:bCs/>
          <w:color w:val="000000"/>
        </w:rPr>
        <w:t>.</w:t>
      </w:r>
    </w:p>
    <w:p w:rsidRPr="002F7327" w:rsidR="00AB22D5" w:rsidP="00D93541" w:rsidRDefault="00AB22D5" w14:paraId="6637DEC2" w14:textId="77777777">
      <w:pPr>
        <w:spacing w:line="240" w:lineRule="auto"/>
        <w:contextualSpacing/>
        <w:jc w:val="both"/>
        <w:rPr>
          <w:rFonts w:ascii="Verdana" w:hAnsi="Verdana" w:cs="Arial"/>
          <w:color w:val="000000"/>
        </w:rPr>
      </w:pPr>
    </w:p>
    <w:p w:rsidRPr="002F7327" w:rsidR="00AB22D5" w:rsidP="202D48B7" w:rsidRDefault="00AB22D5" w14:paraId="0869A7F9" w14:textId="77777777">
      <w:pPr>
        <w:spacing w:line="240" w:lineRule="auto"/>
        <w:ind w:left="1418" w:hanging="1418"/>
        <w:jc w:val="both"/>
        <w:rPr>
          <w:rFonts w:ascii="Verdana" w:hAnsi="Verdana" w:eastAsia="Times New Roman" w:cs="Arial"/>
          <w:lang w:val="es-ES" w:eastAsia="es-ES" w:bidi="en-US"/>
        </w:rPr>
      </w:pPr>
      <w:r w:rsidRPr="202D48B7" w:rsidR="00AB22D5">
        <w:rPr>
          <w:rFonts w:ascii="Verdana" w:hAnsi="Verdana" w:eastAsia="Times New Roman" w:cs="Arial"/>
          <w:lang w:val="es-ES" w:eastAsia="es-ES" w:bidi="en-US"/>
        </w:rPr>
        <w:t xml:space="preserve">Respetada </w:t>
      </w:r>
      <w:r w:rsidRPr="202D48B7" w:rsidR="00AB22D5">
        <w:rPr>
          <w:rFonts w:ascii="Verdana" w:hAnsi="Verdana" w:eastAsia="Times New Roman" w:cs="Arial"/>
          <w:lang w:val="es-ES" w:eastAsia="es-ES" w:bidi="en-US"/>
        </w:rPr>
        <w:t>Directora</w:t>
      </w:r>
      <w:r w:rsidRPr="202D48B7" w:rsidR="00AB22D5">
        <w:rPr>
          <w:rFonts w:ascii="Verdana" w:hAnsi="Verdana" w:eastAsia="Times New Roman" w:cs="Arial"/>
          <w:lang w:val="es-ES" w:eastAsia="es-ES" w:bidi="en-US"/>
        </w:rPr>
        <w:t xml:space="preserve">, </w:t>
      </w:r>
    </w:p>
    <w:bookmarkEnd w:id="0"/>
    <w:p w:rsidRPr="0086022D" w:rsidR="00571F15" w:rsidP="00D93541" w:rsidRDefault="00AB22D5" w14:paraId="578E1248" w14:textId="4392328A">
      <w:pPr>
        <w:spacing w:line="240" w:lineRule="auto"/>
        <w:jc w:val="both"/>
        <w:rPr>
          <w:rFonts w:ascii="Verdana" w:hAnsi="Verdana" w:cs="Arial"/>
          <w:lang w:val="es-CO"/>
        </w:rPr>
      </w:pPr>
      <w:r w:rsidRPr="002501EF">
        <w:rPr>
          <w:rFonts w:ascii="Verdana" w:hAnsi="Verdana" w:cs="Arial"/>
          <w:lang w:val="es-CO"/>
        </w:rPr>
        <w:t xml:space="preserve">La Oficina Asesora Jurídica, de conformidad con lo solicitado mediante </w:t>
      </w:r>
      <w:r w:rsidR="009E3F51">
        <w:rPr>
          <w:rFonts w:ascii="Verdana" w:hAnsi="Verdana" w:cs="Arial"/>
          <w:lang w:val="es-CO"/>
        </w:rPr>
        <w:t xml:space="preserve">correo electrónico el </w:t>
      </w:r>
      <w:r w:rsidR="00284661">
        <w:rPr>
          <w:rFonts w:ascii="Verdana" w:hAnsi="Verdana" w:cs="Arial"/>
          <w:lang w:val="es-CO"/>
        </w:rPr>
        <w:t>28 de abril de 2025</w:t>
      </w:r>
      <w:r w:rsidRPr="002501EF">
        <w:rPr>
          <w:rFonts w:ascii="Verdana" w:hAnsi="Verdana" w:cs="Arial"/>
          <w:lang w:val="es-CO"/>
        </w:rPr>
        <w:t>, de manera atenta y de conformidad con lo previsto en los artículos 26 del Código Civil, Ley 1755 de 2015, y el artículo 6, numeral 4, del Decreto 987 de 2012 se permite emitir concepto en los siguientes términos</w:t>
      </w:r>
      <w:r>
        <w:rPr>
          <w:rFonts w:ascii="Verdana" w:hAnsi="Verdana" w:cs="Arial"/>
          <w:lang w:val="es-CO"/>
        </w:rPr>
        <w:t>.</w:t>
      </w:r>
    </w:p>
    <w:p w:rsidRPr="003B5DC0" w:rsidR="00F01D3B" w:rsidP="003B5DC0" w:rsidRDefault="00AB22D5" w14:paraId="40007438" w14:textId="38A1C874">
      <w:pPr>
        <w:spacing w:line="240" w:lineRule="auto"/>
        <w:jc w:val="both"/>
        <w:rPr>
          <w:rFonts w:ascii="Verdana" w:hAnsi="Verdana" w:cs="Arial"/>
          <w:lang w:val="es-CO"/>
        </w:rPr>
      </w:pPr>
      <w:r w:rsidRPr="004704A8">
        <w:rPr>
          <w:rFonts w:ascii="Verdana" w:hAnsi="Verdana" w:cs="Arial"/>
          <w:b/>
          <w:bCs/>
          <w:lang w:val="es-CO"/>
        </w:rPr>
        <w:t xml:space="preserve">1. </w:t>
      </w:r>
      <w:r w:rsidRPr="001E17C9">
        <w:rPr>
          <w:rFonts w:ascii="Verdana" w:hAnsi="Verdana" w:cs="Arial"/>
          <w:b/>
          <w:bCs/>
          <w:lang w:val="es-CO"/>
        </w:rPr>
        <w:t>Problema jurídico:</w:t>
      </w:r>
      <w:r w:rsidRPr="001E17C9">
        <w:rPr>
          <w:rFonts w:ascii="Verdana" w:hAnsi="Verdana" w:cs="Arial"/>
          <w:lang w:val="es-CO"/>
        </w:rPr>
        <w:t xml:space="preserve"> </w:t>
      </w:r>
    </w:p>
    <w:p w:rsidRPr="0086022D" w:rsidR="0084765B" w:rsidP="0086022D" w:rsidRDefault="00EE0A90" w14:paraId="6E5DE3B8" w14:textId="48EF2F53">
      <w:pPr>
        <w:pStyle w:val="Prrafodelista"/>
        <w:numPr>
          <w:ilvl w:val="0"/>
          <w:numId w:val="1"/>
        </w:numPr>
        <w:spacing w:line="240" w:lineRule="auto"/>
        <w:jc w:val="both"/>
        <w:rPr>
          <w:rFonts w:ascii="Verdana" w:hAnsi="Verdana" w:cs="Arial"/>
          <w:i/>
          <w:iCs/>
          <w:lang w:val="es-CO"/>
        </w:rPr>
      </w:pPr>
      <w:r w:rsidRPr="00EE0A90">
        <w:rPr>
          <w:rFonts w:ascii="Verdana" w:hAnsi="Verdana" w:cs="Arial"/>
          <w:lang w:val="es-CO"/>
        </w:rPr>
        <w:t>“</w:t>
      </w:r>
      <w:r w:rsidRPr="00EE0A90" w:rsidR="00F855B1">
        <w:rPr>
          <w:rFonts w:ascii="Verdana" w:hAnsi="Verdana" w:cs="Arial"/>
          <w:i/>
          <w:iCs/>
          <w:lang w:val="es-CO"/>
        </w:rPr>
        <w:t>¿</w:t>
      </w:r>
      <w:r w:rsidRPr="00EE0A90" w:rsidR="00417DD7">
        <w:rPr>
          <w:rFonts w:ascii="Verdana" w:hAnsi="Verdana" w:cs="Arial"/>
          <w:i/>
          <w:iCs/>
        </w:rPr>
        <w:t>Es posible la utilización de los recursos asignados aun cuando la emergencia fue terminada por el presidente o si es posible que las disposiciones que quedaron vigentes sirvan como sustento para la utilización de estos recursos?</w:t>
      </w:r>
      <w:r w:rsidRPr="00EE0A90">
        <w:rPr>
          <w:rFonts w:ascii="Verdana" w:hAnsi="Verdana" w:cs="Arial"/>
        </w:rPr>
        <w:t>”</w:t>
      </w:r>
      <w:r w:rsidRPr="00EE0A90" w:rsidR="00AB22D5">
        <w:rPr>
          <w:rFonts w:ascii="Verdana" w:hAnsi="Verdana" w:cs="Arial"/>
          <w:b/>
          <w:bCs/>
          <w:lang w:val="es-CO"/>
        </w:rPr>
        <w:t xml:space="preserve"> </w:t>
      </w:r>
    </w:p>
    <w:p w:rsidR="00571F15" w:rsidP="00D93541" w:rsidRDefault="00571F15" w14:paraId="31F41A77" w14:textId="77777777">
      <w:pPr>
        <w:pStyle w:val="Prrafodelista"/>
        <w:spacing w:line="240" w:lineRule="auto"/>
        <w:jc w:val="both"/>
        <w:rPr>
          <w:rFonts w:ascii="Verdana" w:hAnsi="Verdana" w:cs="Arial"/>
          <w:b/>
          <w:bCs/>
          <w:lang w:val="es-CO"/>
        </w:rPr>
      </w:pPr>
    </w:p>
    <w:p w:rsidR="00AB22D5" w:rsidP="00D93541" w:rsidRDefault="0084765B" w14:paraId="6E0B6DF4" w14:textId="778BD171">
      <w:pPr>
        <w:pStyle w:val="Prrafodelista"/>
        <w:spacing w:line="240" w:lineRule="auto"/>
        <w:jc w:val="both"/>
        <w:rPr>
          <w:rFonts w:ascii="Verdana" w:hAnsi="Verdana" w:cs="Arial"/>
          <w:b/>
          <w:bCs/>
          <w:lang w:val="es-CO"/>
        </w:rPr>
      </w:pPr>
      <w:r>
        <w:rPr>
          <w:rFonts w:ascii="Verdana" w:hAnsi="Verdana" w:cs="Arial"/>
          <w:b/>
          <w:bCs/>
          <w:lang w:val="es-CO"/>
        </w:rPr>
        <w:t xml:space="preserve">2. </w:t>
      </w:r>
      <w:r w:rsidRPr="0084765B" w:rsidR="00AB22D5">
        <w:rPr>
          <w:rFonts w:ascii="Verdana" w:hAnsi="Verdana" w:cs="Arial"/>
          <w:b/>
          <w:bCs/>
          <w:lang w:val="es-CO"/>
        </w:rPr>
        <w:t>Antecedentes:</w:t>
      </w:r>
    </w:p>
    <w:p w:rsidR="00CA1532" w:rsidP="00D93541" w:rsidRDefault="00AB22D5" w14:paraId="5766B2E3" w14:textId="681979C1">
      <w:pPr>
        <w:spacing w:line="240" w:lineRule="auto"/>
        <w:jc w:val="both"/>
        <w:rPr>
          <w:rFonts w:ascii="Verdana" w:hAnsi="Verdana" w:cs="Arial"/>
          <w:color w:val="000000"/>
          <w:lang w:val="es-CO"/>
        </w:rPr>
      </w:pPr>
      <w:r>
        <w:rPr>
          <w:rFonts w:ascii="Verdana" w:hAnsi="Verdana" w:cs="Arial"/>
          <w:color w:val="000000"/>
        </w:rPr>
        <w:t>E</w:t>
      </w:r>
      <w:r>
        <w:rPr>
          <w:rFonts w:ascii="Verdana" w:hAnsi="Verdana" w:cs="Arial"/>
          <w:color w:val="000000"/>
          <w:lang w:val="es-CO"/>
        </w:rPr>
        <w:t xml:space="preserve">l </w:t>
      </w:r>
      <w:r w:rsidR="00913A61">
        <w:rPr>
          <w:rFonts w:ascii="Verdana" w:hAnsi="Verdana" w:cs="Arial"/>
          <w:color w:val="000000"/>
          <w:lang w:val="es-CO"/>
        </w:rPr>
        <w:t>28 de abril de</w:t>
      </w:r>
      <w:r>
        <w:rPr>
          <w:rFonts w:ascii="Verdana" w:hAnsi="Verdana" w:cs="Arial"/>
          <w:color w:val="000000"/>
          <w:lang w:val="es-CO"/>
        </w:rPr>
        <w:t xml:space="preserve"> 2025 la Dirección a su cargo planteó un interrogante sobre</w:t>
      </w:r>
      <w:r w:rsidR="00913A61">
        <w:rPr>
          <w:rFonts w:ascii="Verdana" w:hAnsi="Verdana" w:cs="Arial"/>
          <w:color w:val="000000"/>
          <w:lang w:val="es-CO"/>
        </w:rPr>
        <w:t xml:space="preserve"> la utilización de recursos asignados durante la vigencia del estado de conmoción interior</w:t>
      </w:r>
      <w:r w:rsidR="00830F6B">
        <w:rPr>
          <w:rFonts w:ascii="Verdana" w:hAnsi="Verdana" w:cs="Arial"/>
          <w:color w:val="000000"/>
          <w:lang w:val="es-CO"/>
        </w:rPr>
        <w:t xml:space="preserve">. </w:t>
      </w:r>
      <w:r>
        <w:rPr>
          <w:rFonts w:ascii="Verdana" w:hAnsi="Verdana" w:cs="Arial"/>
          <w:color w:val="000000"/>
        </w:rPr>
        <w:t xml:space="preserve">Con el propósito de resolver ese cuestionamiento, la OAJ procederá a explicar brevemente algunos aspectos sobre </w:t>
      </w:r>
      <w:r w:rsidR="004A3E3D">
        <w:rPr>
          <w:rFonts w:ascii="Verdana" w:hAnsi="Verdana" w:cs="Arial"/>
          <w:color w:val="000000"/>
        </w:rPr>
        <w:t>la naturaleza del estado de excepción</w:t>
      </w:r>
      <w:r w:rsidR="002E0E17">
        <w:rPr>
          <w:rFonts w:ascii="Verdana" w:hAnsi="Verdana" w:cs="Arial"/>
          <w:color w:val="000000"/>
        </w:rPr>
        <w:t xml:space="preserve"> de conmoción interior</w:t>
      </w:r>
      <w:r w:rsidR="004A3E3D">
        <w:rPr>
          <w:rFonts w:ascii="Verdana" w:hAnsi="Verdana" w:cs="Arial"/>
          <w:color w:val="000000"/>
        </w:rPr>
        <w:t xml:space="preserve">, </w:t>
      </w:r>
      <w:r w:rsidR="006A60AC">
        <w:rPr>
          <w:rFonts w:ascii="Verdana" w:hAnsi="Verdana" w:cs="Arial"/>
          <w:color w:val="000000"/>
        </w:rPr>
        <w:t xml:space="preserve">las reglas sobre el uso de los recursos en el marco de los estados de excepción, </w:t>
      </w:r>
      <w:r>
        <w:rPr>
          <w:rFonts w:ascii="Verdana" w:hAnsi="Verdana" w:cs="Arial"/>
          <w:color w:val="000000"/>
        </w:rPr>
        <w:t>el alcance de</w:t>
      </w:r>
      <w:r w:rsidR="00830F6B">
        <w:rPr>
          <w:rFonts w:ascii="Verdana" w:hAnsi="Verdana" w:cs="Arial"/>
          <w:color w:val="000000"/>
        </w:rPr>
        <w:t>l Decreto Legislativo</w:t>
      </w:r>
      <w:r w:rsidR="004A3E3D">
        <w:rPr>
          <w:rFonts w:ascii="Verdana" w:hAnsi="Verdana" w:cs="Arial"/>
          <w:color w:val="000000"/>
        </w:rPr>
        <w:t xml:space="preserve"> </w:t>
      </w:r>
      <w:r w:rsidR="00A70ED4">
        <w:rPr>
          <w:rFonts w:ascii="Verdana" w:hAnsi="Verdana" w:cs="Arial"/>
          <w:color w:val="000000"/>
        </w:rPr>
        <w:t>062 de</w:t>
      </w:r>
      <w:r w:rsidR="008168E5">
        <w:rPr>
          <w:rFonts w:ascii="Verdana" w:hAnsi="Verdana" w:cs="Arial"/>
          <w:color w:val="000000"/>
        </w:rPr>
        <w:t xml:space="preserve"> 2025 </w:t>
      </w:r>
      <w:r w:rsidR="004A3E3D">
        <w:rPr>
          <w:rFonts w:ascii="Verdana" w:hAnsi="Verdana" w:cs="Arial"/>
          <w:color w:val="000000"/>
        </w:rPr>
        <w:t xml:space="preserve">y su </w:t>
      </w:r>
      <w:proofErr w:type="spellStart"/>
      <w:r w:rsidR="008168E5">
        <w:rPr>
          <w:rFonts w:ascii="Verdana" w:hAnsi="Verdana" w:cs="Arial"/>
          <w:color w:val="000000"/>
        </w:rPr>
        <w:t>exequibildiad</w:t>
      </w:r>
      <w:proofErr w:type="spellEnd"/>
      <w:r w:rsidR="008168E5">
        <w:rPr>
          <w:rFonts w:ascii="Verdana" w:hAnsi="Verdana" w:cs="Arial"/>
          <w:color w:val="000000"/>
        </w:rPr>
        <w:t xml:space="preserve"> parcial</w:t>
      </w:r>
      <w:r>
        <w:rPr>
          <w:rFonts w:ascii="Verdana" w:hAnsi="Verdana" w:cs="Arial"/>
          <w:color w:val="000000"/>
        </w:rPr>
        <w:t xml:space="preserve">, </w:t>
      </w:r>
      <w:r w:rsidR="008168E5">
        <w:rPr>
          <w:rFonts w:ascii="Verdana" w:hAnsi="Verdana" w:cs="Arial"/>
          <w:color w:val="000000"/>
        </w:rPr>
        <w:t>así como de</w:t>
      </w:r>
      <w:r w:rsidR="00BD32EE">
        <w:rPr>
          <w:rFonts w:ascii="Verdana" w:hAnsi="Verdana" w:cs="Arial"/>
          <w:color w:val="000000"/>
        </w:rPr>
        <w:t xml:space="preserve"> </w:t>
      </w:r>
      <w:r w:rsidR="008168E5">
        <w:rPr>
          <w:rFonts w:ascii="Verdana" w:hAnsi="Verdana" w:cs="Arial"/>
          <w:color w:val="000000"/>
        </w:rPr>
        <w:t>l</w:t>
      </w:r>
      <w:r w:rsidR="00BD32EE">
        <w:rPr>
          <w:rFonts w:ascii="Verdana" w:hAnsi="Verdana" w:cs="Arial"/>
          <w:color w:val="000000"/>
        </w:rPr>
        <w:t>os</w:t>
      </w:r>
      <w:r w:rsidR="008168E5">
        <w:rPr>
          <w:rFonts w:ascii="Verdana" w:hAnsi="Verdana" w:cs="Arial"/>
          <w:color w:val="000000"/>
        </w:rPr>
        <w:t xml:space="preserve"> Decreto </w:t>
      </w:r>
      <w:r w:rsidR="00F01D3B">
        <w:rPr>
          <w:rFonts w:ascii="Verdana" w:hAnsi="Verdana" w:cs="Arial"/>
          <w:color w:val="000000"/>
        </w:rPr>
        <w:t>274</w:t>
      </w:r>
      <w:r w:rsidR="00A2516F">
        <w:rPr>
          <w:rFonts w:ascii="Verdana" w:hAnsi="Verdana" w:cs="Arial"/>
          <w:color w:val="000000"/>
        </w:rPr>
        <w:t xml:space="preserve"> y </w:t>
      </w:r>
      <w:r w:rsidR="006A60AC">
        <w:rPr>
          <w:rFonts w:ascii="Verdana" w:hAnsi="Verdana" w:cs="Arial"/>
          <w:color w:val="000000"/>
        </w:rPr>
        <w:t>433</w:t>
      </w:r>
      <w:r w:rsidR="00BD32EE">
        <w:rPr>
          <w:rFonts w:ascii="Verdana" w:hAnsi="Verdana" w:cs="Arial"/>
          <w:color w:val="000000"/>
        </w:rPr>
        <w:t xml:space="preserve"> de 2025</w:t>
      </w:r>
      <w:r w:rsidR="008168E5">
        <w:rPr>
          <w:rFonts w:ascii="Verdana" w:hAnsi="Verdana" w:cs="Arial"/>
          <w:color w:val="000000"/>
        </w:rPr>
        <w:t xml:space="preserve">, </w:t>
      </w:r>
      <w:r>
        <w:rPr>
          <w:rFonts w:ascii="Verdana" w:hAnsi="Verdana" w:cs="Arial"/>
          <w:color w:val="000000"/>
        </w:rPr>
        <w:t xml:space="preserve">para terminar con una conclusión donde se plasmará </w:t>
      </w:r>
      <w:r>
        <w:rPr>
          <w:rFonts w:ascii="Verdana" w:hAnsi="Verdana" w:cs="Arial"/>
          <w:color w:val="000000"/>
          <w:lang w:val="es-CO"/>
        </w:rPr>
        <w:t xml:space="preserve">la posición jurídica de esta oficina. </w:t>
      </w:r>
    </w:p>
    <w:p w:rsidR="00571F15" w:rsidP="00D93541" w:rsidRDefault="00571F15" w14:paraId="7C554887" w14:textId="77777777">
      <w:pPr>
        <w:spacing w:line="240" w:lineRule="auto"/>
        <w:jc w:val="both"/>
        <w:rPr>
          <w:rFonts w:ascii="Verdana" w:hAnsi="Verdana" w:cs="Arial"/>
          <w:color w:val="000000"/>
          <w:lang w:val="es-CO"/>
        </w:rPr>
      </w:pPr>
    </w:p>
    <w:p w:rsidRPr="00A5690D" w:rsidR="00C72164" w:rsidP="00D93541" w:rsidRDefault="00AB22D5" w14:paraId="05CBECC7" w14:textId="5A197A38">
      <w:pPr>
        <w:spacing w:line="240" w:lineRule="auto"/>
        <w:jc w:val="both"/>
        <w:rPr>
          <w:rFonts w:ascii="Verdana" w:hAnsi="Verdana" w:cs="Arial"/>
          <w:b/>
          <w:bCs/>
          <w:color w:val="000000"/>
          <w:lang w:val="es-CO"/>
        </w:rPr>
      </w:pPr>
      <w:r>
        <w:rPr>
          <w:rFonts w:ascii="Verdana" w:hAnsi="Verdana" w:cs="Arial"/>
          <w:b/>
          <w:bCs/>
          <w:color w:val="000000"/>
          <w:lang w:val="es-CO"/>
        </w:rPr>
        <w:t>3. Consideraciones jurídicas</w:t>
      </w:r>
      <w:r w:rsidR="00921CDD">
        <w:rPr>
          <w:rFonts w:ascii="Verdana" w:hAnsi="Verdana" w:cs="Arial"/>
          <w:b/>
          <w:bCs/>
          <w:color w:val="000000"/>
          <w:lang w:val="es-CO"/>
        </w:rPr>
        <w:t>:</w:t>
      </w:r>
      <w:r>
        <w:rPr>
          <w:rFonts w:ascii="Verdana" w:hAnsi="Verdana" w:cs="Arial"/>
          <w:b/>
          <w:bCs/>
          <w:color w:val="000000"/>
          <w:lang w:val="es-CO"/>
        </w:rPr>
        <w:t xml:space="preserve"> </w:t>
      </w:r>
    </w:p>
    <w:p w:rsidR="00AB22D5" w:rsidP="00D93541" w:rsidRDefault="00AB22D5" w14:paraId="17D59326" w14:textId="317F2818">
      <w:pPr>
        <w:spacing w:line="240" w:lineRule="auto"/>
        <w:jc w:val="both"/>
        <w:rPr>
          <w:rFonts w:ascii="Verdana" w:hAnsi="Verdana" w:cs="Arial"/>
          <w:color w:val="000000"/>
        </w:rPr>
      </w:pPr>
      <w:r>
        <w:rPr>
          <w:rFonts w:ascii="Verdana" w:hAnsi="Verdana" w:cs="Arial"/>
          <w:b/>
          <w:bCs/>
          <w:color w:val="000000"/>
        </w:rPr>
        <w:t xml:space="preserve">3.1. </w:t>
      </w:r>
      <w:r w:rsidR="00680A7D">
        <w:rPr>
          <w:rFonts w:ascii="Verdana" w:hAnsi="Verdana" w:cs="Arial"/>
          <w:b/>
          <w:bCs/>
          <w:color w:val="000000"/>
        </w:rPr>
        <w:t>Sobre los estados de excepción</w:t>
      </w:r>
      <w:r w:rsidR="00921CDD">
        <w:rPr>
          <w:rFonts w:ascii="Verdana" w:hAnsi="Verdana" w:cs="Arial"/>
          <w:b/>
          <w:bCs/>
          <w:color w:val="000000"/>
        </w:rPr>
        <w:t>.</w:t>
      </w:r>
      <w:r w:rsidR="00680A7D">
        <w:rPr>
          <w:rFonts w:ascii="Verdana" w:hAnsi="Verdana" w:cs="Arial"/>
          <w:b/>
          <w:bCs/>
          <w:color w:val="000000"/>
        </w:rPr>
        <w:t xml:space="preserve"> </w:t>
      </w:r>
    </w:p>
    <w:p w:rsidR="00AB22D5" w:rsidP="00D93541" w:rsidRDefault="00E229E4" w14:paraId="14FE60C7" w14:textId="6336FB69">
      <w:pPr>
        <w:spacing w:line="240" w:lineRule="auto"/>
        <w:jc w:val="both"/>
        <w:rPr>
          <w:rFonts w:ascii="Verdana" w:hAnsi="Verdana" w:cs="Arial"/>
          <w:color w:val="000000"/>
        </w:rPr>
      </w:pPr>
      <w:r>
        <w:rPr>
          <w:rFonts w:ascii="Verdana" w:hAnsi="Verdana" w:cs="Arial"/>
          <w:color w:val="000000"/>
        </w:rPr>
        <w:t>El art</w:t>
      </w:r>
      <w:r w:rsidR="00221FE5">
        <w:rPr>
          <w:rFonts w:ascii="Verdana" w:hAnsi="Verdana" w:cs="Arial"/>
          <w:color w:val="000000"/>
          <w:lang w:val="es-CO"/>
        </w:rPr>
        <w:t>ículo 213 de la Constitución Política de Colombia</w:t>
      </w:r>
      <w:r w:rsidR="003538B5">
        <w:rPr>
          <w:rFonts w:ascii="Verdana" w:hAnsi="Verdana" w:cs="Arial"/>
          <w:color w:val="000000"/>
          <w:lang w:val="es-CO"/>
        </w:rPr>
        <w:t xml:space="preserve"> dispone que cuando exista </w:t>
      </w:r>
      <w:r w:rsidRPr="00451E2C" w:rsidR="00451E2C">
        <w:rPr>
          <w:rFonts w:ascii="Verdana" w:hAnsi="Verdana" w:cs="Arial"/>
          <w:color w:val="000000"/>
          <w:lang w:val="es-CO"/>
        </w:rPr>
        <w:t>“</w:t>
      </w:r>
      <w:r w:rsidRPr="00451E2C" w:rsidR="003538B5">
        <w:rPr>
          <w:rFonts w:ascii="Verdana" w:hAnsi="Verdana" w:cs="Arial"/>
          <w:i/>
          <w:iCs/>
          <w:color w:val="000000"/>
          <w:lang w:val="es-CO"/>
        </w:rPr>
        <w:t xml:space="preserve">una grave perturbación del orden público </w:t>
      </w:r>
      <w:r w:rsidRPr="00451E2C" w:rsidR="00451E2C">
        <w:rPr>
          <w:rFonts w:ascii="Verdana" w:hAnsi="Verdana" w:cs="Arial"/>
          <w:i/>
          <w:iCs/>
          <w:color w:val="000000"/>
          <w:lang w:val="es-CO"/>
        </w:rPr>
        <w:t>q</w:t>
      </w:r>
      <w:proofErr w:type="spellStart"/>
      <w:r w:rsidRPr="00451E2C" w:rsidR="00451E2C">
        <w:rPr>
          <w:rFonts w:ascii="Verdana" w:hAnsi="Verdana" w:cs="Arial"/>
          <w:i/>
          <w:iCs/>
          <w:color w:val="000000"/>
        </w:rPr>
        <w:t>ue</w:t>
      </w:r>
      <w:proofErr w:type="spellEnd"/>
      <w:r w:rsidRPr="00451E2C" w:rsidR="00451E2C">
        <w:rPr>
          <w:rFonts w:ascii="Verdana" w:hAnsi="Verdana" w:cs="Arial"/>
          <w:i/>
          <w:iCs/>
          <w:color w:val="000000"/>
        </w:rPr>
        <w:t xml:space="preserve"> atente de manera inminente contra la estabilidad institucional, la seguridad del Estado, o la convivencia ciudadana, y </w:t>
      </w:r>
      <w:r w:rsidRPr="00451E2C" w:rsidR="00451E2C">
        <w:rPr>
          <w:rFonts w:ascii="Verdana" w:hAnsi="Verdana" w:cs="Arial"/>
          <w:i/>
          <w:iCs/>
          <w:color w:val="000000"/>
        </w:rPr>
        <w:lastRenderedPageBreak/>
        <w:t>que no pueda ser conjurada mediante el uso de las atribuciones ordinarias de las autoridades de Policía, el Presidente de la República, con la firma de todos los ministros, podrá declarar el Estado de Conmoción Interior, en toda la República o parte de ella, por término no mayor de noventa días, prorrogable hasta por dos períodos iguales, el segundo de los cuales requiere concepto previo y favorable del Senado de la República</w:t>
      </w:r>
      <w:r w:rsidR="00451E2C">
        <w:rPr>
          <w:rFonts w:ascii="Verdana" w:hAnsi="Verdana" w:cs="Arial"/>
          <w:color w:val="000000"/>
        </w:rPr>
        <w:t>”</w:t>
      </w:r>
      <w:r w:rsidRPr="00451E2C" w:rsidR="00451E2C">
        <w:rPr>
          <w:rFonts w:ascii="Verdana" w:hAnsi="Verdana" w:cs="Arial"/>
          <w:color w:val="000000"/>
        </w:rPr>
        <w:t>. </w:t>
      </w:r>
      <w:r w:rsidR="004E181B">
        <w:rPr>
          <w:rFonts w:ascii="Verdana" w:hAnsi="Verdana" w:cs="Arial"/>
          <w:color w:val="000000"/>
        </w:rPr>
        <w:t xml:space="preserve">La declaración descrita habilita </w:t>
      </w:r>
      <w:r w:rsidR="007C2464">
        <w:rPr>
          <w:rFonts w:ascii="Verdana" w:hAnsi="Verdana" w:cs="Arial"/>
          <w:color w:val="000000"/>
        </w:rPr>
        <w:t xml:space="preserve">facultades legislativas temporales al Gobierno Nacional </w:t>
      </w:r>
      <w:r w:rsidR="0023263C">
        <w:rPr>
          <w:rFonts w:ascii="Verdana" w:hAnsi="Verdana" w:cs="Arial"/>
          <w:color w:val="000000"/>
        </w:rPr>
        <w:t>con el propósito de conjurar la crisis</w:t>
      </w:r>
      <w:r w:rsidR="009B0857">
        <w:rPr>
          <w:rFonts w:ascii="Verdana" w:hAnsi="Verdana" w:cs="Arial"/>
          <w:color w:val="000000"/>
        </w:rPr>
        <w:t xml:space="preserve">. Los decretos </w:t>
      </w:r>
      <w:r w:rsidR="0042478B">
        <w:rPr>
          <w:rFonts w:ascii="Verdana" w:hAnsi="Verdana" w:cs="Arial"/>
          <w:color w:val="000000"/>
        </w:rPr>
        <w:t xml:space="preserve">legislativos que sean expedidos en este contexto estarán vigentes </w:t>
      </w:r>
      <w:r w:rsidR="008E73E8">
        <w:rPr>
          <w:rFonts w:ascii="Verdana" w:hAnsi="Verdana" w:cs="Arial"/>
          <w:color w:val="000000"/>
        </w:rPr>
        <w:t xml:space="preserve">hasta que se termine el estado de excepción, pero podrán ser prorrogados hasta por 90 días </w:t>
      </w:r>
      <w:r w:rsidR="00101C0E">
        <w:rPr>
          <w:rFonts w:ascii="Verdana" w:hAnsi="Verdana" w:cs="Arial"/>
          <w:color w:val="000000"/>
        </w:rPr>
        <w:t>más</w:t>
      </w:r>
      <w:r w:rsidR="008E73E8">
        <w:rPr>
          <w:rFonts w:ascii="Verdana" w:hAnsi="Verdana" w:cs="Arial"/>
          <w:color w:val="000000"/>
        </w:rPr>
        <w:t xml:space="preserve">. </w:t>
      </w:r>
    </w:p>
    <w:p w:rsidR="00101C0E" w:rsidP="00D93541" w:rsidRDefault="00C449AD" w14:paraId="76F8B486" w14:textId="1491C0AA">
      <w:pPr>
        <w:spacing w:line="240" w:lineRule="auto"/>
        <w:jc w:val="both"/>
        <w:rPr>
          <w:rFonts w:ascii="Verdana" w:hAnsi="Verdana" w:cs="Arial"/>
          <w:i/>
          <w:iCs/>
          <w:color w:val="000000"/>
        </w:rPr>
      </w:pPr>
      <w:r>
        <w:rPr>
          <w:rFonts w:ascii="Verdana" w:hAnsi="Verdana" w:cs="Arial"/>
          <w:color w:val="000000"/>
        </w:rPr>
        <w:t xml:space="preserve">De acuerdo con la Corte Constitucional, el ordenamiento superior contiene </w:t>
      </w:r>
      <w:r w:rsidR="00C044F0">
        <w:rPr>
          <w:rFonts w:ascii="Verdana" w:hAnsi="Verdana" w:cs="Arial"/>
          <w:color w:val="000000"/>
        </w:rPr>
        <w:t>esta regulación como respuesta al ejercicio arbitrario y abusivo de los poderes públicos en el marco de la declaración constante de estados de sitio</w:t>
      </w:r>
      <w:r w:rsidR="002F73F4">
        <w:rPr>
          <w:rFonts w:ascii="Verdana" w:hAnsi="Verdana" w:cs="Arial"/>
          <w:color w:val="000000"/>
        </w:rPr>
        <w:t>, que se dio bajo el mandato de la constitución del 1886</w:t>
      </w:r>
      <w:r w:rsidR="00AD0E9B">
        <w:rPr>
          <w:rFonts w:ascii="Verdana" w:hAnsi="Verdana" w:cs="Arial"/>
          <w:color w:val="000000"/>
        </w:rPr>
        <w:t>. “</w:t>
      </w:r>
      <w:r w:rsidRPr="00AD0E9B" w:rsidR="00AD0E9B">
        <w:rPr>
          <w:rFonts w:ascii="Verdana" w:hAnsi="Verdana" w:cs="Arial"/>
          <w:i/>
          <w:iCs/>
          <w:color w:val="000000"/>
        </w:rPr>
        <w:t xml:space="preserve">Por ello la Carta de 1991 </w:t>
      </w:r>
      <w:proofErr w:type="gramStart"/>
      <w:r w:rsidRPr="00AD0E9B" w:rsidR="00AD0E9B">
        <w:rPr>
          <w:rFonts w:ascii="Verdana" w:hAnsi="Verdana" w:cs="Arial"/>
          <w:i/>
          <w:iCs/>
          <w:color w:val="000000"/>
        </w:rPr>
        <w:t>les</w:t>
      </w:r>
      <w:proofErr w:type="gramEnd"/>
      <w:r w:rsidRPr="00AD0E9B" w:rsidR="00AD0E9B">
        <w:rPr>
          <w:rFonts w:ascii="Verdana" w:hAnsi="Verdana" w:cs="Arial"/>
          <w:i/>
          <w:iCs/>
          <w:color w:val="000000"/>
        </w:rPr>
        <w:t xml:space="preserve"> impuso límites materiales y temporales al ejercicio de las facultades presidenciales bajo cada uno de los estados de excepción y reforzó sus controles</w:t>
      </w:r>
      <w:r w:rsidR="00AD0E9B">
        <w:rPr>
          <w:rStyle w:val="Refdenotaalpie"/>
          <w:rFonts w:ascii="Verdana" w:hAnsi="Verdana" w:cs="Arial"/>
          <w:i/>
          <w:iCs/>
          <w:color w:val="000000"/>
        </w:rPr>
        <w:footnoteReference w:id="1"/>
      </w:r>
      <w:r w:rsidR="00AD0E9B">
        <w:rPr>
          <w:rFonts w:ascii="Verdana" w:hAnsi="Verdana" w:cs="Arial"/>
          <w:color w:val="000000"/>
        </w:rPr>
        <w:t>”</w:t>
      </w:r>
      <w:r w:rsidRPr="00AD0E9B" w:rsidR="00AD0E9B">
        <w:rPr>
          <w:rFonts w:ascii="Verdana" w:hAnsi="Verdana" w:cs="Arial"/>
          <w:i/>
          <w:iCs/>
          <w:color w:val="000000"/>
        </w:rPr>
        <w:t>.</w:t>
      </w:r>
    </w:p>
    <w:p w:rsidRPr="00762642" w:rsidR="00762642" w:rsidP="00D93541" w:rsidRDefault="00762642" w14:paraId="3A7017FD" w14:textId="55217956">
      <w:pPr>
        <w:spacing w:line="240" w:lineRule="auto"/>
        <w:jc w:val="both"/>
        <w:rPr>
          <w:rFonts w:ascii="Verdana" w:hAnsi="Verdana" w:cs="Arial"/>
          <w:color w:val="000000"/>
        </w:rPr>
      </w:pPr>
      <w:r>
        <w:rPr>
          <w:rFonts w:ascii="Verdana" w:hAnsi="Verdana" w:cs="Arial"/>
          <w:color w:val="000000"/>
        </w:rPr>
        <w:t xml:space="preserve">Ahora bien, el articulo 214 de la Constitución </w:t>
      </w:r>
      <w:r w:rsidR="00AF6641">
        <w:rPr>
          <w:rFonts w:ascii="Verdana" w:hAnsi="Verdana" w:cs="Arial"/>
          <w:color w:val="000000"/>
        </w:rPr>
        <w:t>dispone que “</w:t>
      </w:r>
      <w:r w:rsidRPr="00AF6641" w:rsidR="00AF6641">
        <w:rPr>
          <w:rFonts w:ascii="Verdana" w:hAnsi="Verdana" w:cs="Arial"/>
          <w:i/>
          <w:iCs/>
          <w:color w:val="000000"/>
        </w:rPr>
        <w:t xml:space="preserve">el decreto que declara el estado de excepción y los posteriores que se dicten en ejercicio de las facultades legislativas trasladadas al </w:t>
      </w:r>
      <w:proofErr w:type="gramStart"/>
      <w:r w:rsidRPr="00AF6641" w:rsidR="00AF6641">
        <w:rPr>
          <w:rFonts w:ascii="Verdana" w:hAnsi="Verdana" w:cs="Arial"/>
          <w:i/>
          <w:iCs/>
          <w:color w:val="000000"/>
        </w:rPr>
        <w:t>Presidente</w:t>
      </w:r>
      <w:proofErr w:type="gramEnd"/>
      <w:r w:rsidRPr="00AF6641" w:rsidR="00AF6641">
        <w:rPr>
          <w:rFonts w:ascii="Verdana" w:hAnsi="Verdana" w:cs="Arial"/>
          <w:i/>
          <w:iCs/>
          <w:color w:val="000000"/>
        </w:rPr>
        <w:t xml:space="preserve"> están sometidos a control jurídico constitucional automático de la Corte Constitucional y a control político por parte del Congreso de la República</w:t>
      </w:r>
      <w:r w:rsidR="00544883">
        <w:rPr>
          <w:rStyle w:val="Refdenotaalpie"/>
          <w:rFonts w:ascii="Verdana" w:hAnsi="Verdana" w:cs="Arial"/>
          <w:i/>
          <w:iCs/>
          <w:color w:val="000000"/>
        </w:rPr>
        <w:footnoteReference w:id="2"/>
      </w:r>
      <w:r w:rsidR="00AF6641">
        <w:rPr>
          <w:rFonts w:ascii="Verdana" w:hAnsi="Verdana" w:cs="Arial"/>
          <w:color w:val="000000"/>
        </w:rPr>
        <w:t>”</w:t>
      </w:r>
      <w:r w:rsidRPr="00AF6641" w:rsidR="00AF6641">
        <w:rPr>
          <w:rFonts w:ascii="Verdana" w:hAnsi="Verdana" w:cs="Arial"/>
          <w:i/>
          <w:iCs/>
          <w:color w:val="000000"/>
        </w:rPr>
        <w:t>.</w:t>
      </w:r>
    </w:p>
    <w:p w:rsidR="002F73F4" w:rsidP="00D93541" w:rsidRDefault="00274D96" w14:paraId="22E912F2" w14:textId="68FAF812">
      <w:pPr>
        <w:spacing w:line="240" w:lineRule="auto"/>
        <w:jc w:val="both"/>
        <w:rPr>
          <w:rFonts w:ascii="Verdana" w:hAnsi="Verdana" w:cs="Arial"/>
          <w:color w:val="000000"/>
        </w:rPr>
      </w:pPr>
      <w:r>
        <w:rPr>
          <w:rFonts w:ascii="Verdana" w:hAnsi="Verdana" w:cs="Arial"/>
          <w:color w:val="000000"/>
        </w:rPr>
        <w:t>Adicionalmente</w:t>
      </w:r>
      <w:r w:rsidR="003B1709">
        <w:rPr>
          <w:rFonts w:ascii="Verdana" w:hAnsi="Verdana" w:cs="Arial"/>
          <w:color w:val="000000"/>
        </w:rPr>
        <w:t xml:space="preserve">, el articulo 152 CP </w:t>
      </w:r>
      <w:r w:rsidR="00BF3E19">
        <w:rPr>
          <w:rFonts w:ascii="Verdana" w:hAnsi="Verdana" w:cs="Arial"/>
          <w:color w:val="000000"/>
        </w:rPr>
        <w:t>dispone qu</w:t>
      </w:r>
      <w:r w:rsidR="00987FC7">
        <w:rPr>
          <w:rFonts w:ascii="Verdana" w:hAnsi="Verdana" w:cs="Arial"/>
          <w:color w:val="000000"/>
        </w:rPr>
        <w:t>é</w:t>
      </w:r>
      <w:r w:rsidR="00BF3E19">
        <w:rPr>
          <w:rFonts w:ascii="Verdana" w:hAnsi="Verdana" w:cs="Arial"/>
          <w:color w:val="000000"/>
        </w:rPr>
        <w:t xml:space="preserve"> asuntos deberán ser regulados por leyes estatutarias</w:t>
      </w:r>
      <w:r w:rsidR="00B1446B">
        <w:rPr>
          <w:rFonts w:ascii="Verdana" w:hAnsi="Verdana" w:cs="Arial"/>
          <w:color w:val="000000"/>
        </w:rPr>
        <w:t xml:space="preserve">, enlistando los estados de excepción. Así fue expedida la Ley </w:t>
      </w:r>
      <w:r w:rsidR="004326F1">
        <w:rPr>
          <w:rFonts w:ascii="Verdana" w:hAnsi="Verdana" w:cs="Arial"/>
          <w:color w:val="000000"/>
        </w:rPr>
        <w:t>137 de 1994</w:t>
      </w:r>
      <w:r w:rsidR="00942E82">
        <w:rPr>
          <w:rFonts w:ascii="Verdana" w:hAnsi="Verdana" w:cs="Arial"/>
          <w:color w:val="000000"/>
        </w:rPr>
        <w:t xml:space="preserve"> que establece </w:t>
      </w:r>
      <w:r w:rsidRPr="00942E82" w:rsidR="00942E82">
        <w:rPr>
          <w:rFonts w:ascii="Verdana" w:hAnsi="Verdana" w:cs="Arial"/>
          <w:i/>
          <w:iCs/>
          <w:color w:val="000000"/>
        </w:rPr>
        <w:t>“los controles al ejercicio de las facultades excepcionales del Gobierno</w:t>
      </w:r>
      <w:r w:rsidR="00613972">
        <w:rPr>
          <w:rStyle w:val="Refdenotaalpie"/>
          <w:rFonts w:ascii="Verdana" w:hAnsi="Verdana" w:cs="Arial"/>
          <w:i/>
          <w:iCs/>
          <w:color w:val="000000"/>
        </w:rPr>
        <w:footnoteReference w:id="3"/>
      </w:r>
      <w:r w:rsidRPr="00942E82" w:rsidR="00942E82">
        <w:rPr>
          <w:rFonts w:ascii="Verdana" w:hAnsi="Verdana" w:cs="Arial"/>
          <w:i/>
          <w:iCs/>
          <w:color w:val="000000"/>
        </w:rPr>
        <w:t>”</w:t>
      </w:r>
      <w:r w:rsidR="00613972">
        <w:rPr>
          <w:rFonts w:ascii="Verdana" w:hAnsi="Verdana" w:cs="Arial"/>
          <w:color w:val="000000"/>
        </w:rPr>
        <w:t xml:space="preserve"> </w:t>
      </w:r>
      <w:r w:rsidRPr="00613972" w:rsidR="00613972">
        <w:rPr>
          <w:rFonts w:ascii="Verdana" w:hAnsi="Verdana" w:cs="Arial"/>
          <w:color w:val="000000"/>
        </w:rPr>
        <w:t>y, fija</w:t>
      </w:r>
      <w:r w:rsidRPr="00942E82" w:rsidR="00942E82">
        <w:rPr>
          <w:rFonts w:ascii="Verdana" w:hAnsi="Verdana" w:cs="Arial"/>
          <w:i/>
          <w:iCs/>
          <w:color w:val="000000"/>
        </w:rPr>
        <w:t xml:space="preserve"> “las garantías para proteger los derechos humanos de conformidad con los tratados internacionales</w:t>
      </w:r>
      <w:r w:rsidR="000966E7">
        <w:rPr>
          <w:rStyle w:val="Refdenotaalpie"/>
          <w:rFonts w:ascii="Verdana" w:hAnsi="Verdana" w:cs="Arial"/>
          <w:i/>
          <w:iCs/>
          <w:color w:val="000000"/>
        </w:rPr>
        <w:footnoteReference w:id="4"/>
      </w:r>
      <w:r w:rsidRPr="00942E82" w:rsidR="00942E82">
        <w:rPr>
          <w:rFonts w:ascii="Verdana" w:hAnsi="Verdana" w:cs="Arial"/>
          <w:i/>
          <w:iCs/>
          <w:color w:val="000000"/>
        </w:rPr>
        <w:t xml:space="preserve">”. </w:t>
      </w:r>
      <w:r w:rsidR="004D4765">
        <w:rPr>
          <w:rFonts w:ascii="Verdana" w:hAnsi="Verdana" w:cs="Arial"/>
          <w:color w:val="000000"/>
        </w:rPr>
        <w:t xml:space="preserve">Pues bien, esta ley estatutaria, establece que tanto el </w:t>
      </w:r>
      <w:r w:rsidR="00C4360F">
        <w:rPr>
          <w:rFonts w:ascii="Verdana" w:hAnsi="Verdana" w:cs="Arial"/>
          <w:color w:val="000000"/>
        </w:rPr>
        <w:t xml:space="preserve">decreto mediante el cual se declara el estado de excepción como aquellos que se expidan en desarrollo </w:t>
      </w:r>
      <w:r>
        <w:rPr>
          <w:rFonts w:ascii="Verdana" w:hAnsi="Verdana" w:cs="Arial"/>
          <w:color w:val="000000"/>
        </w:rPr>
        <w:t>de este</w:t>
      </w:r>
      <w:r w:rsidR="00C4360F">
        <w:rPr>
          <w:rFonts w:ascii="Verdana" w:hAnsi="Verdana" w:cs="Arial"/>
          <w:color w:val="000000"/>
        </w:rPr>
        <w:t xml:space="preserve">, deben satisfacer los principios de proporcionalidad, necesidad, temporalidad, </w:t>
      </w:r>
      <w:r w:rsidR="00D64665">
        <w:rPr>
          <w:rFonts w:ascii="Verdana" w:hAnsi="Verdana" w:cs="Arial"/>
          <w:color w:val="000000"/>
        </w:rPr>
        <w:t xml:space="preserve">legalidad, entre otros. </w:t>
      </w:r>
    </w:p>
    <w:p w:rsidR="009E3C48" w:rsidP="00D93541" w:rsidRDefault="005E42B6" w14:paraId="06871490" w14:textId="7235E1DB">
      <w:pPr>
        <w:spacing w:line="240" w:lineRule="auto"/>
        <w:jc w:val="both"/>
        <w:rPr>
          <w:rFonts w:ascii="Verdana" w:hAnsi="Verdana" w:cs="Arial"/>
          <w:color w:val="000000"/>
          <w:lang w:val="es-CO"/>
        </w:rPr>
      </w:pPr>
      <w:r>
        <w:rPr>
          <w:rFonts w:ascii="Verdana" w:hAnsi="Verdana" w:cs="Arial"/>
          <w:color w:val="000000"/>
        </w:rPr>
        <w:t xml:space="preserve">De este modo, en Colombia es posible declarar </w:t>
      </w:r>
      <w:r w:rsidR="00524D43">
        <w:rPr>
          <w:rFonts w:ascii="Verdana" w:hAnsi="Verdana" w:cs="Arial"/>
          <w:color w:val="000000"/>
        </w:rPr>
        <w:t xml:space="preserve">un </w:t>
      </w:r>
      <w:r>
        <w:rPr>
          <w:rFonts w:ascii="Verdana" w:hAnsi="Verdana" w:cs="Arial"/>
          <w:color w:val="000000"/>
        </w:rPr>
        <w:t xml:space="preserve">estado de excepción entre los que se encuentra el estado de conmoción interior, situación que faculta al Gobierno </w:t>
      </w:r>
      <w:r w:rsidR="00921CDD">
        <w:rPr>
          <w:rFonts w:ascii="Verdana" w:hAnsi="Verdana" w:cs="Arial"/>
          <w:color w:val="000000"/>
        </w:rPr>
        <w:t>n</w:t>
      </w:r>
      <w:r>
        <w:rPr>
          <w:rFonts w:ascii="Verdana" w:hAnsi="Verdana" w:cs="Arial"/>
          <w:color w:val="000000"/>
        </w:rPr>
        <w:t xml:space="preserve">acional para </w:t>
      </w:r>
      <w:r w:rsidR="003B74E5">
        <w:rPr>
          <w:rFonts w:ascii="Verdana" w:hAnsi="Verdana" w:cs="Arial"/>
          <w:color w:val="000000"/>
        </w:rPr>
        <w:t>ostentar temporalmente atribuciones propias del legislador</w:t>
      </w:r>
      <w:r w:rsidR="00933A5D">
        <w:rPr>
          <w:rFonts w:ascii="Verdana" w:hAnsi="Verdana" w:cs="Arial"/>
          <w:color w:val="000000"/>
        </w:rPr>
        <w:t xml:space="preserve"> como mecanismo para conjurar situaciones de orden p</w:t>
      </w:r>
      <w:proofErr w:type="spellStart"/>
      <w:r w:rsidR="00933A5D">
        <w:rPr>
          <w:rFonts w:ascii="Verdana" w:hAnsi="Verdana" w:cs="Arial"/>
          <w:color w:val="000000"/>
          <w:lang w:val="es-CO"/>
        </w:rPr>
        <w:t>úblico</w:t>
      </w:r>
      <w:proofErr w:type="spellEnd"/>
      <w:r w:rsidR="00933A5D">
        <w:rPr>
          <w:rFonts w:ascii="Verdana" w:hAnsi="Verdana" w:cs="Arial"/>
          <w:color w:val="000000"/>
          <w:lang w:val="es-CO"/>
        </w:rPr>
        <w:t xml:space="preserve"> que no puedan resolverse </w:t>
      </w:r>
      <w:r w:rsidR="00E0310B">
        <w:rPr>
          <w:rFonts w:ascii="Verdana" w:hAnsi="Verdana" w:cs="Arial"/>
          <w:color w:val="000000"/>
          <w:lang w:val="es-CO"/>
        </w:rPr>
        <w:t>por medios</w:t>
      </w:r>
      <w:r w:rsidR="00933A5D">
        <w:rPr>
          <w:rFonts w:ascii="Verdana" w:hAnsi="Verdana" w:cs="Arial"/>
          <w:color w:val="000000"/>
          <w:lang w:val="es-CO"/>
        </w:rPr>
        <w:t xml:space="preserve"> ordinari</w:t>
      </w:r>
      <w:r w:rsidR="00E0310B">
        <w:rPr>
          <w:rFonts w:ascii="Verdana" w:hAnsi="Verdana" w:cs="Arial"/>
          <w:color w:val="000000"/>
          <w:lang w:val="es-CO"/>
        </w:rPr>
        <w:t>o</w:t>
      </w:r>
      <w:r w:rsidR="00933A5D">
        <w:rPr>
          <w:rFonts w:ascii="Verdana" w:hAnsi="Verdana" w:cs="Arial"/>
          <w:color w:val="000000"/>
          <w:lang w:val="es-CO"/>
        </w:rPr>
        <w:t>s</w:t>
      </w:r>
      <w:r w:rsidR="006850DC">
        <w:rPr>
          <w:rFonts w:ascii="Verdana" w:hAnsi="Verdana" w:cs="Arial"/>
          <w:color w:val="000000"/>
          <w:lang w:val="es-CO"/>
        </w:rPr>
        <w:t xml:space="preserve">. No obstante, tanto el decreto que contiene la declaratoria de estado de excepción como aquellos que crean y desarrollan las medidas perentorias para </w:t>
      </w:r>
      <w:r w:rsidR="001320BD">
        <w:rPr>
          <w:rFonts w:ascii="Verdana" w:hAnsi="Verdana" w:cs="Arial"/>
          <w:color w:val="000000"/>
          <w:lang w:val="es-CO"/>
        </w:rPr>
        <w:t>superarlo, son objeto de control automático por parte de la Corte Constitucional, que como guardiana de la Constitución Política determinará si estos superan</w:t>
      </w:r>
      <w:r w:rsidR="00827DD9">
        <w:rPr>
          <w:rFonts w:ascii="Verdana" w:hAnsi="Verdana" w:cs="Arial"/>
          <w:color w:val="000000"/>
          <w:lang w:val="es-CO"/>
        </w:rPr>
        <w:t xml:space="preserve"> o no</w:t>
      </w:r>
      <w:r w:rsidR="001320BD">
        <w:rPr>
          <w:rFonts w:ascii="Verdana" w:hAnsi="Verdana" w:cs="Arial"/>
          <w:color w:val="000000"/>
          <w:lang w:val="es-CO"/>
        </w:rPr>
        <w:t xml:space="preserve"> los juicios </w:t>
      </w:r>
      <w:r w:rsidR="003E1977">
        <w:rPr>
          <w:rFonts w:ascii="Verdana" w:hAnsi="Verdana" w:cs="Arial"/>
          <w:color w:val="000000"/>
          <w:lang w:val="es-CO"/>
        </w:rPr>
        <w:t>necesarios para permanecer en el ordenamiento jurídico</w:t>
      </w:r>
      <w:r w:rsidR="00C57266">
        <w:rPr>
          <w:rFonts w:ascii="Verdana" w:hAnsi="Verdana" w:cs="Arial"/>
          <w:color w:val="000000"/>
          <w:lang w:val="es-CO"/>
        </w:rPr>
        <w:t xml:space="preserve"> y podrá modular sus efectos. </w:t>
      </w:r>
    </w:p>
    <w:p w:rsidR="006A30B4" w:rsidP="00D93541" w:rsidRDefault="00C57266" w14:paraId="6C525F1B" w14:textId="1A0C1CBC">
      <w:pPr>
        <w:spacing w:line="240" w:lineRule="auto"/>
        <w:jc w:val="both"/>
        <w:rPr>
          <w:rFonts w:ascii="Verdana" w:hAnsi="Verdana" w:cs="Arial"/>
          <w:color w:val="000000"/>
          <w:lang w:val="es-CO"/>
        </w:rPr>
      </w:pPr>
      <w:r>
        <w:rPr>
          <w:rFonts w:ascii="Verdana" w:hAnsi="Verdana" w:cs="Arial"/>
          <w:color w:val="000000"/>
          <w:lang w:val="es-CO"/>
        </w:rPr>
        <w:lastRenderedPageBreak/>
        <w:t xml:space="preserve">Así, la Corte Constitucional </w:t>
      </w:r>
      <w:r w:rsidR="003F4598">
        <w:rPr>
          <w:rFonts w:ascii="Verdana" w:hAnsi="Verdana" w:cs="Arial"/>
          <w:color w:val="000000"/>
          <w:lang w:val="es-CO"/>
        </w:rPr>
        <w:t xml:space="preserve">puede </w:t>
      </w:r>
      <w:r w:rsidR="003759D9">
        <w:rPr>
          <w:rFonts w:ascii="Verdana" w:hAnsi="Verdana" w:cs="Arial"/>
          <w:color w:val="000000"/>
          <w:lang w:val="es-CO"/>
        </w:rPr>
        <w:t xml:space="preserve">determinar el alcance y la aplicación de sus decisiones en el tiempo. </w:t>
      </w:r>
      <w:r w:rsidR="00F6713D">
        <w:rPr>
          <w:rFonts w:ascii="Verdana" w:hAnsi="Verdana" w:cs="Arial"/>
          <w:color w:val="000000"/>
          <w:lang w:val="es-CO"/>
        </w:rPr>
        <w:t>En otras palabras, podrá resolver que los efectos sean a futuro, que es la regla genera</w:t>
      </w:r>
      <w:r w:rsidR="00F14776">
        <w:rPr>
          <w:rFonts w:ascii="Verdana" w:hAnsi="Verdana" w:cs="Arial"/>
          <w:color w:val="000000"/>
          <w:lang w:val="es-CO"/>
        </w:rPr>
        <w:t xml:space="preserve">l; </w:t>
      </w:r>
      <w:r w:rsidR="002E19B4">
        <w:rPr>
          <w:rFonts w:ascii="Verdana" w:hAnsi="Verdana" w:cs="Arial"/>
          <w:color w:val="000000"/>
          <w:lang w:val="es-CO"/>
        </w:rPr>
        <w:t>retroactiv</w:t>
      </w:r>
      <w:r w:rsidR="00644704">
        <w:rPr>
          <w:rFonts w:ascii="Verdana" w:hAnsi="Verdana" w:cs="Arial"/>
          <w:color w:val="000000"/>
          <w:lang w:val="es-CO"/>
        </w:rPr>
        <w:t>o</w:t>
      </w:r>
      <w:r w:rsidR="002E19B4">
        <w:rPr>
          <w:rFonts w:ascii="Verdana" w:hAnsi="Verdana" w:cs="Arial"/>
          <w:color w:val="000000"/>
          <w:lang w:val="es-CO"/>
        </w:rPr>
        <w:t xml:space="preserve">s, es decir </w:t>
      </w:r>
      <w:r w:rsidR="001773DE">
        <w:rPr>
          <w:rFonts w:ascii="Verdana" w:hAnsi="Verdana" w:cs="Arial"/>
          <w:color w:val="000000"/>
          <w:lang w:val="es-CO"/>
        </w:rPr>
        <w:t xml:space="preserve">que afecte situaciones </w:t>
      </w:r>
      <w:r w:rsidR="002E19B4">
        <w:rPr>
          <w:rFonts w:ascii="Verdana" w:hAnsi="Verdana" w:cs="Arial"/>
          <w:color w:val="000000"/>
          <w:lang w:val="es-CO"/>
        </w:rPr>
        <w:t>consolidadas antes de la adopción del fallo</w:t>
      </w:r>
      <w:r w:rsidR="009C5771">
        <w:rPr>
          <w:rFonts w:ascii="Verdana" w:hAnsi="Verdana" w:cs="Arial"/>
          <w:color w:val="000000"/>
          <w:lang w:val="es-CO"/>
        </w:rPr>
        <w:t>; o</w:t>
      </w:r>
      <w:r w:rsidR="002E19B4">
        <w:rPr>
          <w:rFonts w:ascii="Verdana" w:hAnsi="Verdana" w:cs="Arial"/>
          <w:color w:val="000000"/>
          <w:lang w:val="es-CO"/>
        </w:rPr>
        <w:t xml:space="preserve"> diferidos</w:t>
      </w:r>
      <w:r w:rsidR="0060299B">
        <w:rPr>
          <w:rFonts w:ascii="Verdana" w:hAnsi="Verdana" w:cs="Arial"/>
          <w:color w:val="000000"/>
          <w:lang w:val="es-CO"/>
        </w:rPr>
        <w:t>, es decir que se aplican a partir de la ocurrencia de una fecha fu</w:t>
      </w:r>
      <w:r w:rsidR="00BE00E8">
        <w:rPr>
          <w:rFonts w:ascii="Verdana" w:hAnsi="Verdana" w:cs="Arial"/>
          <w:color w:val="000000"/>
          <w:lang w:val="es-CO"/>
        </w:rPr>
        <w:t>t</w:t>
      </w:r>
      <w:r w:rsidR="0060299B">
        <w:rPr>
          <w:rFonts w:ascii="Verdana" w:hAnsi="Verdana" w:cs="Arial"/>
          <w:color w:val="000000"/>
          <w:lang w:val="es-CO"/>
        </w:rPr>
        <w:t>ura y posterior a la fecha de la sentencia.</w:t>
      </w:r>
    </w:p>
    <w:p w:rsidRPr="00A97792" w:rsidR="00014C39" w:rsidP="00C03AB0" w:rsidRDefault="00C03AB0" w14:paraId="3FC76833" w14:textId="5DB7210D">
      <w:pPr>
        <w:spacing w:line="240" w:lineRule="auto"/>
        <w:jc w:val="both"/>
        <w:rPr>
          <w:rFonts w:ascii="Verdana" w:hAnsi="Verdana" w:cs="Arial"/>
          <w:b/>
          <w:bCs/>
          <w:color w:val="000000"/>
        </w:rPr>
      </w:pPr>
      <w:r>
        <w:rPr>
          <w:rFonts w:ascii="Verdana" w:hAnsi="Verdana" w:cs="Arial"/>
          <w:b/>
          <w:bCs/>
          <w:color w:val="000000"/>
        </w:rPr>
        <w:t>3.</w:t>
      </w:r>
      <w:r w:rsidR="0068527F">
        <w:rPr>
          <w:rFonts w:ascii="Verdana" w:hAnsi="Verdana" w:cs="Arial"/>
          <w:b/>
          <w:bCs/>
          <w:color w:val="000000"/>
        </w:rPr>
        <w:t>2</w:t>
      </w:r>
      <w:r>
        <w:rPr>
          <w:rFonts w:ascii="Verdana" w:hAnsi="Verdana" w:cs="Arial"/>
          <w:b/>
          <w:bCs/>
          <w:color w:val="000000"/>
        </w:rPr>
        <w:t xml:space="preserve">. El </w:t>
      </w:r>
      <w:r w:rsidRPr="00A97792">
        <w:rPr>
          <w:rFonts w:ascii="Verdana" w:hAnsi="Verdana" w:cs="Arial"/>
          <w:b/>
          <w:bCs/>
          <w:color w:val="000000"/>
        </w:rPr>
        <w:t>Estado de conmoción interior declarado por el Gobierno Nacional mediante el Decreto Legislativo 0062 de 2025.</w:t>
      </w:r>
    </w:p>
    <w:p w:rsidR="00C03AB0" w:rsidP="00C03AB0" w:rsidRDefault="00C03AB0" w14:paraId="2475563C" w14:textId="7D273A72">
      <w:pPr>
        <w:spacing w:line="240" w:lineRule="auto"/>
        <w:jc w:val="both"/>
        <w:rPr>
          <w:rFonts w:ascii="Verdana" w:hAnsi="Verdana" w:cs="Arial"/>
          <w:color w:val="000000"/>
        </w:rPr>
      </w:pPr>
      <w:r>
        <w:rPr>
          <w:rFonts w:ascii="Verdana" w:hAnsi="Verdana" w:cs="Arial"/>
          <w:color w:val="000000"/>
          <w:lang w:val="es-CO"/>
        </w:rPr>
        <w:t xml:space="preserve">El 24 de enero de 2025 el </w:t>
      </w:r>
      <w:r w:rsidR="00DD146D">
        <w:rPr>
          <w:rFonts w:ascii="Verdana" w:hAnsi="Verdana" w:cs="Arial"/>
          <w:color w:val="000000"/>
          <w:lang w:val="es-CO"/>
        </w:rPr>
        <w:t>P</w:t>
      </w:r>
      <w:r>
        <w:rPr>
          <w:rFonts w:ascii="Verdana" w:hAnsi="Verdana" w:cs="Arial"/>
          <w:color w:val="000000"/>
          <w:lang w:val="es-CO"/>
        </w:rPr>
        <w:t xml:space="preserve">residente de la República, con la firma de todos los ministros, declaró el estado de conmoción interior </w:t>
      </w:r>
      <w:r w:rsidRPr="00681D4B">
        <w:rPr>
          <w:rFonts w:ascii="Verdana" w:hAnsi="Verdana" w:cs="Arial"/>
          <w:color w:val="000000"/>
        </w:rPr>
        <w:t>en la región del Catatumbo, los municipios del área metropolitana de Cúcuta y los municipios de Río de Oro y González del departamento del Cesar</w:t>
      </w:r>
      <w:r>
        <w:rPr>
          <w:rFonts w:ascii="Verdana" w:hAnsi="Verdana" w:cs="Arial"/>
          <w:color w:val="000000"/>
        </w:rPr>
        <w:t>.</w:t>
      </w:r>
    </w:p>
    <w:p w:rsidR="00C03AB0" w:rsidP="00C03AB0" w:rsidRDefault="00C03AB0" w14:paraId="447A0800" w14:textId="0208E472">
      <w:pPr>
        <w:spacing w:line="240" w:lineRule="auto"/>
        <w:jc w:val="both"/>
        <w:rPr>
          <w:rFonts w:ascii="Verdana" w:hAnsi="Verdana" w:cs="Arial"/>
          <w:color w:val="000000"/>
          <w:lang w:val="es-CO"/>
        </w:rPr>
      </w:pPr>
      <w:r>
        <w:rPr>
          <w:rFonts w:ascii="Verdana" w:hAnsi="Verdana" w:cs="Arial"/>
          <w:color w:val="000000"/>
          <w:lang w:val="es-CO"/>
        </w:rPr>
        <w:t xml:space="preserve">En el presupuesto fáctico de </w:t>
      </w:r>
      <w:r w:rsidR="00E04065">
        <w:rPr>
          <w:rFonts w:ascii="Verdana" w:hAnsi="Verdana" w:cs="Arial"/>
          <w:color w:val="000000"/>
          <w:lang w:val="es-CO"/>
        </w:rPr>
        <w:t>esta</w:t>
      </w:r>
      <w:r>
        <w:rPr>
          <w:rFonts w:ascii="Verdana" w:hAnsi="Verdana" w:cs="Arial"/>
          <w:color w:val="000000"/>
          <w:lang w:val="es-CO"/>
        </w:rPr>
        <w:t xml:space="preserve"> declaratoria, se exponen y desarrollan las razones de hecho que a juicio del Gobierno nacional la justifican, entre ellas la ubicación geográfica, la convergencia de grupos étnicos en la región, la existencia de áreas ecológicas y naturales protegidas, la presencia de grupos armados al margen de la ley, los compromisos adoptados mediante el Acuerdo de Paz y el estado de cosas inconstitucional declarado por la Corte Constitucional a través de la sentencia SU</w:t>
      </w:r>
      <w:r w:rsidRPr="00A96037">
        <w:rPr>
          <w:rFonts w:ascii="Verdana" w:hAnsi="Verdana" w:cs="Arial"/>
          <w:color w:val="000000"/>
          <w:lang w:val="es-CO"/>
        </w:rPr>
        <w:t>-</w:t>
      </w:r>
      <w:r>
        <w:rPr>
          <w:rFonts w:ascii="Verdana" w:hAnsi="Verdana" w:cs="Arial"/>
          <w:color w:val="000000"/>
          <w:lang w:val="es-CO"/>
        </w:rPr>
        <w:t>020 de 2022, “</w:t>
      </w:r>
      <w:r w:rsidRPr="00446E43">
        <w:rPr>
          <w:rFonts w:ascii="Verdana" w:hAnsi="Verdana" w:cs="Arial"/>
          <w:i/>
          <w:iCs/>
          <w:color w:val="000000"/>
          <w:lang w:val="es-CO"/>
        </w:rPr>
        <w:t>por el bajo nivel de cumplimiento en la implementación del componente de garantías de seguridad a favor de la población signataria del acuerdo final de paz en proceso de reincorporación a la vida civil y de sus familias</w:t>
      </w:r>
      <w:r>
        <w:rPr>
          <w:rStyle w:val="Refdenotaalpie"/>
          <w:rFonts w:ascii="Verdana" w:hAnsi="Verdana" w:cs="Arial"/>
          <w:i/>
          <w:iCs/>
          <w:color w:val="000000"/>
          <w:lang w:val="es-CO"/>
        </w:rPr>
        <w:footnoteReference w:id="5"/>
      </w:r>
      <w:r>
        <w:rPr>
          <w:rFonts w:ascii="Verdana" w:hAnsi="Verdana" w:cs="Arial"/>
          <w:color w:val="000000"/>
          <w:lang w:val="es-CO"/>
        </w:rPr>
        <w:t xml:space="preserve">”, la presencia de cultivos ilícitos en la región y su representatividad en la economía local de las familias y la crisis humanitaria generada por crímenes como homicidios y desplazamiento forzado, entre otros. </w:t>
      </w:r>
    </w:p>
    <w:p w:rsidR="00C03AB0" w:rsidP="00C03AB0" w:rsidRDefault="00C03AB0" w14:paraId="1891B76D" w14:textId="77777777">
      <w:pPr>
        <w:spacing w:line="240" w:lineRule="auto"/>
        <w:jc w:val="both"/>
        <w:rPr>
          <w:rFonts w:ascii="Verdana" w:hAnsi="Verdana" w:cs="Arial"/>
          <w:color w:val="000000"/>
          <w:lang w:val="es-CO"/>
        </w:rPr>
      </w:pPr>
      <w:r>
        <w:rPr>
          <w:rFonts w:ascii="Verdana" w:hAnsi="Verdana" w:cs="Arial"/>
          <w:color w:val="000000"/>
          <w:lang w:val="es-CO"/>
        </w:rPr>
        <w:t>Así las cosas, en cumplimiento de los preceptos constitucionales en la materia</w:t>
      </w:r>
      <w:r>
        <w:rPr>
          <w:rStyle w:val="Refdenotaalpie"/>
          <w:rFonts w:ascii="Verdana" w:hAnsi="Verdana" w:cs="Arial"/>
          <w:color w:val="000000"/>
          <w:lang w:val="es-CO"/>
        </w:rPr>
        <w:footnoteReference w:id="6"/>
      </w:r>
      <w:r>
        <w:rPr>
          <w:rFonts w:ascii="Verdana" w:hAnsi="Verdana" w:cs="Arial"/>
          <w:color w:val="000000"/>
          <w:lang w:val="es-CO"/>
        </w:rPr>
        <w:t xml:space="preserve">, la Corte Constitucional efectuó el control automático formal y material de los decretos y, en ese contexto se pronunció sobre la constitucionalidad del Decreto 0062 de 2025, que declara el estado de conmoción interior, por medio de la Sentencia C-148 de 2025 y </w:t>
      </w:r>
      <w:proofErr w:type="spellStart"/>
      <w:r>
        <w:rPr>
          <w:rFonts w:ascii="Verdana" w:hAnsi="Verdana" w:cs="Arial"/>
          <w:color w:val="000000"/>
          <w:lang w:val="es-CO"/>
        </w:rPr>
        <w:t>dió</w:t>
      </w:r>
      <w:proofErr w:type="spellEnd"/>
      <w:r>
        <w:rPr>
          <w:rFonts w:ascii="Verdana" w:hAnsi="Verdana" w:cs="Arial"/>
          <w:color w:val="000000"/>
          <w:lang w:val="es-CO"/>
        </w:rPr>
        <w:t xml:space="preserve"> a conocer la decisión tomada en Sala Plena, a través del comunicado de prensa número 14 del 29 de abril de 2025. </w:t>
      </w:r>
    </w:p>
    <w:p w:rsidRPr="009D7907" w:rsidR="00C03AB0" w:rsidP="00C03AB0" w:rsidRDefault="00C03AB0" w14:paraId="293698C1" w14:textId="236A1729">
      <w:pPr>
        <w:spacing w:line="240" w:lineRule="auto"/>
        <w:jc w:val="both"/>
        <w:rPr>
          <w:rFonts w:ascii="Verdana" w:hAnsi="Verdana" w:cs="Arial"/>
          <w:color w:val="000000"/>
          <w:lang w:val="es-CO"/>
        </w:rPr>
      </w:pPr>
      <w:r>
        <w:rPr>
          <w:rFonts w:ascii="Verdana" w:hAnsi="Verdana" w:cs="Arial"/>
          <w:color w:val="000000"/>
          <w:lang w:val="es-CO"/>
        </w:rPr>
        <w:t>Es de anotar que a la fecha no se ha publicado el texto de la sentencia por lo que la información con la que se cuenta proviene exclusivamente del mencionado comunicado</w:t>
      </w:r>
      <w:r w:rsidR="00062911">
        <w:rPr>
          <w:rFonts w:ascii="Verdana" w:hAnsi="Verdana" w:cs="Arial"/>
          <w:color w:val="000000"/>
          <w:lang w:val="es-CO"/>
        </w:rPr>
        <w:t>,</w:t>
      </w:r>
      <w:r>
        <w:rPr>
          <w:rFonts w:ascii="Verdana" w:hAnsi="Verdana" w:cs="Arial"/>
          <w:color w:val="000000"/>
          <w:lang w:val="es-CO"/>
        </w:rPr>
        <w:t xml:space="preserve"> que describe la decisión adoptada y la postura de la Alta Corporación que en este caso declaró exequible, es decir ajustado a la Constitución el decreto 062 de 2025  </w:t>
      </w:r>
      <w:r w:rsidRPr="009D7907">
        <w:rPr>
          <w:rFonts w:ascii="Verdana" w:hAnsi="Verdana" w:cs="Arial"/>
          <w:color w:val="000000"/>
          <w:lang w:val="es-CO"/>
        </w:rPr>
        <w:t>“</w:t>
      </w:r>
      <w:r w:rsidRPr="009D7907">
        <w:rPr>
          <w:rFonts w:ascii="Verdana" w:hAnsi="Verdana" w:cs="Arial"/>
          <w:i/>
          <w:iCs/>
          <w:color w:val="000000"/>
          <w:lang w:val="es-CO"/>
        </w:rPr>
        <w:t xml:space="preserve">únicamente respecto de los hechos y consideraciones relacionados con (i) la intensificación de los enfrentamientos entre el ELN y otros </w:t>
      </w:r>
      <w:proofErr w:type="spellStart"/>
      <w:r w:rsidRPr="009D7907">
        <w:rPr>
          <w:rFonts w:ascii="Verdana" w:hAnsi="Verdana" w:cs="Arial"/>
          <w:i/>
          <w:iCs/>
          <w:color w:val="000000"/>
          <w:lang w:val="es-CO"/>
        </w:rPr>
        <w:t>GAOr</w:t>
      </w:r>
      <w:proofErr w:type="spellEnd"/>
      <w:r w:rsidRPr="009D7907">
        <w:rPr>
          <w:rFonts w:ascii="Verdana" w:hAnsi="Verdana" w:cs="Arial"/>
          <w:i/>
          <w:iCs/>
          <w:color w:val="000000"/>
          <w:lang w:val="es-CO"/>
        </w:rPr>
        <w:t>, así como los ataques y hostilidades dirigidos de forma indiscriminada contra la población civil y los firmantes del Acuerdo Final de Paz con las FARC y (</w:t>
      </w:r>
      <w:proofErr w:type="spellStart"/>
      <w:r w:rsidRPr="009D7907">
        <w:rPr>
          <w:rFonts w:ascii="Verdana" w:hAnsi="Verdana" w:cs="Arial"/>
          <w:i/>
          <w:iCs/>
          <w:color w:val="000000"/>
          <w:lang w:val="es-CO"/>
        </w:rPr>
        <w:t>ii</w:t>
      </w:r>
      <w:proofErr w:type="spellEnd"/>
      <w:r w:rsidRPr="009D7907">
        <w:rPr>
          <w:rFonts w:ascii="Verdana" w:hAnsi="Verdana" w:cs="Arial"/>
          <w:i/>
          <w:iCs/>
          <w:color w:val="000000"/>
          <w:lang w:val="es-CO"/>
        </w:rPr>
        <w:t xml:space="preserve">) la crisis humanitaria derivada de desplazamientos forzados -internos y transfronterizos- y confinamientos masivos que ha desbordado la capacidad institucional del Estado para atenderla. Esta decisión solo incluye aquellas medidas que sean necesarias para el fortalecimiento de la fuerza pública, la atención humanitaria, los derechos </w:t>
      </w:r>
      <w:r w:rsidRPr="009D7907">
        <w:rPr>
          <w:rFonts w:ascii="Verdana" w:hAnsi="Verdana" w:cs="Arial"/>
          <w:i/>
          <w:iCs/>
          <w:color w:val="000000"/>
          <w:lang w:val="es-CO"/>
        </w:rPr>
        <w:lastRenderedPageBreak/>
        <w:t>y garantías fundamentales de la población civil, y la financiación para esos propósitos específicos, de conformidad con los términos de esta providencia</w:t>
      </w:r>
      <w:r>
        <w:rPr>
          <w:rStyle w:val="Refdenotaalpie"/>
          <w:rFonts w:ascii="Verdana" w:hAnsi="Verdana" w:cs="Arial"/>
          <w:i/>
          <w:iCs/>
          <w:color w:val="000000"/>
          <w:lang w:val="es-CO"/>
        </w:rPr>
        <w:footnoteReference w:id="7"/>
      </w:r>
      <w:r>
        <w:rPr>
          <w:rFonts w:ascii="Verdana" w:hAnsi="Verdana" w:cs="Arial"/>
          <w:color w:val="000000"/>
          <w:lang w:val="es-CO"/>
        </w:rPr>
        <w:t>”</w:t>
      </w:r>
      <w:r w:rsidRPr="009D7907">
        <w:rPr>
          <w:rFonts w:ascii="Verdana" w:hAnsi="Verdana" w:cs="Arial"/>
          <w:color w:val="000000"/>
          <w:lang w:val="es-CO"/>
        </w:rPr>
        <w:t>.</w:t>
      </w:r>
    </w:p>
    <w:p w:rsidR="00C03AB0" w:rsidP="00C03AB0" w:rsidRDefault="00C03AB0" w14:paraId="2E8EFAE2" w14:textId="77777777">
      <w:pPr>
        <w:spacing w:line="240" w:lineRule="auto"/>
        <w:jc w:val="both"/>
        <w:rPr>
          <w:rFonts w:ascii="Verdana" w:hAnsi="Verdana" w:cs="Arial"/>
          <w:color w:val="000000"/>
          <w:lang w:val="es-CO"/>
        </w:rPr>
      </w:pPr>
      <w:r>
        <w:rPr>
          <w:rFonts w:ascii="Verdana" w:hAnsi="Verdana" w:cs="Arial"/>
          <w:color w:val="000000"/>
          <w:lang w:val="es-CO"/>
        </w:rPr>
        <w:t xml:space="preserve">En esa medida, los demás presupuestos contenidos en el mencionado decreto, es decir aquellos relativos a </w:t>
      </w:r>
      <w:r w:rsidRPr="00935DB5">
        <w:rPr>
          <w:rFonts w:ascii="Verdana" w:hAnsi="Verdana" w:cs="Arial"/>
          <w:color w:val="000000"/>
          <w:lang w:val="es-CO"/>
        </w:rPr>
        <w:t xml:space="preserve"> </w:t>
      </w:r>
      <w:r w:rsidRPr="0027792E">
        <w:rPr>
          <w:rFonts w:ascii="Verdana" w:hAnsi="Verdana" w:cs="Arial"/>
          <w:i/>
          <w:iCs/>
          <w:color w:val="000000"/>
          <w:lang w:val="es-CO"/>
        </w:rPr>
        <w:t xml:space="preserve">“(i) la presencia histórica del ELN, los </w:t>
      </w:r>
      <w:proofErr w:type="spellStart"/>
      <w:r w:rsidRPr="0027792E">
        <w:rPr>
          <w:rFonts w:ascii="Verdana" w:hAnsi="Verdana" w:cs="Arial"/>
          <w:i/>
          <w:iCs/>
          <w:color w:val="000000"/>
          <w:lang w:val="es-CO"/>
        </w:rPr>
        <w:t>GAOr</w:t>
      </w:r>
      <w:proofErr w:type="spellEnd"/>
      <w:r w:rsidRPr="0027792E">
        <w:rPr>
          <w:rFonts w:ascii="Verdana" w:hAnsi="Verdana" w:cs="Arial"/>
          <w:i/>
          <w:iCs/>
          <w:color w:val="000000"/>
          <w:lang w:val="es-CO"/>
        </w:rPr>
        <w:t xml:space="preserve"> y GDO, (</w:t>
      </w:r>
      <w:proofErr w:type="spellStart"/>
      <w:r w:rsidRPr="0027792E">
        <w:rPr>
          <w:rFonts w:ascii="Verdana" w:hAnsi="Verdana" w:cs="Arial"/>
          <w:i/>
          <w:iCs/>
          <w:color w:val="000000"/>
          <w:lang w:val="es-CO"/>
        </w:rPr>
        <w:t>ii</w:t>
      </w:r>
      <w:proofErr w:type="spellEnd"/>
      <w:r w:rsidRPr="0027792E">
        <w:rPr>
          <w:rFonts w:ascii="Verdana" w:hAnsi="Verdana" w:cs="Arial"/>
          <w:i/>
          <w:iCs/>
          <w:color w:val="000000"/>
          <w:lang w:val="es-CO"/>
        </w:rPr>
        <w:t>) la concentración de cultivos ilícitos, (</w:t>
      </w:r>
      <w:proofErr w:type="spellStart"/>
      <w:r w:rsidRPr="0027792E">
        <w:rPr>
          <w:rFonts w:ascii="Verdana" w:hAnsi="Verdana" w:cs="Arial"/>
          <w:i/>
          <w:iCs/>
          <w:color w:val="000000"/>
          <w:lang w:val="es-CO"/>
        </w:rPr>
        <w:t>iii</w:t>
      </w:r>
      <w:proofErr w:type="spellEnd"/>
      <w:r w:rsidRPr="0027792E">
        <w:rPr>
          <w:rFonts w:ascii="Verdana" w:hAnsi="Verdana" w:cs="Arial"/>
          <w:i/>
          <w:iCs/>
          <w:color w:val="000000"/>
          <w:lang w:val="es-CO"/>
        </w:rPr>
        <w:t>) las deficiencias e incumplimientos en la implementación del PNIS, (</w:t>
      </w:r>
      <w:proofErr w:type="spellStart"/>
      <w:r w:rsidRPr="0027792E">
        <w:rPr>
          <w:rFonts w:ascii="Verdana" w:hAnsi="Verdana" w:cs="Arial"/>
          <w:i/>
          <w:iCs/>
          <w:color w:val="000000"/>
          <w:lang w:val="es-CO"/>
        </w:rPr>
        <w:t>iv</w:t>
      </w:r>
      <w:proofErr w:type="spellEnd"/>
      <w:r w:rsidRPr="0027792E">
        <w:rPr>
          <w:rFonts w:ascii="Verdana" w:hAnsi="Verdana" w:cs="Arial"/>
          <w:i/>
          <w:iCs/>
          <w:color w:val="000000"/>
          <w:lang w:val="es-CO"/>
        </w:rPr>
        <w:t>) las necesidades básicas insatisfechas de la población por insuficiencia en la política social y (v) los daños a la infraestructura energética y vial, así como las afectaciones a las operaciones del sector de hidrocarburos</w:t>
      </w:r>
      <w:r>
        <w:rPr>
          <w:rStyle w:val="Refdenotaalpie"/>
          <w:rFonts w:ascii="Verdana" w:hAnsi="Verdana" w:cs="Arial"/>
          <w:i/>
          <w:iCs/>
          <w:color w:val="000000"/>
          <w:lang w:val="es-CO"/>
        </w:rPr>
        <w:footnoteReference w:id="8"/>
      </w:r>
      <w:r>
        <w:rPr>
          <w:rFonts w:ascii="Verdana" w:hAnsi="Verdana" w:cs="Arial"/>
          <w:color w:val="000000"/>
          <w:lang w:val="es-CO"/>
        </w:rPr>
        <w:t xml:space="preserve">”, fueron declarados inexequibles. </w:t>
      </w:r>
    </w:p>
    <w:p w:rsidR="00E87B6B" w:rsidP="00C03AB0" w:rsidRDefault="00C03AB0" w14:paraId="376C41B7" w14:textId="77777777">
      <w:pPr>
        <w:spacing w:line="240" w:lineRule="auto"/>
        <w:jc w:val="both"/>
        <w:rPr>
          <w:rFonts w:ascii="Verdana" w:hAnsi="Verdana" w:cs="Arial"/>
          <w:color w:val="000000"/>
          <w:lang w:val="es-CO"/>
        </w:rPr>
      </w:pPr>
      <w:r>
        <w:rPr>
          <w:rFonts w:ascii="Verdana" w:hAnsi="Verdana" w:cs="Arial"/>
          <w:color w:val="000000"/>
          <w:lang w:val="es-CO"/>
        </w:rPr>
        <w:t xml:space="preserve">La Corte sostuvo </w:t>
      </w:r>
      <w:r w:rsidRPr="00BD209A">
        <w:rPr>
          <w:rFonts w:ascii="Verdana" w:hAnsi="Verdana" w:cs="Arial"/>
          <w:color w:val="000000"/>
          <w:lang w:val="es-CO"/>
        </w:rPr>
        <w:t xml:space="preserve">que, </w:t>
      </w:r>
      <w:r>
        <w:rPr>
          <w:rFonts w:ascii="Verdana" w:hAnsi="Verdana" w:cs="Arial"/>
          <w:color w:val="000000"/>
          <w:lang w:val="es-CO"/>
        </w:rPr>
        <w:t>en concordancia con e</w:t>
      </w:r>
      <w:r w:rsidRPr="00BD209A">
        <w:rPr>
          <w:rFonts w:ascii="Verdana" w:hAnsi="Verdana" w:cs="Arial"/>
          <w:color w:val="000000"/>
          <w:lang w:val="es-CO"/>
        </w:rPr>
        <w:t xml:space="preserve">l </w:t>
      </w:r>
      <w:r w:rsidRPr="00147682">
        <w:rPr>
          <w:rFonts w:ascii="Verdana" w:hAnsi="Verdana" w:cs="Arial"/>
          <w:color w:val="000000"/>
          <w:lang w:val="es-CO"/>
        </w:rPr>
        <w:t>“</w:t>
      </w:r>
      <w:r w:rsidRPr="00147682">
        <w:rPr>
          <w:rFonts w:ascii="Verdana" w:hAnsi="Verdana" w:cs="Arial"/>
          <w:i/>
          <w:iCs/>
          <w:color w:val="000000"/>
          <w:lang w:val="es-CO"/>
        </w:rPr>
        <w:t>artículo 213 de la Constitución y el artículo 34 de la Ley Estatutaria de Estados de Excepción, la declaratoria de un Estado de Conmoción Interior está condicionada al cumplimiento concurrente de tres presupuestos materiales: (i) el presupuesto fáctico, (</w:t>
      </w:r>
      <w:proofErr w:type="spellStart"/>
      <w:r w:rsidRPr="00147682">
        <w:rPr>
          <w:rFonts w:ascii="Verdana" w:hAnsi="Verdana" w:cs="Arial"/>
          <w:i/>
          <w:iCs/>
          <w:color w:val="000000"/>
          <w:lang w:val="es-CO"/>
        </w:rPr>
        <w:t>ii</w:t>
      </w:r>
      <w:proofErr w:type="spellEnd"/>
      <w:r w:rsidRPr="00147682">
        <w:rPr>
          <w:rFonts w:ascii="Verdana" w:hAnsi="Verdana" w:cs="Arial"/>
          <w:i/>
          <w:iCs/>
          <w:color w:val="000000"/>
          <w:lang w:val="es-CO"/>
        </w:rPr>
        <w:t>) el presupuesto valorativo y (</w:t>
      </w:r>
      <w:proofErr w:type="spellStart"/>
      <w:r w:rsidRPr="00147682">
        <w:rPr>
          <w:rFonts w:ascii="Verdana" w:hAnsi="Verdana" w:cs="Arial"/>
          <w:i/>
          <w:iCs/>
          <w:color w:val="000000"/>
          <w:lang w:val="es-CO"/>
        </w:rPr>
        <w:t>iii</w:t>
      </w:r>
      <w:proofErr w:type="spellEnd"/>
      <w:r w:rsidRPr="00147682">
        <w:rPr>
          <w:rFonts w:ascii="Verdana" w:hAnsi="Verdana" w:cs="Arial"/>
          <w:i/>
          <w:iCs/>
          <w:color w:val="000000"/>
          <w:lang w:val="es-CO"/>
        </w:rPr>
        <w:t>) el presupuesto de suficiencia</w:t>
      </w:r>
      <w:r>
        <w:rPr>
          <w:rStyle w:val="Refdenotaalpie"/>
          <w:rFonts w:ascii="Verdana" w:hAnsi="Verdana" w:cs="Arial"/>
          <w:i/>
          <w:iCs/>
          <w:color w:val="000000"/>
          <w:lang w:val="es-CO"/>
        </w:rPr>
        <w:footnoteReference w:id="9"/>
      </w:r>
      <w:r>
        <w:rPr>
          <w:rFonts w:ascii="Verdana" w:hAnsi="Verdana" w:cs="Arial"/>
          <w:color w:val="000000"/>
          <w:lang w:val="es-CO"/>
        </w:rPr>
        <w:t>”</w:t>
      </w:r>
      <w:r w:rsidRPr="00BD209A">
        <w:rPr>
          <w:rFonts w:ascii="Verdana" w:hAnsi="Verdana" w:cs="Arial"/>
          <w:color w:val="000000"/>
          <w:lang w:val="es-CO"/>
        </w:rPr>
        <w:t>.</w:t>
      </w:r>
      <w:r>
        <w:rPr>
          <w:rFonts w:ascii="Verdana" w:hAnsi="Verdana" w:cs="Arial"/>
          <w:color w:val="000000"/>
          <w:lang w:val="es-CO"/>
        </w:rPr>
        <w:t xml:space="preserve"> </w:t>
      </w:r>
    </w:p>
    <w:p w:rsidR="00C03AB0" w:rsidP="00C03AB0" w:rsidRDefault="00C03AB0" w14:paraId="3E3B709E" w14:textId="7F67426D">
      <w:pPr>
        <w:spacing w:line="240" w:lineRule="auto"/>
        <w:jc w:val="both"/>
        <w:rPr>
          <w:rFonts w:ascii="Verdana" w:hAnsi="Verdana" w:cs="Arial"/>
          <w:color w:val="000000"/>
          <w:lang w:val="es-CO"/>
        </w:rPr>
      </w:pPr>
      <w:r>
        <w:rPr>
          <w:rFonts w:ascii="Verdana" w:hAnsi="Verdana" w:cs="Arial"/>
          <w:color w:val="000000"/>
          <w:lang w:val="es-CO"/>
        </w:rPr>
        <w:t xml:space="preserve">Revisado el Decreto 062 de 2025, la Corte encontró probados dichos presupuestos sobre los puntos que declaró exequibles, y reconoció la intensificación de la violencia contra la población civil y los firmantes del acuerdo de paz en las regiones abarcadas en el estado de conmoción, así como el desbordamiento institucional por las limitaciones administrativas, presupuestales y humanas, además del difícil acceso a bienes y servicios básicos relacionados con los derechos a la salud, la salubridad y la educación, entre otros, por lo que se reconoce que esta sin duda es </w:t>
      </w:r>
      <w:r w:rsidRPr="00492A54">
        <w:rPr>
          <w:rFonts w:ascii="Verdana" w:hAnsi="Verdana" w:cs="Arial"/>
          <w:color w:val="000000"/>
          <w:lang w:val="es-CO"/>
        </w:rPr>
        <w:t>“</w:t>
      </w:r>
      <w:r w:rsidRPr="00492A54">
        <w:rPr>
          <w:rFonts w:ascii="Verdana" w:hAnsi="Verdana" w:cs="Arial"/>
          <w:i/>
          <w:iCs/>
          <w:color w:val="000000"/>
          <w:lang w:val="es-CO"/>
        </w:rPr>
        <w:t>la mayor crisis humanitaria registrada en la historia reciente del país</w:t>
      </w:r>
      <w:r>
        <w:rPr>
          <w:rStyle w:val="Refdenotaalpie"/>
          <w:rFonts w:ascii="Verdana" w:hAnsi="Verdana" w:cs="Arial"/>
          <w:i/>
          <w:iCs/>
          <w:color w:val="000000"/>
          <w:lang w:val="es-CO"/>
        </w:rPr>
        <w:footnoteReference w:id="10"/>
      </w:r>
      <w:r>
        <w:rPr>
          <w:rFonts w:ascii="Verdana" w:hAnsi="Verdana" w:cs="Arial"/>
          <w:color w:val="000000"/>
          <w:lang w:val="es-CO"/>
        </w:rPr>
        <w:t>”</w:t>
      </w:r>
      <w:r>
        <w:rPr>
          <w:rStyle w:val="Refdenotaalpie"/>
          <w:rFonts w:ascii="Verdana" w:hAnsi="Verdana" w:cs="Arial"/>
          <w:color w:val="000000"/>
          <w:lang w:val="es-CO"/>
        </w:rPr>
        <w:footnoteReference w:id="11"/>
      </w:r>
      <w:r>
        <w:rPr>
          <w:rFonts w:ascii="Verdana" w:hAnsi="Verdana" w:cs="Arial"/>
          <w:color w:val="000000"/>
          <w:lang w:val="es-CO"/>
        </w:rPr>
        <w:t>.</w:t>
      </w:r>
    </w:p>
    <w:p w:rsidR="00C03AB0" w:rsidP="00C03AB0" w:rsidRDefault="00C03AB0" w14:paraId="095C1FF0" w14:textId="77777777">
      <w:pPr>
        <w:spacing w:line="240" w:lineRule="auto"/>
        <w:jc w:val="both"/>
        <w:rPr>
          <w:rFonts w:ascii="Verdana" w:hAnsi="Verdana" w:cs="Arial"/>
          <w:color w:val="000000"/>
          <w:lang w:val="es-CO"/>
        </w:rPr>
      </w:pPr>
      <w:r>
        <w:rPr>
          <w:rFonts w:ascii="Verdana" w:hAnsi="Verdana" w:cs="Arial"/>
          <w:color w:val="000000"/>
          <w:lang w:val="es-CO"/>
        </w:rPr>
        <w:t xml:space="preserve">Ahora bien, respecto de la declaratoria de </w:t>
      </w:r>
      <w:proofErr w:type="spellStart"/>
      <w:r>
        <w:rPr>
          <w:rFonts w:ascii="Verdana" w:hAnsi="Verdana" w:cs="Arial"/>
          <w:color w:val="000000"/>
          <w:lang w:val="es-CO"/>
        </w:rPr>
        <w:t>inexequibilidad</w:t>
      </w:r>
      <w:proofErr w:type="spellEnd"/>
      <w:r>
        <w:rPr>
          <w:rFonts w:ascii="Verdana" w:hAnsi="Verdana" w:cs="Arial"/>
          <w:color w:val="000000"/>
          <w:lang w:val="es-CO"/>
        </w:rPr>
        <w:t xml:space="preserve"> la Alta Corporación explicó que la presencia histórica de los grupos armados al margen de la ley que se describe en el decreto, la deficiencia de en la implementación del PNIS</w:t>
      </w:r>
      <w:r>
        <w:rPr>
          <w:rStyle w:val="Refdenotaalpie"/>
          <w:rFonts w:ascii="Verdana" w:hAnsi="Verdana" w:cs="Arial"/>
          <w:color w:val="000000"/>
          <w:lang w:val="es-CO"/>
        </w:rPr>
        <w:footnoteReference w:id="12"/>
      </w:r>
      <w:r>
        <w:rPr>
          <w:rFonts w:ascii="Verdana" w:hAnsi="Verdana" w:cs="Arial"/>
          <w:color w:val="000000"/>
          <w:lang w:val="es-CO"/>
        </w:rPr>
        <w:t xml:space="preserve">, la insuficiencia de la política social, traducida en las necesidades insatisfechas de la población, así como los daños a la infraestructura vial y energética son problemáticas estructurales y críticas que por mandato constitucional no pueden ser conjuradas a través de estados de excepción. </w:t>
      </w:r>
    </w:p>
    <w:p w:rsidR="00CC331E" w:rsidP="00C03AB0" w:rsidRDefault="00C03AB0" w14:paraId="0178AD53" w14:textId="77777777">
      <w:pPr>
        <w:spacing w:line="240" w:lineRule="auto"/>
        <w:jc w:val="both"/>
        <w:rPr>
          <w:rFonts w:ascii="Verdana" w:hAnsi="Verdana" w:cs="Arial"/>
          <w:color w:val="000000"/>
        </w:rPr>
      </w:pPr>
      <w:r>
        <w:rPr>
          <w:rFonts w:ascii="Verdana" w:hAnsi="Verdana" w:cs="Arial"/>
          <w:color w:val="000000"/>
          <w:lang w:val="es-CO"/>
        </w:rPr>
        <w:lastRenderedPageBreak/>
        <w:t xml:space="preserve">De este modo, es posible concluir que todas las medidas que se deriven de los presupuestos declarados exequibles, es decir que por ejemplo tengan conexidad con la crisis humanitaria </w:t>
      </w:r>
      <w:r w:rsidR="0019191F">
        <w:rPr>
          <w:rFonts w:ascii="Verdana" w:hAnsi="Verdana" w:cs="Arial"/>
          <w:color w:val="000000"/>
          <w:lang w:val="es-CO"/>
        </w:rPr>
        <w:t xml:space="preserve">ocasionada por </w:t>
      </w:r>
      <w:r>
        <w:rPr>
          <w:rFonts w:ascii="Verdana" w:hAnsi="Verdana" w:cs="Arial"/>
          <w:color w:val="000000"/>
          <w:lang w:val="es-CO"/>
        </w:rPr>
        <w:t>la intensificación  de la violencia y el desplazamiento forzado en</w:t>
      </w:r>
      <w:r w:rsidRPr="00681D4B">
        <w:rPr>
          <w:rFonts w:ascii="Verdana" w:hAnsi="Verdana" w:cs="Arial"/>
          <w:color w:val="000000"/>
        </w:rPr>
        <w:t xml:space="preserve"> los municipios del área metropolitana de Cúcuta y los municipios de Río de Oro y González del departamento del Cesar</w:t>
      </w:r>
      <w:r>
        <w:rPr>
          <w:rFonts w:ascii="Verdana" w:hAnsi="Verdana" w:cs="Arial"/>
          <w:color w:val="000000"/>
        </w:rPr>
        <w:t xml:space="preserve">, es decir específicamente los descritos y enumerados en el comunicado de prensa </w:t>
      </w:r>
      <w:r w:rsidR="00CC331E">
        <w:rPr>
          <w:rFonts w:ascii="Verdana" w:hAnsi="Verdana" w:cs="Arial"/>
          <w:color w:val="000000"/>
        </w:rPr>
        <w:t xml:space="preserve">de la Corte Constitucional, </w:t>
      </w:r>
      <w:r>
        <w:rPr>
          <w:rFonts w:ascii="Verdana" w:hAnsi="Verdana" w:cs="Arial"/>
          <w:color w:val="000000"/>
        </w:rPr>
        <w:t xml:space="preserve">del 29 de abril de 2025, están en principio y por este aspecto conexo ajustadas a la Constitución. </w:t>
      </w:r>
    </w:p>
    <w:p w:rsidRPr="00C03AB0" w:rsidR="007A0CB3" w:rsidP="00D93541" w:rsidRDefault="00C03AB0" w14:paraId="4AC9E743" w14:textId="557BD7DF">
      <w:pPr>
        <w:spacing w:line="240" w:lineRule="auto"/>
        <w:jc w:val="both"/>
        <w:rPr>
          <w:rFonts w:ascii="Verdana" w:hAnsi="Verdana" w:cs="Arial"/>
          <w:color w:val="000000"/>
        </w:rPr>
      </w:pPr>
      <w:r>
        <w:rPr>
          <w:rFonts w:ascii="Verdana" w:hAnsi="Verdana" w:cs="Arial"/>
          <w:color w:val="000000"/>
        </w:rPr>
        <w:t>Esto, sin perjuicio de que todos los decretos expedidos en el marco del estado de conmoción interior deberán surtir el trámite de control automático de constitucionalidad ante la Corte, donde se llevará a cabo el juicio sobre la constitucionalidad de cada una de las medidas.</w:t>
      </w:r>
    </w:p>
    <w:p w:rsidR="00C72164" w:rsidP="00D93541" w:rsidRDefault="00A97792" w14:paraId="74CDAD71" w14:textId="0B157249">
      <w:pPr>
        <w:spacing w:line="240" w:lineRule="auto"/>
        <w:jc w:val="both"/>
        <w:rPr>
          <w:rFonts w:ascii="Verdana" w:hAnsi="Verdana" w:cs="Arial"/>
          <w:b/>
          <w:bCs/>
          <w:color w:val="000000"/>
        </w:rPr>
      </w:pPr>
      <w:r>
        <w:rPr>
          <w:rFonts w:ascii="Verdana" w:hAnsi="Verdana" w:cs="Arial"/>
          <w:b/>
          <w:bCs/>
          <w:color w:val="000000"/>
        </w:rPr>
        <w:t>3.</w:t>
      </w:r>
      <w:r w:rsidR="0068527F">
        <w:rPr>
          <w:rFonts w:ascii="Verdana" w:hAnsi="Verdana" w:cs="Arial"/>
          <w:b/>
          <w:bCs/>
          <w:color w:val="000000"/>
        </w:rPr>
        <w:t>3</w:t>
      </w:r>
      <w:r>
        <w:rPr>
          <w:rFonts w:ascii="Verdana" w:hAnsi="Verdana" w:cs="Arial"/>
          <w:b/>
          <w:bCs/>
          <w:color w:val="000000"/>
        </w:rPr>
        <w:t xml:space="preserve">. </w:t>
      </w:r>
      <w:r w:rsidR="009E683C">
        <w:rPr>
          <w:rFonts w:ascii="Verdana" w:hAnsi="Verdana" w:cs="Arial"/>
          <w:b/>
          <w:bCs/>
          <w:color w:val="000000"/>
        </w:rPr>
        <w:t>Reglas sobre gasto de recursos asignados en el marco de un estado de excepción.</w:t>
      </w:r>
    </w:p>
    <w:p w:rsidR="005454D6" w:rsidP="00D93541" w:rsidRDefault="0078160D" w14:paraId="5B29A047" w14:textId="6BEEA089">
      <w:pPr>
        <w:spacing w:line="240" w:lineRule="auto"/>
        <w:jc w:val="both"/>
        <w:rPr>
          <w:rFonts w:ascii="Verdana" w:hAnsi="Verdana" w:cs="Arial"/>
          <w:color w:val="000000"/>
        </w:rPr>
      </w:pPr>
      <w:r>
        <w:rPr>
          <w:rFonts w:ascii="Verdana" w:hAnsi="Verdana" w:cs="Arial"/>
          <w:color w:val="000000"/>
          <w:lang w:val="es-CO"/>
        </w:rPr>
        <w:t>El principio de legalidad del presupuesto est</w:t>
      </w:r>
      <w:r w:rsidR="000B3871">
        <w:rPr>
          <w:rFonts w:ascii="Verdana" w:hAnsi="Verdana" w:cs="Arial"/>
          <w:color w:val="000000"/>
          <w:lang w:val="es-CO"/>
        </w:rPr>
        <w:t>á</w:t>
      </w:r>
      <w:r>
        <w:rPr>
          <w:rFonts w:ascii="Verdana" w:hAnsi="Verdana" w:cs="Arial"/>
          <w:color w:val="000000"/>
          <w:lang w:val="es-CO"/>
        </w:rPr>
        <w:t xml:space="preserve"> desarrollado en los artículos 345 y 346 de la Constitución Política de Colombia</w:t>
      </w:r>
      <w:r w:rsidR="000B3871">
        <w:rPr>
          <w:rFonts w:ascii="Verdana" w:hAnsi="Verdana" w:cs="Arial"/>
          <w:color w:val="000000"/>
          <w:lang w:val="es-CO"/>
        </w:rPr>
        <w:t xml:space="preserve">. De este se deriva a su vez el </w:t>
      </w:r>
      <w:r w:rsidR="00DF53A1">
        <w:rPr>
          <w:rFonts w:ascii="Verdana" w:hAnsi="Verdana" w:cs="Arial"/>
          <w:color w:val="000000"/>
          <w:lang w:val="es-CO"/>
        </w:rPr>
        <w:t xml:space="preserve">principio de planeación presupuestal que dispone que los ingresos y gastos públicos </w:t>
      </w:r>
      <w:r w:rsidR="00362249">
        <w:rPr>
          <w:rFonts w:ascii="Verdana" w:hAnsi="Verdana" w:cs="Arial"/>
          <w:color w:val="000000"/>
          <w:lang w:val="es-CO"/>
        </w:rPr>
        <w:t xml:space="preserve">deben ser decretados de forma previa y deben estar apropiados </w:t>
      </w:r>
      <w:r w:rsidR="00972BFB">
        <w:rPr>
          <w:rFonts w:ascii="Verdana" w:hAnsi="Verdana" w:cs="Arial"/>
          <w:color w:val="000000"/>
          <w:lang w:val="es-CO"/>
        </w:rPr>
        <w:t xml:space="preserve">en el presupuesto como requisito para su ejecución. </w:t>
      </w:r>
      <w:r w:rsidR="00922476">
        <w:rPr>
          <w:rFonts w:ascii="Verdana" w:hAnsi="Verdana" w:cs="Arial"/>
          <w:color w:val="000000"/>
          <w:lang w:val="es-CO"/>
        </w:rPr>
        <w:t>En palabras de la Corte Constitucional</w:t>
      </w:r>
      <w:r w:rsidR="005454D6">
        <w:rPr>
          <w:rFonts w:ascii="Verdana" w:hAnsi="Verdana" w:cs="Arial"/>
          <w:color w:val="000000"/>
          <w:lang w:val="es-CO"/>
        </w:rPr>
        <w:t>,</w:t>
      </w:r>
      <w:r w:rsidR="00922476">
        <w:rPr>
          <w:rFonts w:ascii="Verdana" w:hAnsi="Verdana" w:cs="Arial"/>
          <w:color w:val="000000"/>
          <w:lang w:val="es-CO"/>
        </w:rPr>
        <w:t xml:space="preserve"> </w:t>
      </w:r>
      <w:r w:rsidRPr="00922476" w:rsidR="00922476">
        <w:rPr>
          <w:rFonts w:ascii="Verdana" w:hAnsi="Verdana" w:cs="Arial"/>
          <w:color w:val="000000"/>
          <w:lang w:val="es-CO"/>
        </w:rPr>
        <w:t>“</w:t>
      </w:r>
      <w:r w:rsidRPr="00922476" w:rsidR="00922476">
        <w:rPr>
          <w:rFonts w:ascii="Verdana" w:hAnsi="Verdana" w:cs="Arial"/>
          <w:i/>
          <w:iCs/>
          <w:color w:val="000000"/>
        </w:rPr>
        <w:t>no se puede percibir una renta o efectuar un gasto que no se encuentren incorporados en el presupuesto, cuya expedición o modificación corresponde al Congreso de la Repúblic</w:t>
      </w:r>
      <w:r w:rsidR="00726FE3">
        <w:rPr>
          <w:rFonts w:ascii="Verdana" w:hAnsi="Verdana" w:cs="Arial"/>
          <w:i/>
          <w:iCs/>
          <w:color w:val="000000"/>
        </w:rPr>
        <w:t>a</w:t>
      </w:r>
      <w:r w:rsidR="00B3689C">
        <w:rPr>
          <w:rFonts w:ascii="Verdana" w:hAnsi="Verdana" w:cs="Arial"/>
          <w:i/>
          <w:iCs/>
          <w:color w:val="000000"/>
        </w:rPr>
        <w:t>”</w:t>
      </w:r>
      <w:r w:rsidR="00726FE3">
        <w:rPr>
          <w:rStyle w:val="Refdenotaalpie"/>
          <w:rFonts w:ascii="Verdana" w:hAnsi="Verdana" w:cs="Arial"/>
          <w:i/>
          <w:iCs/>
          <w:color w:val="000000"/>
        </w:rPr>
        <w:footnoteReference w:id="13"/>
      </w:r>
      <w:r w:rsidR="005454D6">
        <w:rPr>
          <w:rFonts w:ascii="Verdana" w:hAnsi="Verdana" w:cs="Arial"/>
          <w:color w:val="000000"/>
        </w:rPr>
        <w:t>.</w:t>
      </w:r>
      <w:r w:rsidR="00850100">
        <w:rPr>
          <w:rFonts w:ascii="Verdana" w:hAnsi="Verdana" w:cs="Arial"/>
          <w:color w:val="000000"/>
        </w:rPr>
        <w:t xml:space="preserve"> </w:t>
      </w:r>
    </w:p>
    <w:p w:rsidRPr="00B3689C" w:rsidR="00D54DF3" w:rsidP="00D93541" w:rsidRDefault="00B3689C" w14:paraId="2D5E9F72" w14:textId="2E09B509">
      <w:pPr>
        <w:spacing w:line="240" w:lineRule="auto"/>
        <w:jc w:val="both"/>
        <w:rPr>
          <w:rFonts w:ascii="Verdana" w:hAnsi="Verdana" w:cs="Arial"/>
          <w:color w:val="000000"/>
          <w:lang w:val="es-CO"/>
        </w:rPr>
      </w:pPr>
      <w:r>
        <w:rPr>
          <w:rFonts w:ascii="Verdana" w:hAnsi="Verdana" w:cs="Arial"/>
          <w:color w:val="000000"/>
        </w:rPr>
        <w:t xml:space="preserve">Ahora bien, </w:t>
      </w:r>
      <w:r w:rsidR="00850100">
        <w:rPr>
          <w:rFonts w:ascii="Verdana" w:hAnsi="Verdana" w:cs="Arial"/>
          <w:color w:val="000000"/>
        </w:rPr>
        <w:t xml:space="preserve">cuando se trata de estados de excepción, como </w:t>
      </w:r>
      <w:r w:rsidR="0015599D">
        <w:rPr>
          <w:rFonts w:ascii="Verdana" w:hAnsi="Verdana" w:cs="Arial"/>
          <w:color w:val="000000"/>
        </w:rPr>
        <w:t>el estado de conmoción interior</w:t>
      </w:r>
      <w:r w:rsidR="00850100">
        <w:rPr>
          <w:rFonts w:ascii="Verdana" w:hAnsi="Verdana" w:cs="Arial"/>
          <w:color w:val="000000"/>
        </w:rPr>
        <w:t xml:space="preserve">, </w:t>
      </w:r>
      <w:r w:rsidR="002137AB">
        <w:rPr>
          <w:rFonts w:ascii="Verdana" w:hAnsi="Verdana" w:cs="Arial"/>
          <w:color w:val="000000"/>
        </w:rPr>
        <w:t xml:space="preserve">precisamente por las situaciones de anormalidad que </w:t>
      </w:r>
      <w:r w:rsidR="00DD03E5">
        <w:rPr>
          <w:rFonts w:ascii="Verdana" w:hAnsi="Verdana" w:cs="Arial"/>
          <w:color w:val="000000"/>
        </w:rPr>
        <w:t>lo causan, “</w:t>
      </w:r>
      <w:r w:rsidRPr="00DD03E5" w:rsidR="00DD03E5">
        <w:rPr>
          <w:rFonts w:ascii="Verdana" w:hAnsi="Verdana" w:cs="Arial"/>
          <w:i/>
          <w:iCs/>
          <w:color w:val="000000"/>
        </w:rPr>
        <w:t>es viable que las modificaciones al presupuesto se hagan por el ejecutivo, mediante decreto legislativo, siempre y cuando en ello exista una relación de conexidad con las causas que dieron origen al respectivo estado de excepción, relación que comprende la subsidiariedad de la medida, esto es, que la finalidad que persigue no pueda ser obtenida acudiendo a los mecanismos ordinarios</w:t>
      </w:r>
      <w:r w:rsidR="00933625">
        <w:rPr>
          <w:rStyle w:val="Refdenotaalpie"/>
          <w:rFonts w:ascii="Verdana" w:hAnsi="Verdana" w:cs="Arial"/>
          <w:i/>
          <w:iCs/>
          <w:color w:val="000000"/>
        </w:rPr>
        <w:footnoteReference w:id="14"/>
      </w:r>
      <w:r w:rsidR="00DD03E5">
        <w:rPr>
          <w:rFonts w:ascii="Verdana" w:hAnsi="Verdana" w:cs="Arial"/>
          <w:color w:val="000000"/>
        </w:rPr>
        <w:t>”</w:t>
      </w:r>
      <w:r w:rsidRPr="00DD03E5" w:rsidR="00DD03E5">
        <w:rPr>
          <w:rFonts w:ascii="Verdana" w:hAnsi="Verdana" w:cs="Arial"/>
          <w:i/>
          <w:iCs/>
          <w:color w:val="000000"/>
        </w:rPr>
        <w:t>.</w:t>
      </w:r>
      <w:r w:rsidR="00CF7CBA">
        <w:rPr>
          <w:rFonts w:ascii="Verdana" w:hAnsi="Verdana" w:cs="Arial"/>
          <w:i/>
          <w:iCs/>
          <w:color w:val="000000"/>
        </w:rPr>
        <w:t xml:space="preserve"> </w:t>
      </w:r>
      <w:r w:rsidR="00CF7CBA">
        <w:rPr>
          <w:rFonts w:ascii="Verdana" w:hAnsi="Verdana" w:cs="Arial"/>
          <w:color w:val="000000"/>
        </w:rPr>
        <w:t>Lo anterior en concordancia con</w:t>
      </w:r>
      <w:r w:rsidR="00643AB2">
        <w:rPr>
          <w:rFonts w:ascii="Verdana" w:hAnsi="Verdana" w:cs="Arial"/>
          <w:color w:val="000000"/>
        </w:rPr>
        <w:t xml:space="preserve"> el artículo 38 de la Ley 137 de 1994</w:t>
      </w:r>
      <w:r w:rsidR="00CF1653">
        <w:rPr>
          <w:rStyle w:val="Refdenotaalpie"/>
          <w:rFonts w:ascii="Verdana" w:hAnsi="Verdana" w:cs="Arial"/>
          <w:color w:val="000000"/>
        </w:rPr>
        <w:footnoteReference w:id="15"/>
      </w:r>
      <w:r w:rsidR="00643AB2">
        <w:rPr>
          <w:rFonts w:ascii="Verdana" w:hAnsi="Verdana" w:cs="Arial"/>
          <w:color w:val="000000"/>
        </w:rPr>
        <w:t xml:space="preserve"> </w:t>
      </w:r>
      <w:r w:rsidR="00643AB2">
        <w:rPr>
          <w:rFonts w:ascii="Verdana" w:hAnsi="Verdana" w:cs="Arial"/>
          <w:color w:val="000000"/>
          <w:lang w:val="es-CO"/>
        </w:rPr>
        <w:t xml:space="preserve">-LEEE- </w:t>
      </w:r>
      <w:r w:rsidR="00CF7CBA">
        <w:rPr>
          <w:rFonts w:ascii="Verdana" w:hAnsi="Verdana" w:cs="Arial"/>
          <w:color w:val="000000"/>
          <w:lang w:val="es-CO"/>
        </w:rPr>
        <w:t xml:space="preserve">que, </w:t>
      </w:r>
      <w:r w:rsidR="00643AB2">
        <w:rPr>
          <w:rFonts w:ascii="Verdana" w:hAnsi="Verdana" w:cs="Arial"/>
          <w:color w:val="000000"/>
          <w:lang w:val="es-CO"/>
        </w:rPr>
        <w:t>faculta al Gobierno Nacional</w:t>
      </w:r>
      <w:r w:rsidR="003D0241">
        <w:rPr>
          <w:rFonts w:ascii="Verdana" w:hAnsi="Verdana" w:cs="Arial"/>
          <w:color w:val="000000"/>
          <w:lang w:val="es-CO"/>
        </w:rPr>
        <w:t xml:space="preserve"> para modificar el </w:t>
      </w:r>
      <w:r w:rsidR="00E67F90">
        <w:rPr>
          <w:rFonts w:ascii="Verdana" w:hAnsi="Verdana" w:cs="Arial"/>
          <w:color w:val="000000"/>
          <w:lang w:val="es-CO"/>
        </w:rPr>
        <w:t>Presupuesto General de la Nación</w:t>
      </w:r>
      <w:r w:rsidR="00C53D12">
        <w:rPr>
          <w:rFonts w:ascii="Verdana" w:hAnsi="Verdana" w:cs="Arial"/>
          <w:color w:val="000000"/>
          <w:lang w:val="es-CO"/>
        </w:rPr>
        <w:t xml:space="preserve"> </w:t>
      </w:r>
      <w:r w:rsidR="00CF7CBA">
        <w:rPr>
          <w:rFonts w:ascii="Verdana" w:hAnsi="Verdana" w:cs="Arial"/>
          <w:color w:val="000000"/>
          <w:lang w:val="es-CO"/>
        </w:rPr>
        <w:t>y</w:t>
      </w:r>
      <w:r w:rsidR="00D0554C">
        <w:rPr>
          <w:rFonts w:ascii="Verdana" w:hAnsi="Verdana" w:cs="Arial"/>
          <w:color w:val="000000"/>
          <w:lang w:val="es-CO"/>
        </w:rPr>
        <w:t>,</w:t>
      </w:r>
      <w:r w:rsidR="00CF7CBA">
        <w:rPr>
          <w:rFonts w:ascii="Verdana" w:hAnsi="Verdana" w:cs="Arial"/>
          <w:color w:val="000000"/>
          <w:lang w:val="es-CO"/>
        </w:rPr>
        <w:t xml:space="preserve"> con la jurisprudencia de la Corte Constitucional que ha sostenido que </w:t>
      </w:r>
      <w:r w:rsidR="00D16932">
        <w:rPr>
          <w:rFonts w:ascii="Verdana" w:hAnsi="Verdana" w:cs="Arial"/>
          <w:color w:val="000000"/>
          <w:lang w:val="es-CO"/>
        </w:rPr>
        <w:t>esta competencia se ajusta al ordenamiento superior</w:t>
      </w:r>
      <w:r w:rsidR="00D0554C">
        <w:rPr>
          <w:rFonts w:ascii="Verdana" w:hAnsi="Verdana" w:cs="Arial"/>
          <w:color w:val="000000"/>
          <w:lang w:val="es-CO"/>
        </w:rPr>
        <w:t>,</w:t>
      </w:r>
      <w:r w:rsidR="00D16932">
        <w:rPr>
          <w:rFonts w:ascii="Verdana" w:hAnsi="Verdana" w:cs="Arial"/>
          <w:color w:val="000000"/>
          <w:lang w:val="es-CO"/>
        </w:rPr>
        <w:t xml:space="preserve"> siempre y cuando </w:t>
      </w:r>
      <w:r w:rsidR="005436F4">
        <w:rPr>
          <w:rFonts w:ascii="Verdana" w:hAnsi="Verdana" w:cs="Arial"/>
          <w:color w:val="000000"/>
          <w:lang w:val="es-CO"/>
        </w:rPr>
        <w:t xml:space="preserve">la </w:t>
      </w:r>
      <w:r w:rsidR="00222F98">
        <w:rPr>
          <w:rFonts w:ascii="Verdana" w:hAnsi="Verdana" w:cs="Arial"/>
          <w:color w:val="000000"/>
          <w:lang w:val="es-CO"/>
        </w:rPr>
        <w:t>modificación</w:t>
      </w:r>
      <w:r w:rsidR="005436F4">
        <w:rPr>
          <w:rFonts w:ascii="Verdana" w:hAnsi="Verdana" w:cs="Arial"/>
          <w:color w:val="000000"/>
          <w:lang w:val="es-CO"/>
        </w:rPr>
        <w:t xml:space="preserve"> </w:t>
      </w:r>
      <w:r w:rsidR="0068527F">
        <w:rPr>
          <w:rFonts w:ascii="Verdana" w:hAnsi="Verdana" w:cs="Arial"/>
          <w:color w:val="000000"/>
          <w:lang w:val="es-CO"/>
        </w:rPr>
        <w:t>tenga conexidad</w:t>
      </w:r>
      <w:r w:rsidR="005436F4">
        <w:rPr>
          <w:rFonts w:ascii="Verdana" w:hAnsi="Verdana" w:cs="Arial"/>
          <w:color w:val="000000"/>
          <w:lang w:val="es-CO"/>
        </w:rPr>
        <w:t xml:space="preserve"> direct</w:t>
      </w:r>
      <w:r w:rsidR="00A869F2">
        <w:rPr>
          <w:rFonts w:ascii="Verdana" w:hAnsi="Verdana" w:cs="Arial"/>
          <w:color w:val="000000"/>
          <w:lang w:val="es-CO"/>
        </w:rPr>
        <w:t>a</w:t>
      </w:r>
      <w:r w:rsidR="005436F4">
        <w:rPr>
          <w:rFonts w:ascii="Verdana" w:hAnsi="Verdana" w:cs="Arial"/>
          <w:color w:val="000000"/>
          <w:lang w:val="es-CO"/>
        </w:rPr>
        <w:t xml:space="preserve"> con el estado de excepción y las circunstancias que lo originan. </w:t>
      </w:r>
    </w:p>
    <w:p w:rsidR="00F92C1E" w:rsidP="00D93541" w:rsidRDefault="006A5AB9" w14:paraId="37B59DDD" w14:textId="1B70D790">
      <w:pPr>
        <w:spacing w:line="240" w:lineRule="auto"/>
        <w:jc w:val="both"/>
        <w:rPr>
          <w:rFonts w:ascii="Verdana" w:hAnsi="Verdana" w:cs="Arial"/>
          <w:color w:val="000000"/>
        </w:rPr>
      </w:pPr>
      <w:r>
        <w:rPr>
          <w:rFonts w:ascii="Verdana" w:hAnsi="Verdana" w:cs="Arial"/>
          <w:color w:val="000000"/>
        </w:rPr>
        <w:t xml:space="preserve">Pues bien, en este contexto es que se </w:t>
      </w:r>
      <w:r w:rsidR="00B3125D">
        <w:rPr>
          <w:rFonts w:ascii="Verdana" w:hAnsi="Verdana" w:cs="Arial"/>
          <w:color w:val="000000"/>
        </w:rPr>
        <w:t>expiden</w:t>
      </w:r>
      <w:r w:rsidR="00A200E4">
        <w:rPr>
          <w:rFonts w:ascii="Verdana" w:hAnsi="Verdana" w:cs="Arial"/>
          <w:color w:val="000000"/>
        </w:rPr>
        <w:t xml:space="preserve"> los decretos legislativos, que en el marco de un estado de excepción</w:t>
      </w:r>
      <w:r w:rsidR="00103995">
        <w:rPr>
          <w:rStyle w:val="Refdenotaalpie"/>
          <w:rFonts w:ascii="Verdana" w:hAnsi="Verdana" w:cs="Arial"/>
          <w:color w:val="000000"/>
        </w:rPr>
        <w:footnoteReference w:id="16"/>
      </w:r>
      <w:r w:rsidR="00A200E4">
        <w:rPr>
          <w:rFonts w:ascii="Verdana" w:hAnsi="Verdana" w:cs="Arial"/>
          <w:color w:val="000000"/>
        </w:rPr>
        <w:t xml:space="preserve"> </w:t>
      </w:r>
      <w:r w:rsidR="00122B25">
        <w:rPr>
          <w:rFonts w:ascii="Verdana" w:hAnsi="Verdana" w:cs="Arial"/>
          <w:color w:val="000000"/>
        </w:rPr>
        <w:t xml:space="preserve">permiten modificar el Presupuesto General de </w:t>
      </w:r>
      <w:r w:rsidR="00122B25">
        <w:rPr>
          <w:rFonts w:ascii="Verdana" w:hAnsi="Verdana" w:cs="Arial"/>
          <w:color w:val="000000"/>
        </w:rPr>
        <w:lastRenderedPageBreak/>
        <w:t xml:space="preserve">la Nación </w:t>
      </w:r>
      <w:r w:rsidR="002C7307">
        <w:rPr>
          <w:rFonts w:ascii="Verdana" w:hAnsi="Verdana" w:cs="Arial"/>
          <w:color w:val="000000"/>
        </w:rPr>
        <w:t xml:space="preserve">(en adelante PGN), </w:t>
      </w:r>
      <w:r w:rsidR="00122B25">
        <w:rPr>
          <w:rFonts w:ascii="Verdana" w:hAnsi="Verdana" w:cs="Arial"/>
          <w:color w:val="000000"/>
        </w:rPr>
        <w:t xml:space="preserve">con el propósito de </w:t>
      </w:r>
      <w:r w:rsidR="00046219">
        <w:rPr>
          <w:rFonts w:ascii="Verdana" w:hAnsi="Verdana" w:cs="Arial"/>
          <w:color w:val="000000"/>
        </w:rPr>
        <w:t xml:space="preserve">encontrar fuentes de financiación, </w:t>
      </w:r>
      <w:r w:rsidR="00BD4CA1">
        <w:rPr>
          <w:rFonts w:ascii="Verdana" w:hAnsi="Verdana" w:cs="Arial"/>
          <w:color w:val="000000"/>
        </w:rPr>
        <w:t>adicionar recursos a las entidades y garantizar el acceso a estos de forma célere</w:t>
      </w:r>
      <w:r w:rsidR="002C7307">
        <w:rPr>
          <w:rFonts w:ascii="Verdana" w:hAnsi="Verdana" w:cs="Arial"/>
          <w:color w:val="000000"/>
        </w:rPr>
        <w:t>,</w:t>
      </w:r>
      <w:r w:rsidR="00BD4CA1">
        <w:rPr>
          <w:rFonts w:ascii="Verdana" w:hAnsi="Verdana" w:cs="Arial"/>
          <w:color w:val="000000"/>
        </w:rPr>
        <w:t xml:space="preserve"> para atender con urgencia y eficacia la</w:t>
      </w:r>
      <w:r w:rsidR="00A94EB3">
        <w:rPr>
          <w:rFonts w:ascii="Verdana" w:hAnsi="Verdana" w:cs="Arial"/>
          <w:color w:val="000000"/>
        </w:rPr>
        <w:t xml:space="preserve"> crisis y conjurar sus efectos.</w:t>
      </w:r>
      <w:r w:rsidR="004478A1">
        <w:rPr>
          <w:rFonts w:ascii="Verdana" w:hAnsi="Verdana" w:cs="Arial"/>
          <w:color w:val="000000"/>
        </w:rPr>
        <w:t xml:space="preserve"> Este es el caso de los decretos de desarrollo del estado de </w:t>
      </w:r>
      <w:r w:rsidR="006764B6">
        <w:rPr>
          <w:rFonts w:ascii="Verdana" w:hAnsi="Verdana" w:cs="Arial"/>
          <w:color w:val="000000"/>
        </w:rPr>
        <w:t>conmoción interior</w:t>
      </w:r>
      <w:r w:rsidR="00014C39">
        <w:rPr>
          <w:rFonts w:ascii="Verdana" w:hAnsi="Verdana" w:cs="Arial"/>
          <w:color w:val="000000"/>
        </w:rPr>
        <w:t xml:space="preserve">, </w:t>
      </w:r>
      <w:r w:rsidR="006764B6">
        <w:rPr>
          <w:rFonts w:ascii="Verdana" w:hAnsi="Verdana" w:cs="Arial"/>
          <w:color w:val="000000"/>
        </w:rPr>
        <w:t>declarado con el Decreto Legislativo 062 de 2025, tales como los decretos 175</w:t>
      </w:r>
      <w:r w:rsidR="00B95128">
        <w:rPr>
          <w:rStyle w:val="Refdenotaalpie"/>
          <w:rFonts w:ascii="Verdana" w:hAnsi="Verdana" w:cs="Arial"/>
          <w:color w:val="000000"/>
        </w:rPr>
        <w:footnoteReference w:id="17"/>
      </w:r>
      <w:r w:rsidR="006764B6">
        <w:rPr>
          <w:rFonts w:ascii="Verdana" w:hAnsi="Verdana" w:cs="Arial"/>
          <w:color w:val="000000"/>
        </w:rPr>
        <w:t>,274</w:t>
      </w:r>
      <w:r w:rsidR="00D41340">
        <w:rPr>
          <w:rStyle w:val="Refdenotaalpie"/>
          <w:rFonts w:ascii="Verdana" w:hAnsi="Verdana" w:cs="Arial"/>
          <w:color w:val="000000"/>
        </w:rPr>
        <w:footnoteReference w:id="18"/>
      </w:r>
      <w:r w:rsidR="006764B6">
        <w:rPr>
          <w:rFonts w:ascii="Verdana" w:hAnsi="Verdana" w:cs="Arial"/>
          <w:color w:val="000000"/>
        </w:rPr>
        <w:t xml:space="preserve"> y </w:t>
      </w:r>
      <w:r w:rsidR="00861B32">
        <w:rPr>
          <w:rFonts w:ascii="Verdana" w:hAnsi="Verdana" w:cs="Arial"/>
          <w:color w:val="000000"/>
        </w:rPr>
        <w:t>359 de 2025</w:t>
      </w:r>
      <w:r w:rsidR="00861B32">
        <w:rPr>
          <w:rStyle w:val="Refdenotaalpie"/>
          <w:rFonts w:ascii="Verdana" w:hAnsi="Verdana" w:cs="Arial"/>
          <w:color w:val="000000"/>
        </w:rPr>
        <w:footnoteReference w:id="19"/>
      </w:r>
      <w:r w:rsidR="00861B32">
        <w:rPr>
          <w:rFonts w:ascii="Verdana" w:hAnsi="Verdana" w:cs="Arial"/>
          <w:color w:val="000000"/>
        </w:rPr>
        <w:t>.</w:t>
      </w:r>
    </w:p>
    <w:p w:rsidR="006F328C" w:rsidP="00D93541" w:rsidRDefault="003D5A41" w14:paraId="6C69ED3B" w14:textId="021A16E6">
      <w:pPr>
        <w:spacing w:line="240" w:lineRule="auto"/>
        <w:jc w:val="both"/>
        <w:rPr>
          <w:rFonts w:ascii="Verdana" w:hAnsi="Verdana" w:cs="Arial"/>
          <w:color w:val="000000"/>
          <w:lang w:val="es-CO"/>
        </w:rPr>
      </w:pPr>
      <w:r>
        <w:rPr>
          <w:rFonts w:ascii="Verdana" w:hAnsi="Verdana" w:cs="Arial"/>
          <w:color w:val="000000"/>
        </w:rPr>
        <w:t xml:space="preserve">Ahora bien, </w:t>
      </w:r>
      <w:r w:rsidR="00F77CB0">
        <w:rPr>
          <w:rFonts w:ascii="Verdana" w:hAnsi="Verdana" w:cs="Arial"/>
          <w:color w:val="000000"/>
        </w:rPr>
        <w:t xml:space="preserve">la facultad excepcional descrita en cabeza del ejecutivo no lo exime de cumplir con los criterios y principios </w:t>
      </w:r>
      <w:r w:rsidR="009E4026">
        <w:rPr>
          <w:rFonts w:ascii="Verdana" w:hAnsi="Verdana" w:cs="Arial"/>
          <w:color w:val="000000"/>
        </w:rPr>
        <w:t xml:space="preserve">que se exigen en materia presupuestal. En efecto, </w:t>
      </w:r>
      <w:r w:rsidR="009474ED">
        <w:rPr>
          <w:rFonts w:ascii="Verdana" w:hAnsi="Verdana" w:cs="Arial"/>
          <w:color w:val="000000"/>
        </w:rPr>
        <w:t>todas las modificaciones</w:t>
      </w:r>
      <w:r w:rsidR="00084F7A">
        <w:rPr>
          <w:rFonts w:ascii="Verdana" w:hAnsi="Verdana" w:cs="Arial"/>
          <w:color w:val="000000"/>
        </w:rPr>
        <w:t xml:space="preserve"> al PGN</w:t>
      </w:r>
      <w:r w:rsidR="00411E3B">
        <w:rPr>
          <w:rFonts w:ascii="Verdana" w:hAnsi="Verdana" w:cs="Arial"/>
          <w:color w:val="000000"/>
        </w:rPr>
        <w:t xml:space="preserve"> deben responder a un ejercicio ordenado que permita determinar la necesidad de los recursos</w:t>
      </w:r>
      <w:r w:rsidR="00B9642B">
        <w:rPr>
          <w:rFonts w:ascii="Verdana" w:hAnsi="Verdana" w:cs="Arial"/>
          <w:color w:val="000000"/>
        </w:rPr>
        <w:t>, la forma de conseguirlos y los</w:t>
      </w:r>
      <w:r w:rsidR="009474ED">
        <w:rPr>
          <w:rFonts w:ascii="Verdana" w:hAnsi="Verdana" w:cs="Arial"/>
          <w:color w:val="000000"/>
        </w:rPr>
        <w:t xml:space="preserve"> asuntos fundamentales para su ejecución. Es decir, deben respetar por ejemplo el principio de autonomía presupuestal de las entidades</w:t>
      </w:r>
      <w:r w:rsidR="00D523C1">
        <w:rPr>
          <w:rStyle w:val="Refdenotaalpie"/>
          <w:rFonts w:ascii="Verdana" w:hAnsi="Verdana" w:cs="Arial"/>
          <w:color w:val="000000"/>
        </w:rPr>
        <w:footnoteReference w:id="20"/>
      </w:r>
      <w:r w:rsidR="00781E02">
        <w:rPr>
          <w:rFonts w:ascii="Verdana" w:hAnsi="Verdana" w:cs="Arial"/>
          <w:color w:val="000000"/>
        </w:rPr>
        <w:t xml:space="preserve">, </w:t>
      </w:r>
      <w:r w:rsidR="005602FC">
        <w:rPr>
          <w:rFonts w:ascii="Verdana" w:hAnsi="Verdana" w:cs="Arial"/>
          <w:color w:val="000000"/>
        </w:rPr>
        <w:t xml:space="preserve">que se deriva de la capacidad de </w:t>
      </w:r>
      <w:r w:rsidR="000F0AF2">
        <w:rPr>
          <w:rFonts w:ascii="Verdana" w:hAnsi="Verdana" w:cs="Arial"/>
          <w:color w:val="000000"/>
          <w:lang w:val="es-CO"/>
        </w:rPr>
        <w:t xml:space="preserve">órganos que son una sección del PGN </w:t>
      </w:r>
      <w:r w:rsidR="00C87336">
        <w:rPr>
          <w:rFonts w:ascii="Verdana" w:hAnsi="Verdana" w:cs="Arial"/>
          <w:color w:val="000000"/>
          <w:lang w:val="es-CO"/>
        </w:rPr>
        <w:t xml:space="preserve">de </w:t>
      </w:r>
      <w:r w:rsidRPr="000F0AF2" w:rsidR="000F0AF2">
        <w:rPr>
          <w:rFonts w:ascii="Verdana" w:hAnsi="Verdana" w:cs="Arial"/>
          <w:color w:val="000000"/>
          <w:lang w:val="es-CO"/>
        </w:rPr>
        <w:t>“</w:t>
      </w:r>
      <w:r w:rsidR="000F0AF2">
        <w:rPr>
          <w:rFonts w:ascii="Verdana" w:hAnsi="Verdana" w:cs="Arial"/>
          <w:i/>
          <w:iCs/>
          <w:color w:val="000000"/>
          <w:lang w:val="es-CO"/>
        </w:rPr>
        <w:t xml:space="preserve">contratar y comprometer </w:t>
      </w:r>
      <w:r w:rsidR="005F48EB">
        <w:rPr>
          <w:rFonts w:ascii="Verdana" w:hAnsi="Verdana" w:cs="Arial"/>
          <w:i/>
          <w:iCs/>
          <w:color w:val="000000"/>
          <w:lang w:val="es-CO"/>
        </w:rPr>
        <w:t xml:space="preserve">a nombre de la persona jurídica de la cual hagan parte, y ordenar el gasto en desarrollo de las apropiaciones </w:t>
      </w:r>
      <w:r w:rsidR="00920A46">
        <w:rPr>
          <w:rFonts w:ascii="Verdana" w:hAnsi="Verdana" w:cs="Arial"/>
          <w:i/>
          <w:iCs/>
          <w:color w:val="000000"/>
          <w:lang w:val="es-CO"/>
        </w:rPr>
        <w:t>incorporadas en la respectiva sección</w:t>
      </w:r>
      <w:r w:rsidRPr="00920A46" w:rsidR="00920A46">
        <w:rPr>
          <w:rFonts w:ascii="Verdana" w:hAnsi="Verdana" w:cs="Arial"/>
          <w:color w:val="000000"/>
          <w:lang w:val="es-CO"/>
        </w:rPr>
        <w:t>”</w:t>
      </w:r>
      <w:r w:rsidR="00AB1255">
        <w:rPr>
          <w:rFonts w:ascii="Verdana" w:hAnsi="Verdana" w:cs="Arial"/>
          <w:color w:val="000000"/>
          <w:lang w:val="es-CO"/>
        </w:rPr>
        <w:t>.</w:t>
      </w:r>
    </w:p>
    <w:p w:rsidR="001E5DAC" w:rsidP="00D93541" w:rsidRDefault="00B3689C" w14:paraId="67BDE088" w14:textId="1C1D2EFF">
      <w:pPr>
        <w:spacing w:line="240" w:lineRule="auto"/>
        <w:jc w:val="both"/>
        <w:rPr>
          <w:rFonts w:ascii="Verdana" w:hAnsi="Verdana" w:cs="Arial"/>
          <w:color w:val="000000"/>
          <w:lang w:val="es-CO"/>
        </w:rPr>
      </w:pPr>
      <w:r>
        <w:rPr>
          <w:rFonts w:ascii="Verdana" w:hAnsi="Verdana" w:cs="Arial"/>
          <w:color w:val="000000"/>
          <w:lang w:val="es-CO"/>
        </w:rPr>
        <w:t>Lo anterior</w:t>
      </w:r>
      <w:r w:rsidR="00AB1255">
        <w:rPr>
          <w:rFonts w:ascii="Verdana" w:hAnsi="Verdana" w:cs="Arial"/>
          <w:color w:val="000000"/>
          <w:lang w:val="es-CO"/>
        </w:rPr>
        <w:t xml:space="preserve"> implica que </w:t>
      </w:r>
      <w:r w:rsidR="00AF0640">
        <w:rPr>
          <w:rFonts w:ascii="Verdana" w:hAnsi="Verdana" w:cs="Arial"/>
          <w:color w:val="000000"/>
          <w:lang w:val="es-CO"/>
        </w:rPr>
        <w:t xml:space="preserve">el monto de los recursos que se determina en los decretos de desarrollo, </w:t>
      </w:r>
      <w:r w:rsidR="00E83217">
        <w:rPr>
          <w:rFonts w:ascii="Verdana" w:hAnsi="Verdana" w:cs="Arial"/>
          <w:color w:val="000000"/>
          <w:lang w:val="es-CO"/>
        </w:rPr>
        <w:t>lo calcula cada una de las entidades</w:t>
      </w:r>
      <w:r w:rsidR="00097390">
        <w:rPr>
          <w:rFonts w:ascii="Verdana" w:hAnsi="Verdana" w:cs="Arial"/>
          <w:color w:val="000000"/>
          <w:lang w:val="es-CO"/>
        </w:rPr>
        <w:t xml:space="preserve"> </w:t>
      </w:r>
      <w:r w:rsidRPr="00097390" w:rsidR="00097390">
        <w:rPr>
          <w:rFonts w:ascii="Verdana" w:hAnsi="Verdana" w:cs="Arial"/>
          <w:color w:val="000000"/>
          <w:lang w:val="es-CO"/>
        </w:rPr>
        <w:t>(</w:t>
      </w:r>
      <w:r w:rsidR="009A33D0">
        <w:rPr>
          <w:rFonts w:ascii="Verdana" w:hAnsi="Verdana" w:cs="Arial"/>
          <w:color w:val="000000"/>
          <w:lang w:val="es-CO"/>
        </w:rPr>
        <w:t xml:space="preserve">ordenadoras de </w:t>
      </w:r>
      <w:r w:rsidR="00F7040E">
        <w:rPr>
          <w:rFonts w:ascii="Verdana" w:hAnsi="Verdana" w:cs="Arial"/>
          <w:color w:val="000000"/>
          <w:lang w:val="es-CO"/>
        </w:rPr>
        <w:t>gasto</w:t>
      </w:r>
      <w:r w:rsidR="00097390">
        <w:rPr>
          <w:rFonts w:ascii="Verdana" w:hAnsi="Verdana" w:cs="Arial"/>
          <w:color w:val="000000"/>
          <w:lang w:val="es-CO"/>
        </w:rPr>
        <w:t>)</w:t>
      </w:r>
      <w:r w:rsidR="00F7040E">
        <w:rPr>
          <w:rFonts w:ascii="Verdana" w:hAnsi="Verdana" w:cs="Arial"/>
          <w:color w:val="000000"/>
          <w:lang w:val="es-CO"/>
        </w:rPr>
        <w:t>, de</w:t>
      </w:r>
      <w:r w:rsidR="00B230D7">
        <w:rPr>
          <w:rFonts w:ascii="Verdana" w:hAnsi="Verdana" w:cs="Arial"/>
          <w:color w:val="000000"/>
          <w:lang w:val="es-CO"/>
        </w:rPr>
        <w:t xml:space="preserve"> acuerdo con las necesidades presupuestales adicionales que supone la atención de una crisis humanitaria, que da lugar a un estado de conmoción interior co</w:t>
      </w:r>
      <w:r w:rsidR="001E5DAC">
        <w:rPr>
          <w:rFonts w:ascii="Verdana" w:hAnsi="Verdana" w:cs="Arial"/>
          <w:color w:val="000000"/>
          <w:lang w:val="es-CO"/>
        </w:rPr>
        <w:t xml:space="preserve">mo </w:t>
      </w:r>
      <w:r w:rsidR="00B230D7">
        <w:rPr>
          <w:rFonts w:ascii="Verdana" w:hAnsi="Verdana" w:cs="Arial"/>
          <w:color w:val="000000"/>
          <w:lang w:val="es-CO"/>
        </w:rPr>
        <w:t>el de la región del Catatumbo</w:t>
      </w:r>
      <w:r w:rsidR="00015292">
        <w:rPr>
          <w:rStyle w:val="Refdenotaalpie"/>
          <w:rFonts w:ascii="Verdana" w:hAnsi="Verdana" w:cs="Arial"/>
          <w:color w:val="000000"/>
          <w:lang w:val="es-CO"/>
        </w:rPr>
        <w:footnoteReference w:id="21"/>
      </w:r>
      <w:r w:rsidR="00EB2072">
        <w:rPr>
          <w:rFonts w:ascii="Verdana" w:hAnsi="Verdana" w:cs="Arial"/>
          <w:color w:val="000000"/>
          <w:lang w:val="es-CO"/>
        </w:rPr>
        <w:t xml:space="preserve">. </w:t>
      </w:r>
    </w:p>
    <w:p w:rsidRPr="00B16456" w:rsidR="00B16456" w:rsidP="00D93541" w:rsidRDefault="00B16456" w14:paraId="07E71F0D" w14:textId="4780FED2">
      <w:pPr>
        <w:spacing w:line="240" w:lineRule="auto"/>
        <w:jc w:val="both"/>
        <w:rPr>
          <w:rFonts w:ascii="Verdana" w:hAnsi="Verdana" w:cs="Arial"/>
          <w:i/>
          <w:iCs/>
          <w:color w:val="000000"/>
          <w:lang w:val="es-CO"/>
        </w:rPr>
      </w:pPr>
      <w:r>
        <w:rPr>
          <w:rFonts w:ascii="Verdana" w:hAnsi="Verdana" w:cs="Arial"/>
          <w:color w:val="000000"/>
        </w:rPr>
        <w:t>Ahora bien, “[</w:t>
      </w:r>
      <w:r>
        <w:rPr>
          <w:rFonts w:ascii="Verdana" w:hAnsi="Verdana" w:cs="Arial"/>
          <w:i/>
          <w:iCs/>
          <w:color w:val="000000"/>
        </w:rPr>
        <w:t>e</w:t>
      </w:r>
      <w:r>
        <w:rPr>
          <w:rFonts w:ascii="Verdana" w:hAnsi="Verdana" w:cs="Arial"/>
          <w:color w:val="000000"/>
        </w:rPr>
        <w:t>]</w:t>
      </w:r>
      <w:r w:rsidRPr="00A47DB9">
        <w:rPr>
          <w:rFonts w:ascii="Verdana" w:hAnsi="Verdana" w:cs="Arial"/>
          <w:i/>
          <w:iCs/>
          <w:color w:val="000000"/>
          <w:lang w:val="es-CO"/>
        </w:rPr>
        <w:t>l concepto de ordenador del gasto se refiere a la capacidad de ejecución del presupuesto. Ejecutar el gasto, significa que, a partir del programa de gastos aprobado - limitado por los recursos aprobados en la ley de presupuesto -, se decide la oportunidad de contratar, comprometer los recursos y ordenar el gasto, funciones que atañen al ordenador del gasto</w:t>
      </w:r>
      <w:r>
        <w:rPr>
          <w:rFonts w:ascii="Verdana" w:hAnsi="Verdana" w:cs="Arial"/>
          <w:color w:val="000000"/>
          <w:lang w:val="es-CO"/>
        </w:rPr>
        <w:t>”</w:t>
      </w:r>
      <w:r w:rsidRPr="00A47DB9">
        <w:rPr>
          <w:rFonts w:ascii="Verdana" w:hAnsi="Verdana" w:cs="Arial"/>
          <w:i/>
          <w:iCs/>
          <w:color w:val="000000"/>
          <w:lang w:val="es-CO"/>
        </w:rPr>
        <w:t>.</w:t>
      </w:r>
    </w:p>
    <w:p w:rsidRPr="009E346D" w:rsidR="007F17BB" w:rsidP="007F17BB" w:rsidRDefault="00997AC2" w14:paraId="7577AEE4" w14:textId="77777777">
      <w:pPr>
        <w:spacing w:line="240" w:lineRule="auto"/>
        <w:jc w:val="both"/>
        <w:rPr>
          <w:rFonts w:ascii="Verdana" w:hAnsi="Verdana" w:cs="Arial"/>
          <w:color w:val="000000"/>
          <w:lang w:val="es-CO"/>
        </w:rPr>
      </w:pPr>
      <w:r>
        <w:rPr>
          <w:rFonts w:ascii="Verdana" w:hAnsi="Verdana" w:cs="Arial"/>
          <w:color w:val="000000"/>
          <w:lang w:val="es-CO"/>
        </w:rPr>
        <w:t xml:space="preserve">Una vez se conoce la necesidad presupuestal adicional, </w:t>
      </w:r>
      <w:r w:rsidR="00122293">
        <w:rPr>
          <w:rFonts w:ascii="Verdana" w:hAnsi="Verdana" w:cs="Arial"/>
          <w:color w:val="000000"/>
          <w:lang w:val="es-CO"/>
        </w:rPr>
        <w:t>tiene lugar el</w:t>
      </w:r>
      <w:r w:rsidR="00960E7D">
        <w:rPr>
          <w:rFonts w:ascii="Verdana" w:hAnsi="Verdana" w:cs="Arial"/>
          <w:color w:val="000000"/>
          <w:lang w:val="es-CO"/>
        </w:rPr>
        <w:t xml:space="preserve"> </w:t>
      </w:r>
      <w:r w:rsidRPr="00960E7D" w:rsidR="00960E7D">
        <w:rPr>
          <w:rFonts w:ascii="Verdana" w:hAnsi="Verdana" w:cs="Arial"/>
          <w:color w:val="000000"/>
          <w:lang w:val="es-CO"/>
        </w:rPr>
        <w:t>“</w:t>
      </w:r>
      <w:r w:rsidRPr="00960E7D" w:rsidR="00960E7D">
        <w:rPr>
          <w:rFonts w:ascii="Verdana" w:hAnsi="Verdana" w:cs="Arial"/>
          <w:i/>
          <w:iCs/>
          <w:color w:val="000000"/>
          <w:lang w:val="es-CO"/>
        </w:rPr>
        <w:t>a</w:t>
      </w:r>
      <w:r w:rsidR="00960E7D">
        <w:rPr>
          <w:rFonts w:ascii="Verdana" w:hAnsi="Verdana" w:cs="Arial"/>
          <w:i/>
          <w:iCs/>
          <w:color w:val="000000"/>
          <w:lang w:val="es-CO"/>
        </w:rPr>
        <w:t xml:space="preserve">cto de adición presupuestal </w:t>
      </w:r>
      <w:r w:rsidR="00122293">
        <w:rPr>
          <w:rFonts w:ascii="Verdana" w:hAnsi="Verdana" w:cs="Arial"/>
          <w:color w:val="000000"/>
          <w:lang w:val="es-CO"/>
        </w:rPr>
        <w:t xml:space="preserve">[que] </w:t>
      </w:r>
      <w:r w:rsidR="00960E7D">
        <w:rPr>
          <w:rFonts w:ascii="Verdana" w:hAnsi="Verdana" w:cs="Arial"/>
          <w:i/>
          <w:iCs/>
          <w:color w:val="000000"/>
          <w:lang w:val="es-CO"/>
        </w:rPr>
        <w:t xml:space="preserve">se realiza dentro del marco de las disposiciones extraordinarias del decreto y se agota </w:t>
      </w:r>
      <w:r w:rsidR="0071318D">
        <w:rPr>
          <w:rFonts w:ascii="Verdana" w:hAnsi="Verdana" w:cs="Arial"/>
          <w:i/>
          <w:iCs/>
          <w:color w:val="000000"/>
          <w:lang w:val="es-CO"/>
        </w:rPr>
        <w:t>en el momento mismo de su expedición, al incorporarse al presupuesto de la vigencia correspondiente</w:t>
      </w:r>
      <w:r w:rsidR="00AF1564">
        <w:rPr>
          <w:rFonts w:ascii="Verdana" w:hAnsi="Verdana" w:cs="Arial"/>
          <w:i/>
          <w:iCs/>
          <w:color w:val="000000"/>
          <w:lang w:val="es-CO"/>
        </w:rPr>
        <w:t xml:space="preserve">. En términos de </w:t>
      </w:r>
      <w:r w:rsidR="00AF1564">
        <w:rPr>
          <w:rFonts w:ascii="Verdana" w:hAnsi="Verdana" w:cs="Arial"/>
          <w:i/>
          <w:iCs/>
          <w:color w:val="000000"/>
          <w:lang w:val="es-CO"/>
        </w:rPr>
        <w:lastRenderedPageBreak/>
        <w:t>temporalidad, se destaca que esta adición se efectúa en el contexto específico del periodo de vigencia del estado de conmoción interior</w:t>
      </w:r>
      <w:r w:rsidR="0043329C">
        <w:rPr>
          <w:rFonts w:ascii="Verdana" w:hAnsi="Verdana" w:cs="Arial"/>
          <w:i/>
          <w:iCs/>
          <w:color w:val="000000"/>
          <w:lang w:val="es-CO"/>
        </w:rPr>
        <w:t xml:space="preserve"> y, por lo tanto, sus efectos se limitan a la vigencia de dicho decreto, sin implicar una alteración</w:t>
      </w:r>
      <w:r w:rsidR="00CC6AD4">
        <w:rPr>
          <w:rFonts w:ascii="Verdana" w:hAnsi="Verdana" w:cs="Arial"/>
          <w:i/>
          <w:iCs/>
          <w:color w:val="000000"/>
          <w:lang w:val="es-CO"/>
        </w:rPr>
        <w:t xml:space="preserve"> permanente del presupuesto o de los recursos del Estado</w:t>
      </w:r>
      <w:r w:rsidR="00001683">
        <w:rPr>
          <w:rStyle w:val="Refdenotaalpie"/>
          <w:rFonts w:ascii="Verdana" w:hAnsi="Verdana" w:cs="Arial"/>
          <w:i/>
          <w:iCs/>
          <w:color w:val="000000"/>
          <w:lang w:val="es-CO"/>
        </w:rPr>
        <w:footnoteReference w:id="22"/>
      </w:r>
      <w:r w:rsidRPr="00CC6AD4" w:rsidR="00CC6AD4">
        <w:rPr>
          <w:rFonts w:ascii="Verdana" w:hAnsi="Verdana" w:cs="Arial"/>
          <w:color w:val="000000"/>
          <w:lang w:val="es-CO"/>
        </w:rPr>
        <w:t>”</w:t>
      </w:r>
      <w:r w:rsidR="00CC6AD4">
        <w:rPr>
          <w:rFonts w:ascii="Verdana" w:hAnsi="Verdana" w:cs="Arial"/>
          <w:color w:val="000000"/>
          <w:lang w:val="es-CO"/>
        </w:rPr>
        <w:t>.</w:t>
      </w:r>
      <w:r w:rsidR="005C63CD">
        <w:rPr>
          <w:rFonts w:ascii="Verdana" w:hAnsi="Verdana" w:cs="Arial"/>
          <w:color w:val="000000"/>
          <w:lang w:val="es-CO"/>
        </w:rPr>
        <w:t xml:space="preserve"> </w:t>
      </w:r>
      <w:r w:rsidR="007F17BB">
        <w:rPr>
          <w:rFonts w:ascii="Verdana" w:hAnsi="Verdana" w:cs="Arial"/>
          <w:color w:val="000000"/>
          <w:lang w:val="es-CO"/>
        </w:rPr>
        <w:t>Aprobada esta modificación del presupuesto, y una vez realizada la adición correspondiente, la entidad que la recibe es sujeto de vigilancia y control por parte de las autoridades fiscales y disciplinarias</w:t>
      </w:r>
      <w:r w:rsidR="007F17BB">
        <w:rPr>
          <w:rStyle w:val="Refdenotaalpie"/>
          <w:rFonts w:ascii="Verdana" w:hAnsi="Verdana" w:cs="Arial"/>
          <w:color w:val="000000"/>
          <w:lang w:val="es-CO"/>
        </w:rPr>
        <w:footnoteReference w:id="23"/>
      </w:r>
      <w:r w:rsidR="007F17BB">
        <w:rPr>
          <w:rFonts w:ascii="Verdana" w:hAnsi="Verdana" w:cs="Arial"/>
          <w:color w:val="000000"/>
          <w:lang w:val="es-CO"/>
        </w:rPr>
        <w:t xml:space="preserve">. </w:t>
      </w:r>
    </w:p>
    <w:p w:rsidR="00955B1F" w:rsidP="00A47DB9" w:rsidRDefault="00955B1F" w14:paraId="67EB8ABB" w14:textId="27797FB9">
      <w:pPr>
        <w:spacing w:line="240" w:lineRule="auto"/>
        <w:jc w:val="both"/>
        <w:rPr>
          <w:rFonts w:ascii="Verdana" w:hAnsi="Verdana" w:cs="Arial"/>
          <w:color w:val="000000"/>
          <w:lang w:val="es-CO"/>
        </w:rPr>
      </w:pPr>
      <w:r>
        <w:rPr>
          <w:rFonts w:ascii="Verdana" w:hAnsi="Verdana" w:cs="Arial"/>
          <w:color w:val="000000"/>
          <w:lang w:val="es-CO"/>
        </w:rPr>
        <w:t xml:space="preserve">Ahora bien, </w:t>
      </w:r>
      <w:r w:rsidR="00355136">
        <w:rPr>
          <w:rFonts w:ascii="Verdana" w:hAnsi="Verdana" w:cs="Arial"/>
          <w:color w:val="000000"/>
          <w:lang w:val="es-CO"/>
        </w:rPr>
        <w:t xml:space="preserve">así como </w:t>
      </w:r>
      <w:r>
        <w:rPr>
          <w:rFonts w:ascii="Verdana" w:hAnsi="Verdana" w:cs="Arial"/>
          <w:color w:val="000000"/>
          <w:lang w:val="es-CO"/>
        </w:rPr>
        <w:t xml:space="preserve">las medidas adoptadas </w:t>
      </w:r>
      <w:r w:rsidR="00512EB2">
        <w:rPr>
          <w:rFonts w:ascii="Verdana" w:hAnsi="Verdana" w:cs="Arial"/>
          <w:color w:val="000000"/>
          <w:lang w:val="es-CO"/>
        </w:rPr>
        <w:t xml:space="preserve">en un estado de excepción, </w:t>
      </w:r>
      <w:r>
        <w:rPr>
          <w:rFonts w:ascii="Verdana" w:hAnsi="Verdana" w:cs="Arial"/>
          <w:color w:val="000000"/>
          <w:lang w:val="es-CO"/>
        </w:rPr>
        <w:t xml:space="preserve">con el propósito de conjurar la crisis deben superar el juicio de constitucionalidad </w:t>
      </w:r>
      <w:r w:rsidR="00233291">
        <w:rPr>
          <w:rFonts w:ascii="Verdana" w:hAnsi="Verdana" w:cs="Arial"/>
          <w:color w:val="000000"/>
          <w:lang w:val="es-CO"/>
        </w:rPr>
        <w:t xml:space="preserve">que se basa en los </w:t>
      </w:r>
      <w:r w:rsidR="0043695F">
        <w:rPr>
          <w:rFonts w:ascii="Verdana" w:hAnsi="Verdana" w:cs="Arial"/>
          <w:color w:val="000000"/>
          <w:lang w:val="es-CO"/>
        </w:rPr>
        <w:t xml:space="preserve">siguientes </w:t>
      </w:r>
      <w:r w:rsidR="00D549F8">
        <w:rPr>
          <w:rFonts w:ascii="Verdana" w:hAnsi="Verdana" w:cs="Arial"/>
          <w:color w:val="000000"/>
          <w:lang w:val="es-CO"/>
        </w:rPr>
        <w:t>principios establecidos</w:t>
      </w:r>
      <w:r w:rsidR="0043695F">
        <w:rPr>
          <w:rFonts w:ascii="Verdana" w:hAnsi="Verdana" w:cs="Arial"/>
          <w:color w:val="000000"/>
          <w:lang w:val="es-CO"/>
        </w:rPr>
        <w:t xml:space="preserve"> en la LEEE</w:t>
      </w:r>
      <w:r w:rsidR="00D549F8">
        <w:rPr>
          <w:rStyle w:val="Refdenotaalpie"/>
          <w:rFonts w:ascii="Verdana" w:hAnsi="Verdana" w:cs="Arial"/>
          <w:color w:val="000000"/>
          <w:lang w:val="es-CO"/>
        </w:rPr>
        <w:footnoteReference w:id="24"/>
      </w:r>
      <w:r w:rsidR="002E3DC1">
        <w:rPr>
          <w:rFonts w:ascii="Verdana" w:hAnsi="Verdana" w:cs="Arial"/>
          <w:color w:val="000000"/>
          <w:lang w:val="es-CO"/>
        </w:rPr>
        <w:t xml:space="preserve">: finalidad, necesidad, motivación de </w:t>
      </w:r>
      <w:r w:rsidR="00512EB2">
        <w:rPr>
          <w:rFonts w:ascii="Verdana" w:hAnsi="Verdana" w:cs="Arial"/>
          <w:color w:val="000000"/>
          <w:lang w:val="es-CO"/>
        </w:rPr>
        <w:t>incompatibilidad</w:t>
      </w:r>
      <w:r w:rsidR="002E3DC1">
        <w:rPr>
          <w:rFonts w:ascii="Verdana" w:hAnsi="Verdana" w:cs="Arial"/>
          <w:color w:val="000000"/>
          <w:lang w:val="es-CO"/>
        </w:rPr>
        <w:t xml:space="preserve">, </w:t>
      </w:r>
      <w:r w:rsidR="00512EB2">
        <w:rPr>
          <w:rFonts w:ascii="Verdana" w:hAnsi="Verdana" w:cs="Arial"/>
          <w:color w:val="000000"/>
          <w:lang w:val="es-CO"/>
        </w:rPr>
        <w:t>proporcionalidad</w:t>
      </w:r>
      <w:r w:rsidR="002E3DC1">
        <w:rPr>
          <w:rFonts w:ascii="Verdana" w:hAnsi="Verdana" w:cs="Arial"/>
          <w:color w:val="000000"/>
          <w:lang w:val="es-CO"/>
        </w:rPr>
        <w:t xml:space="preserve"> y no discriminación.</w:t>
      </w:r>
      <w:r w:rsidR="006C79FE">
        <w:rPr>
          <w:rFonts w:ascii="Verdana" w:hAnsi="Verdana" w:cs="Arial"/>
          <w:color w:val="000000"/>
          <w:lang w:val="es-CO"/>
        </w:rPr>
        <w:t xml:space="preserve"> </w:t>
      </w:r>
      <w:r w:rsidR="003F34DC">
        <w:rPr>
          <w:rFonts w:ascii="Verdana" w:hAnsi="Verdana" w:cs="Arial"/>
          <w:color w:val="000000"/>
          <w:lang w:val="es-CO"/>
        </w:rPr>
        <w:t>La aplicación de medidas de carácter presupuestal también debe</w:t>
      </w:r>
      <w:r w:rsidR="006C79FE">
        <w:rPr>
          <w:rFonts w:ascii="Verdana" w:hAnsi="Verdana" w:cs="Arial"/>
          <w:color w:val="000000"/>
          <w:lang w:val="es-CO"/>
        </w:rPr>
        <w:t xml:space="preserve"> satisfacer ciertos c</w:t>
      </w:r>
      <w:r w:rsidR="003F34DC">
        <w:rPr>
          <w:rFonts w:ascii="Verdana" w:hAnsi="Verdana" w:cs="Arial"/>
          <w:color w:val="000000"/>
          <w:lang w:val="es-CO"/>
        </w:rPr>
        <w:t>riterios, que determinan su viabilidad y constitucionalidad.</w:t>
      </w:r>
    </w:p>
    <w:p w:rsidR="003F34DC" w:rsidP="00A47DB9" w:rsidRDefault="003F34DC" w14:paraId="4ECC15CB" w14:textId="1EF1FBBC">
      <w:pPr>
        <w:spacing w:line="240" w:lineRule="auto"/>
        <w:jc w:val="both"/>
        <w:rPr>
          <w:rFonts w:ascii="Verdana" w:hAnsi="Verdana" w:cs="Arial"/>
          <w:color w:val="000000"/>
          <w:lang w:val="es-CO"/>
        </w:rPr>
      </w:pPr>
      <w:r>
        <w:rPr>
          <w:rFonts w:ascii="Verdana" w:hAnsi="Verdana" w:cs="Arial"/>
          <w:color w:val="000000"/>
          <w:lang w:val="es-CO"/>
        </w:rPr>
        <w:t xml:space="preserve">Esto es así por cuanto no todas medidas contenidas en los decretos que desarrollan </w:t>
      </w:r>
      <w:r w:rsidR="002D5068">
        <w:rPr>
          <w:rFonts w:ascii="Verdana" w:hAnsi="Verdana" w:cs="Arial"/>
          <w:color w:val="000000"/>
          <w:lang w:val="es-CO"/>
        </w:rPr>
        <w:t>los estados</w:t>
      </w:r>
      <w:r>
        <w:rPr>
          <w:rFonts w:ascii="Verdana" w:hAnsi="Verdana" w:cs="Arial"/>
          <w:color w:val="000000"/>
          <w:lang w:val="es-CO"/>
        </w:rPr>
        <w:t xml:space="preserve"> de excepción son específicas, por </w:t>
      </w:r>
      <w:r w:rsidR="002D5068">
        <w:rPr>
          <w:rFonts w:ascii="Verdana" w:hAnsi="Verdana" w:cs="Arial"/>
          <w:color w:val="000000"/>
          <w:lang w:val="es-CO"/>
        </w:rPr>
        <w:t>ejemplo,</w:t>
      </w:r>
      <w:r>
        <w:rPr>
          <w:rFonts w:ascii="Verdana" w:hAnsi="Verdana" w:cs="Arial"/>
          <w:color w:val="000000"/>
          <w:lang w:val="es-CO"/>
        </w:rPr>
        <w:t xml:space="preserve"> como </w:t>
      </w:r>
      <w:r w:rsidR="001E310C">
        <w:rPr>
          <w:rFonts w:ascii="Verdana" w:hAnsi="Verdana" w:cs="Arial"/>
          <w:color w:val="000000"/>
          <w:lang w:val="es-CO"/>
        </w:rPr>
        <w:t>las contenidas</w:t>
      </w:r>
      <w:r w:rsidR="00B3273F">
        <w:rPr>
          <w:rFonts w:ascii="Verdana" w:hAnsi="Verdana" w:cs="Arial"/>
          <w:color w:val="000000"/>
          <w:lang w:val="es-CO"/>
        </w:rPr>
        <w:t xml:space="preserve"> en el Decreto 433 de 2025, sino que algunas son más amplias</w:t>
      </w:r>
      <w:r w:rsidR="00526613">
        <w:rPr>
          <w:rFonts w:ascii="Verdana" w:hAnsi="Verdana" w:cs="Arial"/>
          <w:color w:val="000000"/>
          <w:lang w:val="es-CO"/>
        </w:rPr>
        <w:t xml:space="preserve">, como la disposición presupuestal del Decreto 274 de 2025, que asigna el presupuesto adicional al ICBF y que lo destina a conjurar la crisis sin </w:t>
      </w:r>
      <w:r w:rsidR="002E11FC">
        <w:rPr>
          <w:rFonts w:ascii="Verdana" w:hAnsi="Verdana" w:cs="Arial"/>
          <w:color w:val="000000"/>
          <w:lang w:val="es-CO"/>
        </w:rPr>
        <w:t>determinar de forma espec</w:t>
      </w:r>
      <w:r w:rsidR="008B70C9">
        <w:rPr>
          <w:rFonts w:ascii="Verdana" w:hAnsi="Verdana" w:cs="Arial"/>
          <w:color w:val="000000"/>
          <w:lang w:val="es-CO"/>
        </w:rPr>
        <w:t>í</w:t>
      </w:r>
      <w:r w:rsidR="002E11FC">
        <w:rPr>
          <w:rFonts w:ascii="Verdana" w:hAnsi="Verdana" w:cs="Arial"/>
          <w:color w:val="000000"/>
          <w:lang w:val="es-CO"/>
        </w:rPr>
        <w:t>fica los por menores de las acciones que se requieren. Esto, le otorga sin duda, una mayor autonomía a la entidad, sin que se pueda sostener que est</w:t>
      </w:r>
      <w:r w:rsidR="00CA621F">
        <w:rPr>
          <w:rFonts w:ascii="Verdana" w:hAnsi="Verdana" w:cs="Arial"/>
          <w:color w:val="000000"/>
          <w:lang w:val="es-CO"/>
        </w:rPr>
        <w:t>á</w:t>
      </w:r>
      <w:r w:rsidR="002E11FC">
        <w:rPr>
          <w:rFonts w:ascii="Verdana" w:hAnsi="Verdana" w:cs="Arial"/>
          <w:color w:val="000000"/>
          <w:lang w:val="es-CO"/>
        </w:rPr>
        <w:t xml:space="preserve"> desprovista de controles</w:t>
      </w:r>
      <w:r w:rsidR="002D5068">
        <w:rPr>
          <w:rFonts w:ascii="Verdana" w:hAnsi="Verdana" w:cs="Arial"/>
          <w:color w:val="000000"/>
          <w:lang w:val="es-CO"/>
        </w:rPr>
        <w:t xml:space="preserve"> o límites, como se explicará a continuación. </w:t>
      </w:r>
    </w:p>
    <w:p w:rsidR="00063AD4" w:rsidP="00A47DB9" w:rsidRDefault="00D91613" w14:paraId="431F119E" w14:textId="02AE286C">
      <w:pPr>
        <w:spacing w:line="240" w:lineRule="auto"/>
        <w:jc w:val="both"/>
        <w:rPr>
          <w:rFonts w:ascii="Verdana" w:hAnsi="Verdana" w:cs="Arial"/>
          <w:color w:val="000000"/>
          <w:lang w:val="es-CO"/>
        </w:rPr>
      </w:pPr>
      <w:r>
        <w:rPr>
          <w:rFonts w:ascii="Verdana" w:hAnsi="Verdana" w:cs="Arial"/>
          <w:color w:val="000000"/>
          <w:lang w:val="es-CO"/>
        </w:rPr>
        <w:t>Del mismo modo, no</w:t>
      </w:r>
      <w:r w:rsidR="005C5DD5">
        <w:rPr>
          <w:rFonts w:ascii="Verdana" w:hAnsi="Verdana" w:cs="Arial"/>
          <w:color w:val="000000"/>
          <w:lang w:val="es-CO"/>
        </w:rPr>
        <w:t xml:space="preserve"> todas las medidas presupuestales contenidas en los decretos de desarrollo de un estado de excepción </w:t>
      </w:r>
      <w:r w:rsidR="0083214B">
        <w:rPr>
          <w:rFonts w:ascii="Verdana" w:hAnsi="Verdana" w:cs="Arial"/>
          <w:color w:val="000000"/>
          <w:lang w:val="es-CO"/>
        </w:rPr>
        <w:t xml:space="preserve">prescriben cuando se decreta la terminación </w:t>
      </w:r>
      <w:r w:rsidR="00F60F05">
        <w:rPr>
          <w:rFonts w:ascii="Verdana" w:hAnsi="Verdana" w:cs="Arial"/>
          <w:color w:val="000000"/>
          <w:lang w:val="es-CO"/>
        </w:rPr>
        <w:t>de este</w:t>
      </w:r>
      <w:r w:rsidR="0083214B">
        <w:rPr>
          <w:rFonts w:ascii="Verdana" w:hAnsi="Verdana" w:cs="Arial"/>
          <w:color w:val="000000"/>
          <w:lang w:val="es-CO"/>
        </w:rPr>
        <w:t xml:space="preserve"> o sus prórrogas</w:t>
      </w:r>
      <w:r w:rsidR="008F7775">
        <w:rPr>
          <w:rFonts w:ascii="Verdana" w:hAnsi="Verdana" w:cs="Arial"/>
          <w:color w:val="000000"/>
          <w:lang w:val="es-CO"/>
        </w:rPr>
        <w:t xml:space="preserve">, </w:t>
      </w:r>
      <w:r w:rsidR="00D417BC">
        <w:rPr>
          <w:rFonts w:ascii="Verdana" w:hAnsi="Verdana" w:cs="Arial"/>
          <w:color w:val="000000"/>
          <w:lang w:val="es-CO"/>
        </w:rPr>
        <w:t>algunas son susceptibles de extenderse hasta finalizar el año fiscal</w:t>
      </w:r>
      <w:r w:rsidR="0083214B">
        <w:rPr>
          <w:rFonts w:ascii="Verdana" w:hAnsi="Verdana" w:cs="Arial"/>
          <w:color w:val="000000"/>
          <w:lang w:val="es-CO"/>
        </w:rPr>
        <w:t xml:space="preserve">. </w:t>
      </w:r>
      <w:r w:rsidR="00D417BC">
        <w:rPr>
          <w:rFonts w:ascii="Verdana" w:hAnsi="Verdana" w:cs="Arial"/>
          <w:color w:val="000000"/>
          <w:lang w:val="es-CO"/>
        </w:rPr>
        <w:t xml:space="preserve">Esto </w:t>
      </w:r>
      <w:r w:rsidR="0083214B">
        <w:rPr>
          <w:rFonts w:ascii="Verdana" w:hAnsi="Verdana" w:cs="Arial"/>
          <w:color w:val="000000"/>
          <w:lang w:val="es-CO"/>
        </w:rPr>
        <w:t xml:space="preserve">a pesar de que existen medidas </w:t>
      </w:r>
      <w:r w:rsidR="00A81B0C">
        <w:rPr>
          <w:rFonts w:ascii="Verdana" w:hAnsi="Verdana" w:cs="Arial"/>
          <w:color w:val="000000"/>
          <w:lang w:val="es-CO"/>
        </w:rPr>
        <w:t>que</w:t>
      </w:r>
      <w:r w:rsidR="0083214B">
        <w:rPr>
          <w:rFonts w:ascii="Verdana" w:hAnsi="Verdana" w:cs="Arial"/>
          <w:color w:val="000000"/>
          <w:lang w:val="es-CO"/>
        </w:rPr>
        <w:t xml:space="preserve"> </w:t>
      </w:r>
      <w:r w:rsidR="00A440FE">
        <w:rPr>
          <w:rFonts w:ascii="Verdana" w:hAnsi="Verdana" w:cs="Arial"/>
          <w:color w:val="000000"/>
          <w:lang w:val="es-CO"/>
        </w:rPr>
        <w:t>sí</w:t>
      </w:r>
      <w:r w:rsidR="0083214B">
        <w:rPr>
          <w:rFonts w:ascii="Verdana" w:hAnsi="Verdana" w:cs="Arial"/>
          <w:color w:val="000000"/>
          <w:lang w:val="es-CO"/>
        </w:rPr>
        <w:t xml:space="preserve"> están atadas temporalmente</w:t>
      </w:r>
      <w:r w:rsidR="00085596">
        <w:rPr>
          <w:rFonts w:ascii="Verdana" w:hAnsi="Verdana" w:cs="Arial"/>
          <w:color w:val="000000"/>
          <w:lang w:val="es-CO"/>
        </w:rPr>
        <w:t xml:space="preserve"> a la finalización del estado de excepción, </w:t>
      </w:r>
      <w:r w:rsidR="0083214B">
        <w:rPr>
          <w:rFonts w:ascii="Verdana" w:hAnsi="Verdana" w:cs="Arial"/>
          <w:color w:val="000000"/>
          <w:lang w:val="es-CO"/>
        </w:rPr>
        <w:t>por voluntad del ejecutivo, en el marco de las limitaciones constitucionales en la materia</w:t>
      </w:r>
      <w:r w:rsidR="00B639A7">
        <w:rPr>
          <w:rFonts w:ascii="Verdana" w:hAnsi="Verdana" w:cs="Arial"/>
          <w:color w:val="000000"/>
          <w:lang w:val="es-CO"/>
        </w:rPr>
        <w:t xml:space="preserve">. </w:t>
      </w:r>
    </w:p>
    <w:p w:rsidR="00B946E6" w:rsidP="00F9284B" w:rsidRDefault="00A32F70" w14:paraId="25054AC6" w14:textId="52CD2975">
      <w:pPr>
        <w:spacing w:line="240" w:lineRule="auto"/>
        <w:jc w:val="both"/>
        <w:rPr>
          <w:rFonts w:ascii="Verdana" w:hAnsi="Verdana" w:cs="Arial"/>
          <w:color w:val="000000"/>
          <w:lang w:val="es-CO"/>
        </w:rPr>
      </w:pPr>
      <w:r>
        <w:rPr>
          <w:rFonts w:ascii="Verdana" w:hAnsi="Verdana" w:cs="Arial"/>
          <w:color w:val="000000"/>
          <w:lang w:val="es-CO"/>
        </w:rPr>
        <w:t>Lo anterior</w:t>
      </w:r>
      <w:r w:rsidR="00A81B0C">
        <w:rPr>
          <w:rFonts w:ascii="Verdana" w:hAnsi="Verdana" w:cs="Arial"/>
          <w:color w:val="000000"/>
          <w:lang w:val="es-CO"/>
        </w:rPr>
        <w:t>, encuentra sustento en e</w:t>
      </w:r>
      <w:r>
        <w:rPr>
          <w:rFonts w:ascii="Verdana" w:hAnsi="Verdana" w:cs="Arial"/>
          <w:color w:val="000000"/>
          <w:lang w:val="es-CO"/>
        </w:rPr>
        <w:t>l principio de anualidad presupuestal</w:t>
      </w:r>
      <w:r w:rsidR="00BF462B">
        <w:rPr>
          <w:rFonts w:ascii="Verdana" w:hAnsi="Verdana" w:cs="Arial"/>
          <w:color w:val="000000"/>
          <w:lang w:val="es-CO"/>
        </w:rPr>
        <w:t xml:space="preserve">, </w:t>
      </w:r>
      <w:r w:rsidR="006F0E2F">
        <w:rPr>
          <w:rFonts w:ascii="Verdana" w:hAnsi="Verdana" w:cs="Arial"/>
          <w:color w:val="000000"/>
          <w:lang w:val="es-CO"/>
        </w:rPr>
        <w:t xml:space="preserve">bajo el cual la adición no puede exceder la vigencia fiscal, </w:t>
      </w:r>
      <w:r w:rsidR="005B7123">
        <w:rPr>
          <w:rFonts w:ascii="Verdana" w:hAnsi="Verdana" w:cs="Arial"/>
          <w:color w:val="000000"/>
          <w:lang w:val="es-CO"/>
        </w:rPr>
        <w:t xml:space="preserve">que de acuerdo con el articulo </w:t>
      </w:r>
      <w:r w:rsidR="00CE329B">
        <w:rPr>
          <w:rFonts w:ascii="Verdana" w:hAnsi="Verdana" w:cs="Arial"/>
          <w:color w:val="000000"/>
          <w:lang w:val="es-CO"/>
        </w:rPr>
        <w:t xml:space="preserve">14 del Estatuto Orgánico del Presupuesto -EOP-, </w:t>
      </w:r>
      <w:r w:rsidR="008F7775">
        <w:rPr>
          <w:rFonts w:ascii="Verdana" w:hAnsi="Verdana" w:cs="Arial"/>
          <w:color w:val="000000"/>
          <w:lang w:val="es-CO"/>
        </w:rPr>
        <w:t>inicia el 1 de enero y termina el 31 de diciembre de cada año.</w:t>
      </w:r>
      <w:r w:rsidR="005342F9">
        <w:rPr>
          <w:rFonts w:ascii="Verdana" w:hAnsi="Verdana" w:cs="Arial"/>
          <w:color w:val="000000"/>
          <w:lang w:val="es-CO"/>
        </w:rPr>
        <w:t xml:space="preserve"> </w:t>
      </w:r>
      <w:r w:rsidR="000D707F">
        <w:rPr>
          <w:rFonts w:ascii="Verdana" w:hAnsi="Verdana" w:cs="Arial"/>
          <w:color w:val="000000"/>
          <w:lang w:val="es-CO"/>
        </w:rPr>
        <w:t xml:space="preserve"> En otras palabras, es viable y constitucionalmente admisible que </w:t>
      </w:r>
      <w:r w:rsidR="00115051">
        <w:rPr>
          <w:rFonts w:ascii="Verdana" w:hAnsi="Verdana" w:cs="Arial"/>
          <w:color w:val="000000"/>
          <w:lang w:val="es-CO"/>
        </w:rPr>
        <w:t>las modificaciones al PGN, efectuadas en el marco de un estado de excepción</w:t>
      </w:r>
      <w:r w:rsidR="008302C9">
        <w:rPr>
          <w:rFonts w:ascii="Verdana" w:hAnsi="Verdana" w:cs="Arial"/>
          <w:color w:val="000000"/>
          <w:lang w:val="es-CO"/>
        </w:rPr>
        <w:t xml:space="preserve"> continúen vigentes</w:t>
      </w:r>
      <w:r w:rsidR="00115051">
        <w:rPr>
          <w:rFonts w:ascii="Verdana" w:hAnsi="Verdana" w:cs="Arial"/>
          <w:color w:val="000000"/>
          <w:lang w:val="es-CO"/>
        </w:rPr>
        <w:t xml:space="preserve"> </w:t>
      </w:r>
      <w:r w:rsidR="00A5720B">
        <w:rPr>
          <w:rFonts w:ascii="Verdana" w:hAnsi="Verdana" w:cs="Arial"/>
          <w:color w:val="000000"/>
          <w:lang w:val="es-CO"/>
        </w:rPr>
        <w:t>una vez se termina el mencionado estado</w:t>
      </w:r>
      <w:r w:rsidR="008302C9">
        <w:rPr>
          <w:rFonts w:ascii="Verdana" w:hAnsi="Verdana" w:cs="Arial"/>
          <w:color w:val="000000"/>
          <w:lang w:val="es-CO"/>
        </w:rPr>
        <w:t xml:space="preserve"> o sus prorrogas</w:t>
      </w:r>
      <w:r w:rsidR="00A5720B">
        <w:rPr>
          <w:rFonts w:ascii="Verdana" w:hAnsi="Verdana" w:cs="Arial"/>
          <w:color w:val="000000"/>
          <w:lang w:val="es-CO"/>
        </w:rPr>
        <w:t xml:space="preserve">, siempre y cuando estén encaminadas superar la crisis, conjurar sus efectos y </w:t>
      </w:r>
      <w:r w:rsidR="008302C9">
        <w:rPr>
          <w:rFonts w:ascii="Verdana" w:hAnsi="Verdana" w:cs="Arial"/>
          <w:color w:val="000000"/>
          <w:lang w:val="es-CO"/>
        </w:rPr>
        <w:t>satisfagan</w:t>
      </w:r>
      <w:r w:rsidR="00EE291F">
        <w:rPr>
          <w:rFonts w:ascii="Verdana" w:hAnsi="Verdana" w:cs="Arial"/>
          <w:color w:val="000000"/>
          <w:lang w:val="es-CO"/>
        </w:rPr>
        <w:t xml:space="preserve"> los juicios de conexidad y finalidad</w:t>
      </w:r>
      <w:r w:rsidR="008302C9">
        <w:rPr>
          <w:rFonts w:ascii="Verdana" w:hAnsi="Verdana" w:cs="Arial"/>
          <w:color w:val="000000"/>
          <w:lang w:val="es-CO"/>
        </w:rPr>
        <w:t>, entre otros</w:t>
      </w:r>
      <w:r w:rsidR="00EE291F">
        <w:rPr>
          <w:rFonts w:ascii="Verdana" w:hAnsi="Verdana" w:cs="Arial"/>
          <w:color w:val="000000"/>
          <w:lang w:val="es-CO"/>
        </w:rPr>
        <w:t xml:space="preserve">. </w:t>
      </w:r>
    </w:p>
    <w:p w:rsidR="003E16AD" w:rsidP="00F9284B" w:rsidRDefault="00EE291F" w14:paraId="4531DD73" w14:textId="50CE200D">
      <w:pPr>
        <w:spacing w:line="240" w:lineRule="auto"/>
        <w:jc w:val="both"/>
        <w:rPr>
          <w:rFonts w:ascii="Verdana" w:hAnsi="Verdana" w:cs="Arial"/>
          <w:color w:val="000000"/>
          <w:lang w:val="es-CO"/>
        </w:rPr>
      </w:pPr>
      <w:r>
        <w:rPr>
          <w:rFonts w:ascii="Verdana" w:hAnsi="Verdana" w:cs="Arial"/>
          <w:color w:val="000000"/>
          <w:lang w:val="es-CO"/>
        </w:rPr>
        <w:t xml:space="preserve">Es decir, cuando </w:t>
      </w:r>
      <w:r w:rsidR="00656DE1">
        <w:rPr>
          <w:rFonts w:ascii="Verdana" w:hAnsi="Verdana" w:cs="Arial"/>
          <w:color w:val="000000"/>
          <w:lang w:val="es-CO"/>
        </w:rPr>
        <w:t xml:space="preserve">los gastos que se deriven de esos </w:t>
      </w:r>
      <w:r w:rsidR="00066D36">
        <w:rPr>
          <w:rFonts w:ascii="Verdana" w:hAnsi="Verdana" w:cs="Arial"/>
          <w:color w:val="000000"/>
          <w:lang w:val="es-CO"/>
        </w:rPr>
        <w:t>recursos</w:t>
      </w:r>
      <w:r w:rsidR="00656DE1">
        <w:rPr>
          <w:rFonts w:ascii="Verdana" w:hAnsi="Verdana" w:cs="Arial"/>
          <w:color w:val="000000"/>
          <w:lang w:val="es-CO"/>
        </w:rPr>
        <w:t xml:space="preserve"> estén intrínsicamente relacionados con las situaciones que originaron el estado de excepción </w:t>
      </w:r>
      <w:r w:rsidR="00066D36">
        <w:rPr>
          <w:rFonts w:ascii="Verdana" w:hAnsi="Verdana" w:cs="Arial"/>
          <w:color w:val="000000"/>
          <w:lang w:val="es-CO"/>
        </w:rPr>
        <w:t>y sus consecuencias</w:t>
      </w:r>
      <w:r w:rsidR="00B946E6">
        <w:rPr>
          <w:rFonts w:ascii="Verdana" w:hAnsi="Verdana" w:cs="Arial"/>
          <w:color w:val="000000"/>
          <w:lang w:val="es-CO"/>
        </w:rPr>
        <w:t xml:space="preserve">, teniendo en cuenta además el marco de aplicación del </w:t>
      </w:r>
      <w:r w:rsidR="00D91613">
        <w:rPr>
          <w:rFonts w:ascii="Verdana" w:hAnsi="Verdana" w:cs="Arial"/>
          <w:color w:val="000000"/>
          <w:lang w:val="es-CO"/>
        </w:rPr>
        <w:t xml:space="preserve">decreto </w:t>
      </w:r>
      <w:r w:rsidR="00D91613">
        <w:rPr>
          <w:rFonts w:ascii="Verdana" w:hAnsi="Verdana" w:cs="Arial"/>
          <w:color w:val="000000"/>
          <w:lang w:val="es-CO"/>
        </w:rPr>
        <w:lastRenderedPageBreak/>
        <w:t>declaratori</w:t>
      </w:r>
      <w:r w:rsidR="003E16AD">
        <w:rPr>
          <w:rFonts w:ascii="Verdana" w:hAnsi="Verdana" w:cs="Arial"/>
          <w:color w:val="000000"/>
          <w:lang w:val="es-CO"/>
        </w:rPr>
        <w:t>o</w:t>
      </w:r>
      <w:r w:rsidR="00D91613">
        <w:rPr>
          <w:rFonts w:ascii="Verdana" w:hAnsi="Verdana" w:cs="Arial"/>
          <w:color w:val="000000"/>
          <w:lang w:val="es-CO"/>
        </w:rPr>
        <w:t xml:space="preserve">, es decir exclusivamente para las regiones que se mencionan e incluyen en dicha norma. </w:t>
      </w:r>
    </w:p>
    <w:p w:rsidR="00C72164" w:rsidP="00561F99" w:rsidRDefault="00561F99" w14:paraId="26B77664" w14:textId="01E5662D">
      <w:pPr>
        <w:jc w:val="both"/>
        <w:rPr>
          <w:rFonts w:ascii="Verdana" w:hAnsi="Verdana" w:cs="Arial"/>
          <w:b/>
          <w:bCs/>
          <w:color w:val="000000"/>
          <w:lang w:val="es-CO"/>
        </w:rPr>
      </w:pPr>
      <w:r>
        <w:rPr>
          <w:rFonts w:ascii="Verdana" w:hAnsi="Verdana" w:cs="Arial"/>
          <w:b/>
          <w:bCs/>
          <w:color w:val="000000"/>
          <w:lang w:val="es-CO"/>
        </w:rPr>
        <w:t>3.</w:t>
      </w:r>
      <w:r w:rsidR="00B3689C">
        <w:rPr>
          <w:rFonts w:ascii="Verdana" w:hAnsi="Verdana" w:cs="Arial"/>
          <w:b/>
          <w:bCs/>
          <w:color w:val="000000"/>
          <w:lang w:val="es-CO"/>
        </w:rPr>
        <w:t>4</w:t>
      </w:r>
      <w:r>
        <w:rPr>
          <w:rFonts w:ascii="Verdana" w:hAnsi="Verdana" w:cs="Arial"/>
          <w:b/>
          <w:bCs/>
          <w:color w:val="000000"/>
          <w:lang w:val="es-CO"/>
        </w:rPr>
        <w:t>. Consideraciones sobre el Decreto 274 de 2025.</w:t>
      </w:r>
    </w:p>
    <w:p w:rsidR="00561F99" w:rsidP="00D93541" w:rsidRDefault="00F9284B" w14:paraId="1A4643E1" w14:textId="353CD2FF">
      <w:pPr>
        <w:spacing w:line="240" w:lineRule="auto"/>
        <w:jc w:val="both"/>
        <w:rPr>
          <w:rFonts w:ascii="Verdana" w:hAnsi="Verdana" w:cs="Arial"/>
          <w:color w:val="000000"/>
          <w:lang w:val="es-CO"/>
        </w:rPr>
      </w:pPr>
      <w:r>
        <w:rPr>
          <w:rFonts w:ascii="Verdana" w:hAnsi="Verdana" w:cs="Arial"/>
          <w:color w:val="000000"/>
          <w:lang w:val="es-CO"/>
        </w:rPr>
        <w:t>El</w:t>
      </w:r>
      <w:r w:rsidR="00561F99">
        <w:rPr>
          <w:rFonts w:ascii="Verdana" w:hAnsi="Verdana" w:cs="Arial"/>
          <w:color w:val="000000"/>
          <w:lang w:val="es-CO"/>
        </w:rPr>
        <w:t xml:space="preserve"> Decreto Legislativo 274 de 2025 “</w:t>
      </w:r>
      <w:r w:rsidRPr="00561F99" w:rsidR="00561F99">
        <w:rPr>
          <w:rFonts w:ascii="Verdana" w:hAnsi="Verdana" w:cs="Arial"/>
          <w:i/>
          <w:iCs/>
          <w:color w:val="000000"/>
          <w:lang w:val="es-CO"/>
        </w:rPr>
        <w:t>por el cual se adiciona el Presupuesto General de la Nación de la Vigencia Fiscal de 2025, en el marco de la Declaratoria del Estado de Conmoción Interior en la Región del Catatumbo, el área Metropolitana de Cúcuta y los municipios de Río de Oro y González del departamento del Cesar</w:t>
      </w:r>
      <w:r w:rsidR="00561F99">
        <w:rPr>
          <w:rFonts w:ascii="Verdana" w:hAnsi="Verdana" w:cs="Arial"/>
          <w:color w:val="000000"/>
          <w:lang w:val="es-CO"/>
        </w:rPr>
        <w:t xml:space="preserve">”, prevé en sus consideraciones los hechos y circunstancias que dieron lugar al </w:t>
      </w:r>
      <w:r w:rsidR="00E80798">
        <w:rPr>
          <w:rFonts w:ascii="Verdana" w:hAnsi="Verdana" w:cs="Arial"/>
          <w:color w:val="000000"/>
          <w:lang w:val="es-CO"/>
        </w:rPr>
        <w:t>estado</w:t>
      </w:r>
      <w:r w:rsidR="00561F99">
        <w:rPr>
          <w:rFonts w:ascii="Verdana" w:hAnsi="Verdana" w:cs="Arial"/>
          <w:color w:val="000000"/>
          <w:lang w:val="es-CO"/>
        </w:rPr>
        <w:t xml:space="preserve"> de </w:t>
      </w:r>
      <w:r w:rsidR="00E80798">
        <w:rPr>
          <w:rFonts w:ascii="Verdana" w:hAnsi="Verdana" w:cs="Arial"/>
          <w:color w:val="000000"/>
          <w:lang w:val="es-CO"/>
        </w:rPr>
        <w:t>c</w:t>
      </w:r>
      <w:r w:rsidR="00561F99">
        <w:rPr>
          <w:rFonts w:ascii="Verdana" w:hAnsi="Verdana" w:cs="Arial"/>
          <w:color w:val="000000"/>
          <w:lang w:val="es-CO"/>
        </w:rPr>
        <w:t xml:space="preserve">onmoción </w:t>
      </w:r>
      <w:r w:rsidR="00E80798">
        <w:rPr>
          <w:rFonts w:ascii="Verdana" w:hAnsi="Verdana" w:cs="Arial"/>
          <w:color w:val="000000"/>
          <w:lang w:val="es-CO"/>
        </w:rPr>
        <w:t>i</w:t>
      </w:r>
      <w:r w:rsidR="00561F99">
        <w:rPr>
          <w:rFonts w:ascii="Verdana" w:hAnsi="Verdana" w:cs="Arial"/>
          <w:color w:val="000000"/>
          <w:lang w:val="es-CO"/>
        </w:rPr>
        <w:t>nterior</w:t>
      </w:r>
      <w:r w:rsidR="00840DE0">
        <w:rPr>
          <w:rFonts w:ascii="Verdana" w:hAnsi="Verdana" w:cs="Arial"/>
          <w:color w:val="000000"/>
          <w:lang w:val="es-CO"/>
        </w:rPr>
        <w:t>,</w:t>
      </w:r>
      <w:r w:rsidR="00561F99">
        <w:rPr>
          <w:rFonts w:ascii="Verdana" w:hAnsi="Verdana" w:cs="Arial"/>
          <w:color w:val="000000"/>
          <w:lang w:val="es-CO"/>
        </w:rPr>
        <w:t xml:space="preserve"> declarado mediante el Decreto 062 de 2025</w:t>
      </w:r>
      <w:r w:rsidR="00840DE0">
        <w:rPr>
          <w:rFonts w:ascii="Verdana" w:hAnsi="Verdana" w:cs="Arial"/>
          <w:color w:val="000000"/>
          <w:lang w:val="es-CO"/>
        </w:rPr>
        <w:t>,</w:t>
      </w:r>
      <w:r w:rsidR="00561F99">
        <w:rPr>
          <w:rFonts w:ascii="Verdana" w:hAnsi="Verdana" w:cs="Arial"/>
          <w:color w:val="000000"/>
          <w:lang w:val="es-CO"/>
        </w:rPr>
        <w:t xml:space="preserve"> y describe la necesidad e importancia de proveer recursos a las entidades estatales llamadas a conjurar la crisis y mitigar sus efectos. </w:t>
      </w:r>
    </w:p>
    <w:p w:rsidRPr="00B7281A" w:rsidR="001D5E54" w:rsidP="00D93541" w:rsidRDefault="00561F99" w14:paraId="71AF0F3F" w14:textId="120899A1">
      <w:pPr>
        <w:spacing w:line="240" w:lineRule="auto"/>
        <w:jc w:val="both"/>
        <w:rPr>
          <w:rFonts w:ascii="Verdana" w:hAnsi="Verdana" w:cs="Arial"/>
          <w:color w:val="000000"/>
          <w:lang w:val="es-CO"/>
        </w:rPr>
      </w:pPr>
      <w:r>
        <w:rPr>
          <w:rFonts w:ascii="Verdana" w:hAnsi="Verdana" w:cs="Arial"/>
          <w:color w:val="000000"/>
          <w:lang w:val="es-CO"/>
        </w:rPr>
        <w:t xml:space="preserve">Lo anterior en consideración a que </w:t>
      </w:r>
      <w:r w:rsidR="00B63ECE">
        <w:rPr>
          <w:rFonts w:ascii="Verdana" w:hAnsi="Verdana" w:cs="Arial"/>
          <w:color w:val="000000"/>
          <w:lang w:val="es-CO"/>
        </w:rPr>
        <w:t xml:space="preserve">los recursos </w:t>
      </w:r>
      <w:r w:rsidR="002F1DA2">
        <w:rPr>
          <w:rFonts w:ascii="Verdana" w:hAnsi="Verdana" w:cs="Arial"/>
          <w:color w:val="000000"/>
          <w:lang w:val="es-CO"/>
        </w:rPr>
        <w:t>contenidos</w:t>
      </w:r>
      <w:r w:rsidR="00B63ECE">
        <w:rPr>
          <w:rFonts w:ascii="Verdana" w:hAnsi="Verdana" w:cs="Arial"/>
          <w:color w:val="000000"/>
          <w:lang w:val="es-CO"/>
        </w:rPr>
        <w:t xml:space="preserve"> en el PGN no son suficientes para atender las situaciones extraord</w:t>
      </w:r>
      <w:r w:rsidR="00C85722">
        <w:rPr>
          <w:rFonts w:ascii="Verdana" w:hAnsi="Verdana" w:cs="Arial"/>
          <w:color w:val="000000"/>
          <w:lang w:val="es-CO"/>
        </w:rPr>
        <w:t>inarias y urgentes que se derivan de la crisis humanitaria en la región del Catatumbo. En consecuencia, el Gobiern</w:t>
      </w:r>
      <w:r w:rsidR="00BD2C6A">
        <w:rPr>
          <w:rFonts w:ascii="Verdana" w:hAnsi="Verdana" w:cs="Arial"/>
          <w:color w:val="000000"/>
          <w:lang w:val="es-CO"/>
        </w:rPr>
        <w:t>o</w:t>
      </w:r>
      <w:r w:rsidR="00C85722">
        <w:rPr>
          <w:rFonts w:ascii="Verdana" w:hAnsi="Verdana" w:cs="Arial"/>
          <w:color w:val="000000"/>
          <w:lang w:val="es-CO"/>
        </w:rPr>
        <w:t xml:space="preserve"> </w:t>
      </w:r>
      <w:r w:rsidR="00B7281A">
        <w:rPr>
          <w:rFonts w:ascii="Verdana" w:hAnsi="Verdana" w:cs="Arial"/>
          <w:color w:val="000000"/>
          <w:lang w:val="es-CO"/>
        </w:rPr>
        <w:t>n</w:t>
      </w:r>
      <w:r w:rsidR="00C85722">
        <w:rPr>
          <w:rFonts w:ascii="Verdana" w:hAnsi="Verdana" w:cs="Arial"/>
          <w:color w:val="000000"/>
          <w:lang w:val="es-CO"/>
        </w:rPr>
        <w:t xml:space="preserve">acional dispuso </w:t>
      </w:r>
      <w:r w:rsidR="00212E08">
        <w:rPr>
          <w:rFonts w:ascii="Verdana" w:hAnsi="Verdana" w:cs="Arial"/>
          <w:color w:val="000000"/>
          <w:lang w:val="es-CO"/>
        </w:rPr>
        <w:t xml:space="preserve">efectuar asignaciones de recursos </w:t>
      </w:r>
      <w:r w:rsidR="00A82946">
        <w:rPr>
          <w:rFonts w:ascii="Verdana" w:hAnsi="Verdana" w:cs="Arial"/>
          <w:color w:val="000000"/>
          <w:lang w:val="es-CO"/>
        </w:rPr>
        <w:t>de forma expedita y de manera excepcional, en el marco del estado de conmoción interior, para contribuir a la superación de las limitaciones legales y administrativas que</w:t>
      </w:r>
      <w:r w:rsidR="00546C59">
        <w:rPr>
          <w:rFonts w:ascii="Verdana" w:hAnsi="Verdana" w:cs="Arial"/>
          <w:color w:val="000000"/>
          <w:lang w:val="es-CO"/>
        </w:rPr>
        <w:t>,</w:t>
      </w:r>
      <w:r w:rsidR="00A82946">
        <w:rPr>
          <w:rFonts w:ascii="Verdana" w:hAnsi="Verdana" w:cs="Arial"/>
          <w:color w:val="000000"/>
          <w:lang w:val="es-CO"/>
        </w:rPr>
        <w:t xml:space="preserve"> por regla general tienen las normas presupuestales, y de este modo garantizar que las entidades del Estado que lo requieren, puedan actuar de manera ágil y efectiva </w:t>
      </w:r>
      <w:r w:rsidR="001820BA">
        <w:rPr>
          <w:rFonts w:ascii="Verdana" w:hAnsi="Verdana" w:cs="Arial"/>
          <w:color w:val="000000"/>
          <w:lang w:val="es-CO"/>
        </w:rPr>
        <w:t xml:space="preserve">para proteger los derechos de las personas afectadas por la situación </w:t>
      </w:r>
      <w:r w:rsidR="004E6A90">
        <w:rPr>
          <w:rFonts w:ascii="Verdana" w:hAnsi="Verdana" w:cs="Arial"/>
          <w:color w:val="000000"/>
          <w:lang w:val="es-CO"/>
        </w:rPr>
        <w:t>en la región mencionada</w:t>
      </w:r>
      <w:r w:rsidR="00D01736">
        <w:rPr>
          <w:rStyle w:val="Refdenotaalpie"/>
          <w:rFonts w:ascii="Verdana" w:hAnsi="Verdana" w:cs="Arial"/>
          <w:color w:val="000000"/>
          <w:lang w:val="es-CO"/>
        </w:rPr>
        <w:footnoteReference w:id="25"/>
      </w:r>
      <w:r w:rsidR="004E6A90">
        <w:rPr>
          <w:rFonts w:ascii="Verdana" w:hAnsi="Verdana" w:cs="Arial"/>
          <w:color w:val="000000"/>
          <w:lang w:val="es-CO"/>
        </w:rPr>
        <w:t>.</w:t>
      </w:r>
    </w:p>
    <w:p w:rsidR="000D7D44" w:rsidP="00D93541" w:rsidRDefault="00FC5F7B" w14:paraId="0B067968" w14:textId="136C06F9">
      <w:pPr>
        <w:spacing w:line="240" w:lineRule="auto"/>
        <w:jc w:val="both"/>
        <w:rPr>
          <w:rFonts w:ascii="Verdana" w:hAnsi="Verdana" w:cs="Arial"/>
          <w:color w:val="000000"/>
          <w:lang w:val="es-CO"/>
        </w:rPr>
      </w:pPr>
      <w:r>
        <w:rPr>
          <w:rFonts w:ascii="Verdana" w:hAnsi="Verdana" w:cs="Arial"/>
          <w:color w:val="000000"/>
        </w:rPr>
        <w:t>En este contexto</w:t>
      </w:r>
      <w:r w:rsidR="000D7D44">
        <w:rPr>
          <w:rFonts w:ascii="Verdana" w:hAnsi="Verdana" w:cs="Arial"/>
          <w:color w:val="000000"/>
        </w:rPr>
        <w:t>, al sector igualdad y equidad, específicamente al Instituto Colombiano de Bienestar Familiar, “</w:t>
      </w:r>
      <w:r w:rsidR="000D7D44">
        <w:rPr>
          <w:rFonts w:ascii="Verdana" w:hAnsi="Verdana" w:cs="Arial"/>
          <w:i/>
          <w:iCs/>
          <w:color w:val="000000"/>
        </w:rPr>
        <w:t>se adicionaron recursos por un monto $100 mil millones de pesos</w:t>
      </w:r>
      <w:r w:rsidR="000D7D44">
        <w:rPr>
          <w:rFonts w:ascii="Verdana" w:hAnsi="Verdana" w:cs="Arial"/>
          <w:color w:val="000000"/>
        </w:rPr>
        <w:t xml:space="preserve"> (…). </w:t>
      </w:r>
      <w:r w:rsidRPr="006C4FA0" w:rsidR="000D7D44">
        <w:rPr>
          <w:rFonts w:ascii="Verdana" w:hAnsi="Verdana" w:cs="Arial"/>
          <w:i/>
          <w:iCs/>
          <w:color w:val="000000"/>
        </w:rPr>
        <w:t xml:space="preserve">Esta entidad señaló que los recursos están destinados al fortalecimiento de programas para la atención de los niños, las niñas y los adolescentes, las personas gestantes y sus familias en la región del Catatumbo, así </w:t>
      </w:r>
      <w:r w:rsidRPr="006C4FA0" w:rsidR="000D7D44">
        <w:rPr>
          <w:rFonts w:ascii="Verdana" w:hAnsi="Verdana" w:cs="Arial"/>
          <w:i/>
          <w:iCs/>
          <w:color w:val="000000"/>
        </w:rPr>
        <w:lastRenderedPageBreak/>
        <w:t>como las acciones en el componente de alimentación y nutrición para la población afectada</w:t>
      </w:r>
      <w:r w:rsidR="000D7D44">
        <w:rPr>
          <w:rStyle w:val="Refdenotaalpie"/>
          <w:rFonts w:ascii="Verdana" w:hAnsi="Verdana" w:cs="Arial"/>
          <w:i/>
          <w:iCs/>
          <w:color w:val="000000"/>
        </w:rPr>
        <w:footnoteReference w:id="26"/>
      </w:r>
      <w:r w:rsidRPr="006C4FA0" w:rsidR="000D7D44">
        <w:rPr>
          <w:rFonts w:ascii="Verdana" w:hAnsi="Verdana" w:cs="Arial"/>
          <w:color w:val="000000"/>
          <w:lang w:val="es-CO"/>
        </w:rPr>
        <w:t>”</w:t>
      </w:r>
      <w:r w:rsidR="000D7D44">
        <w:rPr>
          <w:rFonts w:ascii="Verdana" w:hAnsi="Verdana" w:cs="Arial"/>
          <w:color w:val="000000"/>
          <w:lang w:val="es-CO"/>
        </w:rPr>
        <w:t xml:space="preserve">. </w:t>
      </w:r>
    </w:p>
    <w:p w:rsidR="00D56AFF" w:rsidP="00D93541" w:rsidRDefault="0062173E" w14:paraId="14DF7038" w14:textId="5101A126">
      <w:pPr>
        <w:spacing w:line="240" w:lineRule="auto"/>
        <w:jc w:val="both"/>
        <w:rPr>
          <w:rFonts w:ascii="Verdana" w:hAnsi="Verdana" w:cs="Arial"/>
          <w:color w:val="000000"/>
          <w:lang w:val="es-CO"/>
        </w:rPr>
      </w:pPr>
      <w:r>
        <w:rPr>
          <w:rFonts w:ascii="Verdana" w:hAnsi="Verdana" w:cs="Arial"/>
          <w:color w:val="000000"/>
          <w:lang w:val="es-CO"/>
        </w:rPr>
        <w:t xml:space="preserve">Lo anterior, garantiza el principio de autonomía presupuestal de la entidad, </w:t>
      </w:r>
      <w:r w:rsidR="005A4BDB">
        <w:rPr>
          <w:rFonts w:ascii="Verdana" w:hAnsi="Verdana" w:cs="Arial"/>
          <w:color w:val="000000"/>
          <w:lang w:val="es-CO"/>
        </w:rPr>
        <w:t xml:space="preserve">y a su vez genera obligaciones </w:t>
      </w:r>
      <w:r w:rsidR="00427ADB">
        <w:rPr>
          <w:rFonts w:ascii="Verdana" w:hAnsi="Verdana" w:cs="Arial"/>
          <w:color w:val="000000"/>
          <w:lang w:val="es-CO"/>
        </w:rPr>
        <w:t>encaminadas al cumplimiento de otros principios que debe</w:t>
      </w:r>
      <w:r w:rsidR="00FC5F7B">
        <w:rPr>
          <w:rFonts w:ascii="Verdana" w:hAnsi="Verdana" w:cs="Arial"/>
          <w:color w:val="000000"/>
          <w:lang w:val="es-CO"/>
        </w:rPr>
        <w:t>n</w:t>
      </w:r>
      <w:r w:rsidR="00427ADB">
        <w:rPr>
          <w:rFonts w:ascii="Verdana" w:hAnsi="Verdana" w:cs="Arial"/>
          <w:color w:val="000000"/>
          <w:lang w:val="es-CO"/>
        </w:rPr>
        <w:t xml:space="preserve"> satisfacer todas las medidas que se adopten con el propósito de atender la crisis humanitaria</w:t>
      </w:r>
      <w:r w:rsidR="00FC5F7B">
        <w:rPr>
          <w:rFonts w:ascii="Verdana" w:hAnsi="Verdana" w:cs="Arial"/>
          <w:color w:val="000000"/>
          <w:lang w:val="es-CO"/>
        </w:rPr>
        <w:t>, en el marco del estado de conmoción interior</w:t>
      </w:r>
      <w:r w:rsidR="00A40263">
        <w:rPr>
          <w:rFonts w:ascii="Verdana" w:hAnsi="Verdana" w:cs="Arial"/>
          <w:color w:val="000000"/>
          <w:lang w:val="es-CO"/>
        </w:rPr>
        <w:t>. Para explicar est</w:t>
      </w:r>
      <w:r w:rsidR="00D56AFF">
        <w:rPr>
          <w:rFonts w:ascii="Verdana" w:hAnsi="Verdana" w:cs="Arial"/>
          <w:color w:val="000000"/>
          <w:lang w:val="es-CO"/>
        </w:rPr>
        <w:t>o,</w:t>
      </w:r>
      <w:r w:rsidR="00A40263">
        <w:rPr>
          <w:rFonts w:ascii="Verdana" w:hAnsi="Verdana" w:cs="Arial"/>
          <w:color w:val="000000"/>
          <w:lang w:val="es-CO"/>
        </w:rPr>
        <w:t xml:space="preserve"> se rei</w:t>
      </w:r>
      <w:r w:rsidR="00F77724">
        <w:rPr>
          <w:rFonts w:ascii="Verdana" w:hAnsi="Verdana" w:cs="Arial"/>
          <w:color w:val="000000"/>
          <w:lang w:val="es-CO"/>
        </w:rPr>
        <w:t xml:space="preserve">tera </w:t>
      </w:r>
      <w:r w:rsidR="00AF6A01">
        <w:rPr>
          <w:rFonts w:ascii="Verdana" w:hAnsi="Verdana" w:cs="Arial"/>
          <w:color w:val="000000"/>
          <w:lang w:val="es-CO"/>
        </w:rPr>
        <w:t xml:space="preserve">que </w:t>
      </w:r>
      <w:r w:rsidR="00F767C4">
        <w:rPr>
          <w:rFonts w:ascii="Verdana" w:hAnsi="Verdana" w:cs="Arial"/>
          <w:color w:val="000000"/>
          <w:lang w:val="es-CO"/>
        </w:rPr>
        <w:t>todas las medidas que se tomen en el marco de un estado de excepción deben superar</w:t>
      </w:r>
      <w:r w:rsidR="004256D0">
        <w:rPr>
          <w:rFonts w:ascii="Verdana" w:hAnsi="Verdana" w:cs="Arial"/>
          <w:color w:val="000000"/>
          <w:lang w:val="es-CO"/>
        </w:rPr>
        <w:t>, entre otros</w:t>
      </w:r>
      <w:r w:rsidR="007336D2">
        <w:rPr>
          <w:rFonts w:ascii="Verdana" w:hAnsi="Verdana" w:cs="Arial"/>
          <w:color w:val="000000"/>
          <w:lang w:val="es-CO"/>
        </w:rPr>
        <w:t xml:space="preserve">, </w:t>
      </w:r>
      <w:r w:rsidR="004256D0">
        <w:rPr>
          <w:rFonts w:ascii="Verdana" w:hAnsi="Verdana" w:cs="Arial"/>
          <w:color w:val="000000"/>
          <w:lang w:val="es-CO"/>
        </w:rPr>
        <w:t xml:space="preserve"> el juicio sobre su finalidad, esto es que estén directamente </w:t>
      </w:r>
      <w:r w:rsidR="0045426E">
        <w:rPr>
          <w:rFonts w:ascii="Verdana" w:hAnsi="Verdana" w:cs="Arial"/>
          <w:color w:val="000000"/>
          <w:lang w:val="es-CO"/>
        </w:rPr>
        <w:t>dirigidas a conjurar la crisis, a mitigar sus efectos o evitar que estos se intensifiquen.</w:t>
      </w:r>
    </w:p>
    <w:p w:rsidR="00D56AFF" w:rsidP="00D93541" w:rsidRDefault="00AF6A01" w14:paraId="33ACD49D" w14:textId="46901887">
      <w:pPr>
        <w:spacing w:line="240" w:lineRule="auto"/>
        <w:jc w:val="both"/>
        <w:rPr>
          <w:rFonts w:ascii="Verdana" w:hAnsi="Verdana" w:cs="Arial"/>
          <w:color w:val="000000"/>
          <w:lang w:val="es-CO"/>
        </w:rPr>
      </w:pPr>
      <w:r>
        <w:rPr>
          <w:rFonts w:ascii="Verdana" w:hAnsi="Verdana" w:cs="Arial"/>
          <w:color w:val="000000"/>
          <w:lang w:val="es-CO"/>
        </w:rPr>
        <w:t>En consecuencia</w:t>
      </w:r>
      <w:r w:rsidR="00A91D52">
        <w:rPr>
          <w:rFonts w:ascii="Verdana" w:hAnsi="Verdana" w:cs="Arial"/>
          <w:color w:val="000000"/>
          <w:lang w:val="es-CO"/>
        </w:rPr>
        <w:t xml:space="preserve">, </w:t>
      </w:r>
      <w:r w:rsidR="00E94164">
        <w:rPr>
          <w:rFonts w:ascii="Verdana" w:hAnsi="Verdana" w:cs="Arial"/>
          <w:color w:val="000000"/>
          <w:lang w:val="es-CO"/>
        </w:rPr>
        <w:t>las entidades deben justificar de forma clara y espe</w:t>
      </w:r>
      <w:r w:rsidR="00624B9C">
        <w:rPr>
          <w:rFonts w:ascii="Verdana" w:hAnsi="Verdana" w:cs="Arial"/>
          <w:color w:val="000000"/>
          <w:lang w:val="es-CO"/>
        </w:rPr>
        <w:t xml:space="preserve">cifica </w:t>
      </w:r>
      <w:r w:rsidR="00A91D52">
        <w:rPr>
          <w:rFonts w:ascii="Verdana" w:hAnsi="Verdana" w:cs="Arial"/>
          <w:color w:val="000000"/>
          <w:lang w:val="es-CO"/>
        </w:rPr>
        <w:t xml:space="preserve">la conexidad material </w:t>
      </w:r>
      <w:r w:rsidR="00C57A88">
        <w:rPr>
          <w:rFonts w:ascii="Verdana" w:hAnsi="Verdana" w:cs="Arial"/>
          <w:color w:val="000000"/>
          <w:lang w:val="es-CO"/>
        </w:rPr>
        <w:t>entre la utilización de los recursos asignados y la situación que originó el estado de excepción</w:t>
      </w:r>
      <w:r w:rsidRPr="00C57A88" w:rsidR="00C57A88">
        <w:rPr>
          <w:rFonts w:ascii="Verdana" w:hAnsi="Verdana" w:cs="Arial"/>
          <w:color w:val="000000"/>
          <w:lang w:val="es-CO"/>
        </w:rPr>
        <w:t>;</w:t>
      </w:r>
      <w:r w:rsidR="00C57A88">
        <w:rPr>
          <w:rFonts w:ascii="Verdana" w:hAnsi="Verdana" w:cs="Arial"/>
          <w:color w:val="000000"/>
          <w:lang w:val="es-CO"/>
        </w:rPr>
        <w:t xml:space="preserve"> </w:t>
      </w:r>
      <w:r w:rsidR="00E67F69">
        <w:rPr>
          <w:rFonts w:ascii="Verdana" w:hAnsi="Verdana" w:cs="Arial"/>
          <w:color w:val="000000"/>
          <w:lang w:val="es-CO"/>
        </w:rPr>
        <w:t xml:space="preserve">esto se debe hacer </w:t>
      </w:r>
      <w:r w:rsidR="00EB60E5">
        <w:rPr>
          <w:rFonts w:ascii="Verdana" w:hAnsi="Verdana" w:cs="Arial"/>
          <w:color w:val="000000"/>
          <w:lang w:val="es-CO"/>
        </w:rPr>
        <w:t>a través de un sustento fáctico y técnico</w:t>
      </w:r>
      <w:r w:rsidRPr="00A74C04" w:rsidR="00A74C04">
        <w:rPr>
          <w:rFonts w:ascii="Verdana" w:hAnsi="Verdana" w:cs="Arial"/>
          <w:color w:val="000000"/>
          <w:lang w:val="es-CO"/>
        </w:rPr>
        <w:t>;</w:t>
      </w:r>
      <w:r w:rsidR="00A74C04">
        <w:rPr>
          <w:rFonts w:ascii="Verdana" w:hAnsi="Verdana" w:cs="Arial"/>
          <w:color w:val="000000"/>
          <w:lang w:val="es-CO"/>
        </w:rPr>
        <w:t xml:space="preserve"> los recursos deberán utilizarse únicamente en las áreas que están cubiertas por la conmoción </w:t>
      </w:r>
      <w:r w:rsidR="00973F2D">
        <w:rPr>
          <w:rFonts w:ascii="Verdana" w:hAnsi="Verdana" w:cs="Arial"/>
          <w:color w:val="000000"/>
          <w:lang w:val="es-CO"/>
        </w:rPr>
        <w:t>y deberá</w:t>
      </w:r>
      <w:r w:rsidR="007336D2">
        <w:rPr>
          <w:rFonts w:ascii="Verdana" w:hAnsi="Verdana" w:cs="Arial"/>
          <w:color w:val="000000"/>
          <w:lang w:val="es-CO"/>
        </w:rPr>
        <w:t>n</w:t>
      </w:r>
      <w:r w:rsidR="00973F2D">
        <w:rPr>
          <w:rFonts w:ascii="Verdana" w:hAnsi="Verdana" w:cs="Arial"/>
          <w:color w:val="000000"/>
          <w:lang w:val="es-CO"/>
        </w:rPr>
        <w:t xml:space="preserve"> demostrar que los gastos están dirigidos a </w:t>
      </w:r>
      <w:r w:rsidR="00010160">
        <w:rPr>
          <w:rFonts w:ascii="Verdana" w:hAnsi="Verdana" w:cs="Arial"/>
          <w:color w:val="000000"/>
          <w:lang w:val="es-CO"/>
        </w:rPr>
        <w:t xml:space="preserve">conjurar las causas </w:t>
      </w:r>
      <w:r w:rsidR="007B0F75">
        <w:rPr>
          <w:rFonts w:ascii="Verdana" w:hAnsi="Verdana" w:cs="Arial"/>
          <w:color w:val="000000"/>
          <w:lang w:val="es-CO"/>
        </w:rPr>
        <w:t>de la crisis, sus efectos, y a evitar su agravamiento.</w:t>
      </w:r>
    </w:p>
    <w:p w:rsidR="00D56AFF" w:rsidP="00D93541" w:rsidRDefault="00D56AFF" w14:paraId="7B676014" w14:textId="60702DB6">
      <w:pPr>
        <w:spacing w:line="240" w:lineRule="auto"/>
        <w:jc w:val="both"/>
        <w:rPr>
          <w:rFonts w:ascii="Verdana" w:hAnsi="Verdana" w:cs="Arial"/>
          <w:color w:val="000000"/>
          <w:lang w:val="es-CO"/>
        </w:rPr>
      </w:pPr>
      <w:r>
        <w:rPr>
          <w:rFonts w:ascii="Verdana" w:hAnsi="Verdana" w:cs="Arial"/>
          <w:color w:val="000000"/>
          <w:lang w:val="es-CO"/>
        </w:rPr>
        <w:t xml:space="preserve">De otra parte, </w:t>
      </w:r>
      <w:r w:rsidR="007A0CAF">
        <w:rPr>
          <w:rFonts w:ascii="Verdana" w:hAnsi="Verdana" w:cs="Arial"/>
          <w:color w:val="000000"/>
          <w:lang w:val="es-CO"/>
        </w:rPr>
        <w:t xml:space="preserve">las medidas se deben confrontar con el principio de temporalidad, </w:t>
      </w:r>
      <w:r w:rsidR="0078755F">
        <w:rPr>
          <w:rFonts w:ascii="Verdana" w:hAnsi="Verdana" w:cs="Arial"/>
          <w:color w:val="000000"/>
          <w:lang w:val="es-CO"/>
        </w:rPr>
        <w:t xml:space="preserve">que para </w:t>
      </w:r>
      <w:r w:rsidR="007E343C">
        <w:rPr>
          <w:rFonts w:ascii="Verdana" w:hAnsi="Verdana" w:cs="Arial"/>
          <w:color w:val="000000"/>
          <w:lang w:val="es-CO"/>
        </w:rPr>
        <w:t>los estados</w:t>
      </w:r>
      <w:r w:rsidR="0078755F">
        <w:rPr>
          <w:rFonts w:ascii="Verdana" w:hAnsi="Verdana" w:cs="Arial"/>
          <w:color w:val="000000"/>
          <w:lang w:val="es-CO"/>
        </w:rPr>
        <w:t xml:space="preserve"> de excepción exige delimitar las medidas en el tiempo</w:t>
      </w:r>
      <w:r w:rsidR="00D20784">
        <w:rPr>
          <w:rStyle w:val="Refdenotaalpie"/>
          <w:rFonts w:ascii="Verdana" w:hAnsi="Verdana" w:cs="Arial"/>
          <w:color w:val="000000"/>
          <w:lang w:val="es-CO"/>
        </w:rPr>
        <w:footnoteReference w:id="27"/>
      </w:r>
      <w:r w:rsidR="00AA2797">
        <w:rPr>
          <w:rFonts w:ascii="Verdana" w:hAnsi="Verdana" w:cs="Arial"/>
          <w:color w:val="000000"/>
          <w:lang w:val="es-CO"/>
        </w:rPr>
        <w:t xml:space="preserve">. </w:t>
      </w:r>
      <w:r w:rsidR="003D7638">
        <w:rPr>
          <w:rFonts w:ascii="Verdana" w:hAnsi="Verdana" w:cs="Arial"/>
          <w:color w:val="000000"/>
          <w:lang w:val="es-CO"/>
        </w:rPr>
        <w:t>Este juicio se plantea en dos momentos</w:t>
      </w:r>
      <w:r w:rsidRPr="00735914" w:rsidR="003D7638">
        <w:rPr>
          <w:rFonts w:ascii="Verdana" w:hAnsi="Verdana" w:cs="Arial"/>
          <w:color w:val="000000"/>
          <w:lang w:val="es-CO"/>
        </w:rPr>
        <w:t xml:space="preserve">, </w:t>
      </w:r>
      <w:r w:rsidRPr="00735914" w:rsidR="00735914">
        <w:rPr>
          <w:rFonts w:ascii="Verdana" w:hAnsi="Verdana" w:cs="Arial"/>
          <w:color w:val="000000"/>
          <w:lang w:val="es-CO"/>
        </w:rPr>
        <w:t>cuando se m</w:t>
      </w:r>
      <w:r w:rsidR="00735914">
        <w:rPr>
          <w:rFonts w:ascii="Verdana" w:hAnsi="Verdana" w:cs="Arial"/>
          <w:color w:val="000000"/>
          <w:lang w:val="es-CO"/>
        </w:rPr>
        <w:t>aterializa la medida extraordinaria, esto es</w:t>
      </w:r>
      <w:r w:rsidR="008F4591">
        <w:rPr>
          <w:rFonts w:ascii="Verdana" w:hAnsi="Verdana" w:cs="Arial"/>
          <w:color w:val="000000"/>
          <w:lang w:val="es-CO"/>
        </w:rPr>
        <w:t xml:space="preserve">, por ejemplo, </w:t>
      </w:r>
      <w:r w:rsidR="00DC3DB3">
        <w:rPr>
          <w:rFonts w:ascii="Verdana" w:hAnsi="Verdana" w:cs="Arial"/>
          <w:color w:val="000000"/>
          <w:lang w:val="es-CO"/>
        </w:rPr>
        <w:t xml:space="preserve">cuando </w:t>
      </w:r>
      <w:r w:rsidR="008F4591">
        <w:rPr>
          <w:rFonts w:ascii="Verdana" w:hAnsi="Verdana" w:cs="Arial"/>
          <w:color w:val="000000"/>
          <w:lang w:val="es-CO"/>
        </w:rPr>
        <w:t>se efectúa la adición presupuestal</w:t>
      </w:r>
      <w:r w:rsidR="00230CA8">
        <w:rPr>
          <w:rFonts w:ascii="Verdana" w:hAnsi="Verdana" w:cs="Arial"/>
          <w:color w:val="000000"/>
          <w:lang w:val="es-CO"/>
        </w:rPr>
        <w:t xml:space="preserve"> y cuando las entidades hacen la apropiación del gasto, durante la vigencia del estado de excepción</w:t>
      </w:r>
      <w:r w:rsidRPr="00230CA8" w:rsidR="00230CA8">
        <w:rPr>
          <w:rFonts w:ascii="Verdana" w:hAnsi="Verdana" w:cs="Arial"/>
          <w:color w:val="000000"/>
          <w:lang w:val="es-CO"/>
        </w:rPr>
        <w:t>;</w:t>
      </w:r>
      <w:r w:rsidR="00230CA8">
        <w:rPr>
          <w:rFonts w:ascii="Verdana" w:hAnsi="Verdana" w:cs="Arial"/>
          <w:color w:val="000000"/>
          <w:lang w:val="es-CO"/>
        </w:rPr>
        <w:t xml:space="preserve"> el segundo momento</w:t>
      </w:r>
      <w:r w:rsidR="00835DC8">
        <w:rPr>
          <w:rFonts w:ascii="Verdana" w:hAnsi="Verdana" w:cs="Arial"/>
          <w:color w:val="000000"/>
          <w:lang w:val="es-CO"/>
        </w:rPr>
        <w:t>, es el desarrollo de las medidas</w:t>
      </w:r>
      <w:r w:rsidR="0057602C">
        <w:rPr>
          <w:rFonts w:ascii="Verdana" w:hAnsi="Verdana" w:cs="Arial"/>
          <w:color w:val="000000"/>
          <w:lang w:val="es-CO"/>
        </w:rPr>
        <w:t>, es decir que incluye las acciones que se re</w:t>
      </w:r>
      <w:r w:rsidR="000E1AC3">
        <w:rPr>
          <w:rFonts w:ascii="Verdana" w:hAnsi="Verdana" w:cs="Arial"/>
          <w:color w:val="000000"/>
          <w:lang w:val="es-CO"/>
        </w:rPr>
        <w:t xml:space="preserve">alizan </w:t>
      </w:r>
      <w:r w:rsidR="005A7EAF">
        <w:rPr>
          <w:rFonts w:ascii="Verdana" w:hAnsi="Verdana" w:cs="Arial"/>
          <w:color w:val="000000"/>
          <w:lang w:val="es-CO"/>
        </w:rPr>
        <w:t>una vez se ha adicionado el presupuesto</w:t>
      </w:r>
      <w:r w:rsidR="008E0708">
        <w:rPr>
          <w:rFonts w:ascii="Verdana" w:hAnsi="Verdana" w:cs="Arial"/>
          <w:color w:val="000000"/>
          <w:lang w:val="es-CO"/>
        </w:rPr>
        <w:t>, en otras palabras, cuando las entidades ejecutan los recursos</w:t>
      </w:r>
      <w:r w:rsidR="007A45ED">
        <w:rPr>
          <w:rFonts w:ascii="Verdana" w:hAnsi="Verdana" w:cs="Arial"/>
          <w:color w:val="000000"/>
          <w:lang w:val="es-CO"/>
        </w:rPr>
        <w:t xml:space="preserve">, así </w:t>
      </w:r>
      <w:r w:rsidR="00E66800">
        <w:rPr>
          <w:rFonts w:ascii="Verdana" w:hAnsi="Verdana" w:cs="Arial"/>
          <w:color w:val="000000"/>
          <w:lang w:val="es-CO"/>
        </w:rPr>
        <w:t xml:space="preserve">se haya terminado estado de excepción. </w:t>
      </w:r>
    </w:p>
    <w:p w:rsidR="008922B3" w:rsidP="00D93541" w:rsidRDefault="008922B3" w14:paraId="2A3D0A30" w14:textId="64402C0D">
      <w:pPr>
        <w:spacing w:line="240" w:lineRule="auto"/>
        <w:jc w:val="both"/>
        <w:rPr>
          <w:rFonts w:ascii="Verdana" w:hAnsi="Verdana" w:cs="Arial"/>
          <w:color w:val="000000"/>
          <w:lang w:val="es-CO"/>
        </w:rPr>
      </w:pPr>
      <w:r>
        <w:rPr>
          <w:rFonts w:ascii="Verdana" w:hAnsi="Verdana" w:cs="Arial"/>
          <w:color w:val="000000"/>
          <w:lang w:val="es-CO"/>
        </w:rPr>
        <w:t xml:space="preserve">Esto ultimo se explica porque a pesar de que temporalmente se hayan superado las condiciones del estado de excepción, </w:t>
      </w:r>
      <w:r w:rsidR="00633BA4">
        <w:rPr>
          <w:rFonts w:ascii="Verdana" w:hAnsi="Verdana" w:cs="Arial"/>
          <w:color w:val="000000"/>
          <w:lang w:val="es-CO"/>
        </w:rPr>
        <w:t xml:space="preserve">materialmente las consecuencias de las situaciones fácticas que provocan una situación excepcional de orden público, con graves consecuencias humanitarias y afectaciones a derechos fundamentales y humanos, como ocurre en el Catatumbo, </w:t>
      </w:r>
      <w:r w:rsidR="00B2476C">
        <w:rPr>
          <w:rFonts w:ascii="Verdana" w:hAnsi="Verdana" w:cs="Arial"/>
          <w:color w:val="000000"/>
          <w:lang w:val="es-CO"/>
        </w:rPr>
        <w:t xml:space="preserve">muchas veces prevalecen en el tiempo, razón por la cual las entidades pueden y deben continuar generando acciones encaminadas a </w:t>
      </w:r>
      <w:r w:rsidR="00BE2930">
        <w:rPr>
          <w:rFonts w:ascii="Verdana" w:hAnsi="Verdana" w:cs="Arial"/>
          <w:color w:val="000000"/>
          <w:lang w:val="es-CO"/>
        </w:rPr>
        <w:t>mitigar esta crisis y sus efectos.</w:t>
      </w:r>
    </w:p>
    <w:p w:rsidR="00FD7E20" w:rsidP="00FD7E20" w:rsidRDefault="00BE2930" w14:paraId="5E7E61E4" w14:textId="780A1474">
      <w:pPr>
        <w:spacing w:line="240" w:lineRule="auto"/>
        <w:jc w:val="both"/>
        <w:rPr>
          <w:rFonts w:ascii="Verdana" w:hAnsi="Verdana" w:cs="Arial"/>
          <w:color w:val="000000"/>
          <w:lang w:val="es-CO"/>
        </w:rPr>
      </w:pPr>
      <w:r>
        <w:rPr>
          <w:rFonts w:ascii="Verdana" w:hAnsi="Verdana" w:cs="Arial"/>
          <w:color w:val="000000"/>
          <w:lang w:val="es-CO"/>
        </w:rPr>
        <w:t xml:space="preserve">Lo anterior no implica que las medidas sean intemporales o imprescriptibles, sino que pueden estar atadas a otra regla de temporalidad como la </w:t>
      </w:r>
      <w:r w:rsidR="00B3149C">
        <w:rPr>
          <w:rFonts w:ascii="Verdana" w:hAnsi="Verdana" w:cs="Arial"/>
          <w:color w:val="000000"/>
          <w:lang w:val="es-CO"/>
        </w:rPr>
        <w:t xml:space="preserve">de la vigencia del año fiscal, cuestión que se explicó y desarrolló con anterioridad. </w:t>
      </w:r>
      <w:r w:rsidR="007B0F75">
        <w:rPr>
          <w:rFonts w:ascii="Verdana" w:hAnsi="Verdana" w:cs="Arial"/>
          <w:color w:val="000000"/>
          <w:lang w:val="es-CO"/>
        </w:rPr>
        <w:t xml:space="preserve"> </w:t>
      </w:r>
      <w:r w:rsidR="00B3149C">
        <w:rPr>
          <w:rFonts w:ascii="Verdana" w:hAnsi="Verdana" w:cs="Arial"/>
          <w:color w:val="000000"/>
          <w:lang w:val="es-CO"/>
        </w:rPr>
        <w:t>En efecto, tal</w:t>
      </w:r>
      <w:r w:rsidR="00FD7E20">
        <w:rPr>
          <w:rFonts w:ascii="Verdana" w:hAnsi="Verdana" w:cs="Arial"/>
          <w:color w:val="000000"/>
          <w:lang w:val="es-CO"/>
        </w:rPr>
        <w:t xml:space="preserve"> como se mencionó en el </w:t>
      </w:r>
      <w:r w:rsidR="00B3149C">
        <w:rPr>
          <w:rFonts w:ascii="Verdana" w:hAnsi="Verdana" w:cs="Arial"/>
          <w:color w:val="000000"/>
          <w:lang w:val="es-CO"/>
        </w:rPr>
        <w:t xml:space="preserve">punto </w:t>
      </w:r>
      <w:r w:rsidR="00FD7E20">
        <w:rPr>
          <w:rFonts w:ascii="Verdana" w:hAnsi="Verdana" w:cs="Arial"/>
          <w:color w:val="000000"/>
          <w:lang w:val="es-CO"/>
        </w:rPr>
        <w:t>3.</w:t>
      </w:r>
      <w:r w:rsidR="00710256">
        <w:rPr>
          <w:rFonts w:ascii="Verdana" w:hAnsi="Verdana" w:cs="Arial"/>
          <w:color w:val="000000"/>
          <w:lang w:val="es-CO"/>
        </w:rPr>
        <w:t>2</w:t>
      </w:r>
      <w:r w:rsidR="00FD7E20">
        <w:rPr>
          <w:rFonts w:ascii="Verdana" w:hAnsi="Verdana" w:cs="Arial"/>
          <w:color w:val="000000"/>
          <w:lang w:val="es-CO"/>
        </w:rPr>
        <w:t>, esta O</w:t>
      </w:r>
      <w:r w:rsidR="00710256">
        <w:rPr>
          <w:rFonts w:ascii="Verdana" w:hAnsi="Verdana" w:cs="Arial"/>
          <w:color w:val="000000"/>
          <w:lang w:val="es-CO"/>
        </w:rPr>
        <w:t xml:space="preserve">ficina </w:t>
      </w:r>
      <w:r w:rsidR="00FD7E20">
        <w:rPr>
          <w:rFonts w:ascii="Verdana" w:hAnsi="Verdana" w:cs="Arial"/>
          <w:color w:val="000000"/>
          <w:lang w:val="es-CO"/>
        </w:rPr>
        <w:t>A</w:t>
      </w:r>
      <w:r w:rsidR="00710256">
        <w:rPr>
          <w:rFonts w:ascii="Verdana" w:hAnsi="Verdana" w:cs="Arial"/>
          <w:color w:val="000000"/>
          <w:lang w:val="es-CO"/>
        </w:rPr>
        <w:t>sesora Jurídica</w:t>
      </w:r>
      <w:r w:rsidR="00FD7E20">
        <w:rPr>
          <w:rFonts w:ascii="Verdana" w:hAnsi="Verdana" w:cs="Arial"/>
          <w:color w:val="000000"/>
          <w:lang w:val="es-CO"/>
        </w:rPr>
        <w:t xml:space="preserve"> encuentra que, </w:t>
      </w:r>
      <w:r w:rsidR="00B3149C">
        <w:rPr>
          <w:rFonts w:ascii="Verdana" w:hAnsi="Verdana" w:cs="Arial"/>
          <w:color w:val="000000"/>
          <w:lang w:val="es-CO"/>
        </w:rPr>
        <w:t xml:space="preserve">la </w:t>
      </w:r>
      <w:r w:rsidR="00FD7E20">
        <w:rPr>
          <w:rFonts w:ascii="Verdana" w:hAnsi="Verdana" w:cs="Arial"/>
          <w:color w:val="000000"/>
          <w:lang w:val="es-CO"/>
        </w:rPr>
        <w:t xml:space="preserve">adición </w:t>
      </w:r>
      <w:r w:rsidR="0083257B">
        <w:rPr>
          <w:rFonts w:ascii="Verdana" w:hAnsi="Verdana" w:cs="Arial"/>
          <w:color w:val="000000"/>
          <w:lang w:val="es-CO"/>
        </w:rPr>
        <w:t xml:space="preserve">que le correspondió al </w:t>
      </w:r>
      <w:r w:rsidR="001311FB">
        <w:rPr>
          <w:rFonts w:ascii="Verdana" w:hAnsi="Verdana" w:cs="Arial"/>
          <w:color w:val="000000"/>
          <w:lang w:val="es-CO"/>
        </w:rPr>
        <w:t>ICBF</w:t>
      </w:r>
      <w:r w:rsidR="0083257B">
        <w:rPr>
          <w:rFonts w:ascii="Verdana" w:hAnsi="Verdana" w:cs="Arial"/>
          <w:color w:val="000000"/>
          <w:lang w:val="es-CO"/>
        </w:rPr>
        <w:t xml:space="preserve"> </w:t>
      </w:r>
      <w:r w:rsidR="00FD7E20">
        <w:rPr>
          <w:rFonts w:ascii="Verdana" w:hAnsi="Verdana" w:cs="Arial"/>
          <w:color w:val="000000"/>
          <w:lang w:val="es-CO"/>
        </w:rPr>
        <w:t xml:space="preserve">es respetuosa de la autonomía presupuestal de las entidades y además satisface el principio de anualidad, y en consecuencia estará vigente hasta que finalice el presente año fiscal, esto es hasta el 31 de diciembre de 2025. </w:t>
      </w:r>
    </w:p>
    <w:p w:rsidR="00FD7E20" w:rsidP="00FD7E20" w:rsidRDefault="00FD7E20" w14:paraId="317E55C0" w14:textId="77777777">
      <w:pPr>
        <w:spacing w:line="240" w:lineRule="auto"/>
        <w:jc w:val="both"/>
        <w:rPr>
          <w:rFonts w:ascii="Verdana" w:hAnsi="Verdana" w:cs="Arial"/>
          <w:i/>
          <w:iCs/>
          <w:color w:val="000000"/>
        </w:rPr>
      </w:pPr>
      <w:r>
        <w:rPr>
          <w:rFonts w:ascii="Verdana" w:hAnsi="Verdana" w:cs="Arial"/>
          <w:color w:val="000000"/>
          <w:lang w:val="es-CO"/>
        </w:rPr>
        <w:lastRenderedPageBreak/>
        <w:t>En este sentido, el Ministerio de Hacienda señaló que</w:t>
      </w:r>
      <w:r w:rsidRPr="00F71356">
        <w:rPr>
          <w:rFonts w:ascii="Verdana" w:hAnsi="Verdana" w:cs="Arial"/>
          <w:color w:val="000000"/>
        </w:rPr>
        <w:t xml:space="preserve"> </w:t>
      </w:r>
      <w:r w:rsidRPr="00F71356">
        <w:rPr>
          <w:rFonts w:ascii="Verdana" w:hAnsi="Verdana" w:cs="Arial"/>
          <w:color w:val="000000"/>
          <w:lang w:val="es-CO"/>
        </w:rPr>
        <w:t>“</w:t>
      </w:r>
      <w:r w:rsidRPr="00F71356">
        <w:rPr>
          <w:rFonts w:ascii="Verdana" w:hAnsi="Verdana" w:cs="Arial"/>
          <w:i/>
          <w:iCs/>
          <w:color w:val="000000"/>
        </w:rPr>
        <w:t>la adición no excede la vigencia fiscal, pues esta se efectuó sobre (i) el Presupuesto de Rentas y Recursos de Capital y (</w:t>
      </w:r>
      <w:proofErr w:type="spellStart"/>
      <w:r w:rsidRPr="00F71356">
        <w:rPr>
          <w:rFonts w:ascii="Verdana" w:hAnsi="Verdana" w:cs="Arial"/>
          <w:i/>
          <w:iCs/>
          <w:color w:val="000000"/>
        </w:rPr>
        <w:t>ii</w:t>
      </w:r>
      <w:proofErr w:type="spellEnd"/>
      <w:r w:rsidRPr="00F71356">
        <w:rPr>
          <w:rFonts w:ascii="Verdana" w:hAnsi="Verdana" w:cs="Arial"/>
          <w:i/>
          <w:iCs/>
          <w:color w:val="000000"/>
        </w:rPr>
        <w:t>) el Presupuesto de Gastos o de Apropiaciones del Presupuesto General de la Nación de la vigencia fiscal de 2025</w:t>
      </w:r>
      <w:r>
        <w:rPr>
          <w:rFonts w:ascii="Verdana" w:hAnsi="Verdana" w:cs="Arial"/>
          <w:i/>
          <w:iCs/>
          <w:color w:val="000000"/>
        </w:rPr>
        <w:t>.</w:t>
      </w:r>
    </w:p>
    <w:p w:rsidR="00FD7E20" w:rsidP="00FD7E20" w:rsidRDefault="00FD7E20" w14:paraId="56AC6C22" w14:textId="77777777">
      <w:pPr>
        <w:spacing w:line="240" w:lineRule="auto"/>
        <w:jc w:val="both"/>
        <w:rPr>
          <w:rFonts w:ascii="Verdana" w:hAnsi="Verdana" w:cs="Arial"/>
          <w:color w:val="000000"/>
        </w:rPr>
      </w:pPr>
      <w:r>
        <w:rPr>
          <w:rFonts w:ascii="Verdana" w:hAnsi="Verdana" w:cs="Arial"/>
          <w:color w:val="000000"/>
        </w:rPr>
        <w:t>(…)</w:t>
      </w:r>
    </w:p>
    <w:p w:rsidR="00FD7E20" w:rsidP="00FD7E20" w:rsidRDefault="00FD7E20" w14:paraId="2FBD35D6" w14:textId="13C530B8">
      <w:pPr>
        <w:spacing w:line="240" w:lineRule="auto"/>
        <w:jc w:val="both"/>
        <w:rPr>
          <w:rFonts w:ascii="Verdana" w:hAnsi="Verdana" w:cs="Arial"/>
          <w:color w:val="000000"/>
        </w:rPr>
      </w:pPr>
      <w:r w:rsidRPr="006A324B">
        <w:rPr>
          <w:rFonts w:ascii="Verdana" w:hAnsi="Verdana" w:cs="Arial"/>
          <w:i/>
          <w:iCs/>
          <w:color w:val="000000"/>
        </w:rPr>
        <w:t>En atención a dicho principio, la adición al presupuesto de apropiaciones, al estar contenida en el PGN 2025, financiaría las necesidades de gasto adicionales para conjurar causas y efectos de la conmoción interior con cargo a los ingresos que se causen a lo largo de esta vigencia y que son objeto de apropiaciones, compromisos, obligaciones y pagos que irradian toda la vigencia 2025. Por este motivo, el efecto de la adición presupuestal, hecha durante la vigencia de la conmoción interior —tal como la Constitución Política y la LEEE lo exigen—, se</w:t>
      </w:r>
      <w:r w:rsidRPr="00F42DA3">
        <w:t xml:space="preserve"> </w:t>
      </w:r>
      <w:r w:rsidRPr="00F42DA3">
        <w:rPr>
          <w:rFonts w:ascii="Verdana" w:hAnsi="Verdana" w:cs="Arial"/>
          <w:i/>
          <w:iCs/>
          <w:color w:val="000000"/>
        </w:rPr>
        <w:t>refleja y afecta toda la vigencia fiscal 2025</w:t>
      </w:r>
      <w:r w:rsidR="00CA561B">
        <w:rPr>
          <w:rFonts w:ascii="Verdana" w:hAnsi="Verdana" w:cs="Arial"/>
          <w:i/>
          <w:iCs/>
          <w:color w:val="000000"/>
        </w:rPr>
        <w:t>”</w:t>
      </w:r>
      <w:r>
        <w:rPr>
          <w:rStyle w:val="Refdenotaalpie"/>
          <w:rFonts w:ascii="Verdana" w:hAnsi="Verdana" w:cs="Arial"/>
          <w:i/>
          <w:iCs/>
          <w:color w:val="000000"/>
        </w:rPr>
        <w:footnoteReference w:id="28"/>
      </w:r>
      <w:r w:rsidRPr="00F71356">
        <w:rPr>
          <w:rFonts w:ascii="Verdana" w:hAnsi="Verdana" w:cs="Arial"/>
          <w:color w:val="000000"/>
        </w:rPr>
        <w:t>.</w:t>
      </w:r>
    </w:p>
    <w:p w:rsidRPr="009D7907" w:rsidR="00C53278" w:rsidP="00C53278" w:rsidRDefault="00D81CCF" w14:paraId="2B583DCC" w14:textId="2D8E6070">
      <w:pPr>
        <w:spacing w:line="240" w:lineRule="auto"/>
        <w:jc w:val="both"/>
        <w:rPr>
          <w:rFonts w:ascii="Verdana" w:hAnsi="Verdana" w:cs="Arial"/>
          <w:color w:val="000000"/>
          <w:lang w:val="es-CO"/>
        </w:rPr>
      </w:pPr>
      <w:r>
        <w:rPr>
          <w:rFonts w:ascii="Verdana" w:hAnsi="Verdana" w:cs="Arial"/>
          <w:color w:val="000000"/>
        </w:rPr>
        <w:t xml:space="preserve">Así las cosas, </w:t>
      </w:r>
      <w:r w:rsidR="007F56D4">
        <w:rPr>
          <w:rFonts w:ascii="Verdana" w:hAnsi="Verdana" w:cs="Arial"/>
          <w:color w:val="000000"/>
        </w:rPr>
        <w:t xml:space="preserve">para responder a la pregunta planteada por la Dirección a su cargo me permito indicarle </w:t>
      </w:r>
      <w:proofErr w:type="gramStart"/>
      <w:r w:rsidR="007F56D4">
        <w:rPr>
          <w:rFonts w:ascii="Verdana" w:hAnsi="Verdana" w:cs="Arial"/>
          <w:color w:val="000000"/>
        </w:rPr>
        <w:t>que</w:t>
      </w:r>
      <w:proofErr w:type="gramEnd"/>
      <w:r w:rsidR="007F56D4">
        <w:rPr>
          <w:rFonts w:ascii="Verdana" w:hAnsi="Verdana" w:cs="Arial"/>
          <w:color w:val="000000"/>
        </w:rPr>
        <w:t xml:space="preserve"> si es posible la utilización de los recursos, incluso una vez terminada la prórroga de</w:t>
      </w:r>
      <w:r w:rsidR="00A753CC">
        <w:rPr>
          <w:rFonts w:ascii="Verdana" w:hAnsi="Verdana" w:cs="Arial"/>
          <w:color w:val="000000"/>
        </w:rPr>
        <w:t xml:space="preserve"> los efectos del estado de conmoción interior, y hasta el 31 de diciembre de 2025. No obstante, </w:t>
      </w:r>
      <w:r w:rsidR="00BD60C4">
        <w:rPr>
          <w:rFonts w:ascii="Verdana" w:hAnsi="Verdana" w:cs="Arial"/>
          <w:color w:val="000000"/>
        </w:rPr>
        <w:t>todos l</w:t>
      </w:r>
      <w:r w:rsidR="002448D3">
        <w:rPr>
          <w:rFonts w:ascii="Verdana" w:hAnsi="Verdana" w:cs="Arial"/>
          <w:color w:val="000000"/>
        </w:rPr>
        <w:t>os</w:t>
      </w:r>
      <w:r w:rsidR="00BD60C4">
        <w:rPr>
          <w:rFonts w:ascii="Verdana" w:hAnsi="Verdana" w:cs="Arial"/>
          <w:color w:val="000000"/>
        </w:rPr>
        <w:t xml:space="preserve"> gastos deben tener una justificación técnica y fáctica suficiente que permita </w:t>
      </w:r>
      <w:r w:rsidR="00885881">
        <w:rPr>
          <w:rFonts w:ascii="Verdana" w:hAnsi="Verdana" w:cs="Arial"/>
          <w:color w:val="000000"/>
        </w:rPr>
        <w:t>establecer sin lugar a dudas los criterios de conexidad necesarios para soportar las medidas que se tomen con el</w:t>
      </w:r>
      <w:r w:rsidR="00C53278">
        <w:rPr>
          <w:rFonts w:ascii="Verdana" w:hAnsi="Verdana" w:cs="Arial"/>
          <w:color w:val="000000"/>
        </w:rPr>
        <w:t xml:space="preserve"> único propósito de atender la crisis derivada  </w:t>
      </w:r>
      <w:r w:rsidRPr="001648C5" w:rsidR="001648C5">
        <w:rPr>
          <w:rFonts w:ascii="Verdana" w:hAnsi="Verdana" w:cs="Arial"/>
          <w:color w:val="000000"/>
          <w:lang w:val="es-CO"/>
        </w:rPr>
        <w:t>“</w:t>
      </w:r>
      <w:r w:rsidRPr="009D7907" w:rsidR="00C53278">
        <w:rPr>
          <w:rFonts w:ascii="Verdana" w:hAnsi="Verdana" w:cs="Arial"/>
          <w:i/>
          <w:iCs/>
          <w:color w:val="000000"/>
          <w:lang w:val="es-CO"/>
        </w:rPr>
        <w:t xml:space="preserve">respecto de los hechos y consideraciones relacionados con (i) la intensificación de los enfrentamientos entre el ELN y otros </w:t>
      </w:r>
      <w:proofErr w:type="spellStart"/>
      <w:r w:rsidRPr="009D7907" w:rsidR="00C53278">
        <w:rPr>
          <w:rFonts w:ascii="Verdana" w:hAnsi="Verdana" w:cs="Arial"/>
          <w:i/>
          <w:iCs/>
          <w:color w:val="000000"/>
          <w:lang w:val="es-CO"/>
        </w:rPr>
        <w:t>GAOr</w:t>
      </w:r>
      <w:proofErr w:type="spellEnd"/>
      <w:r w:rsidRPr="009D7907" w:rsidR="00C53278">
        <w:rPr>
          <w:rFonts w:ascii="Verdana" w:hAnsi="Verdana" w:cs="Arial"/>
          <w:i/>
          <w:iCs/>
          <w:color w:val="000000"/>
          <w:lang w:val="es-CO"/>
        </w:rPr>
        <w:t>, así como los ataques y hostilidades dirigidos de forma indiscriminada contra la población civil y los firmantes del Acuerdo Final de Paz con las FARC y (</w:t>
      </w:r>
      <w:proofErr w:type="spellStart"/>
      <w:r w:rsidRPr="009D7907" w:rsidR="00C53278">
        <w:rPr>
          <w:rFonts w:ascii="Verdana" w:hAnsi="Verdana" w:cs="Arial"/>
          <w:i/>
          <w:iCs/>
          <w:color w:val="000000"/>
          <w:lang w:val="es-CO"/>
        </w:rPr>
        <w:t>ii</w:t>
      </w:r>
      <w:proofErr w:type="spellEnd"/>
      <w:r w:rsidRPr="009D7907" w:rsidR="00C53278">
        <w:rPr>
          <w:rFonts w:ascii="Verdana" w:hAnsi="Verdana" w:cs="Arial"/>
          <w:i/>
          <w:iCs/>
          <w:color w:val="000000"/>
          <w:lang w:val="es-CO"/>
        </w:rPr>
        <w:t>) la crisis humanitaria derivada de desplazamientos forzados -internos y transfronterizos- y confinamientos masivos que ha desbordado la capacidad institucional del Estado para atenderla. Esta decisión solo incluye aquellas medidas que sean necesarias para el fortalecimiento de la fuerza pública, la atención humanitaria, los derechos y garantías fundamentales de la población civil, y la financiación para esos propósitos específicos, de conformidad con los términos de esta providencia</w:t>
      </w:r>
      <w:r w:rsidR="00C53278">
        <w:rPr>
          <w:rStyle w:val="Refdenotaalpie"/>
          <w:rFonts w:ascii="Verdana" w:hAnsi="Verdana" w:cs="Arial"/>
          <w:i/>
          <w:iCs/>
          <w:color w:val="000000"/>
          <w:lang w:val="es-CO"/>
        </w:rPr>
        <w:footnoteReference w:id="29"/>
      </w:r>
      <w:r w:rsidR="00C53278">
        <w:rPr>
          <w:rFonts w:ascii="Verdana" w:hAnsi="Verdana" w:cs="Arial"/>
          <w:color w:val="000000"/>
          <w:lang w:val="es-CO"/>
        </w:rPr>
        <w:t>”</w:t>
      </w:r>
      <w:r w:rsidRPr="009D7907" w:rsidR="00C53278">
        <w:rPr>
          <w:rFonts w:ascii="Verdana" w:hAnsi="Verdana" w:cs="Arial"/>
          <w:color w:val="000000"/>
          <w:lang w:val="es-CO"/>
        </w:rPr>
        <w:t>.</w:t>
      </w:r>
    </w:p>
    <w:p w:rsidRPr="00BF462B" w:rsidR="000E5554" w:rsidP="00FD7E20" w:rsidRDefault="001648C5" w14:paraId="3FAB8892" w14:textId="3FEDC459">
      <w:pPr>
        <w:spacing w:line="240" w:lineRule="auto"/>
        <w:jc w:val="both"/>
        <w:rPr>
          <w:rFonts w:ascii="Verdana" w:hAnsi="Verdana" w:cs="Arial"/>
          <w:color w:val="000000"/>
          <w:lang w:val="es-CO"/>
        </w:rPr>
      </w:pPr>
      <w:r>
        <w:rPr>
          <w:rFonts w:ascii="Verdana" w:hAnsi="Verdana" w:cs="Arial"/>
          <w:color w:val="000000"/>
          <w:lang w:val="es-CO"/>
        </w:rPr>
        <w:t xml:space="preserve">Ahora bien, </w:t>
      </w:r>
      <w:r w:rsidR="001E757A">
        <w:rPr>
          <w:rFonts w:ascii="Verdana" w:hAnsi="Verdana" w:cs="Arial"/>
          <w:color w:val="000000"/>
          <w:lang w:val="es-CO"/>
        </w:rPr>
        <w:t>este decreto legislativo también se encuentra en control automático por parte de la Alta Corporación, razón por la cual, como se ha explicado</w:t>
      </w:r>
      <w:r w:rsidR="0091353E">
        <w:rPr>
          <w:rFonts w:ascii="Verdana" w:hAnsi="Verdana" w:cs="Arial"/>
          <w:color w:val="000000"/>
          <w:lang w:val="es-CO"/>
        </w:rPr>
        <w:t>,</w:t>
      </w:r>
      <w:r w:rsidR="001E757A">
        <w:rPr>
          <w:rFonts w:ascii="Verdana" w:hAnsi="Verdana" w:cs="Arial"/>
          <w:color w:val="000000"/>
          <w:lang w:val="es-CO"/>
        </w:rPr>
        <w:t xml:space="preserve"> se desconoce el resultado de este examen, así como la modulación de los efectos que pueda adoptar la Corte en la sentencia.</w:t>
      </w:r>
    </w:p>
    <w:p w:rsidR="00C03AB0" w:rsidP="00C67BBD" w:rsidRDefault="00E94474" w14:paraId="7723611D" w14:textId="4AA7183C">
      <w:pPr>
        <w:spacing w:line="240" w:lineRule="auto"/>
        <w:jc w:val="both"/>
        <w:rPr>
          <w:rFonts w:ascii="Verdana" w:hAnsi="Verdana" w:cs="Arial"/>
          <w:color w:val="000000"/>
          <w:lang w:val="es-CO"/>
        </w:rPr>
      </w:pPr>
      <w:r>
        <w:rPr>
          <w:rFonts w:ascii="Verdana" w:hAnsi="Verdana" w:cs="Arial"/>
          <w:color w:val="000000"/>
          <w:lang w:val="es-CO"/>
        </w:rPr>
        <w:t xml:space="preserve">Por último, es importante resaltar que todas las actuaciones de la administración están amparadas bajo el principio de la buena fe, la confianza legítima y por supuesto, de la presunción de constitucionalidad de las normas, lo que se traduce en que todos los gastos que se han efectuado en cumplimiento de los mandatos </w:t>
      </w:r>
      <w:r w:rsidR="00010EB3">
        <w:rPr>
          <w:rFonts w:ascii="Verdana" w:hAnsi="Verdana" w:cs="Arial"/>
          <w:color w:val="000000"/>
          <w:lang w:val="es-CO"/>
        </w:rPr>
        <w:t>para</w:t>
      </w:r>
      <w:r>
        <w:rPr>
          <w:rFonts w:ascii="Verdana" w:hAnsi="Verdana" w:cs="Arial"/>
          <w:color w:val="000000"/>
          <w:lang w:val="es-CO"/>
        </w:rPr>
        <w:t xml:space="preserve"> conjurar el Estado de Excepción en la Región del Catatumbo y que han tenido </w:t>
      </w:r>
      <w:r>
        <w:rPr>
          <w:rFonts w:ascii="Verdana" w:hAnsi="Verdana" w:cs="Arial"/>
          <w:color w:val="000000"/>
          <w:lang w:val="es-CO"/>
        </w:rPr>
        <w:lastRenderedPageBreak/>
        <w:t xml:space="preserve">lugar en el marco del respeto de las leyes y la Constitución tienen presunción de legalidad. </w:t>
      </w:r>
    </w:p>
    <w:p w:rsidRPr="00CC6AD4" w:rsidR="00C03AB0" w:rsidP="00C03AB0" w:rsidRDefault="00C03AB0" w14:paraId="23517F7C" w14:textId="77777777">
      <w:pPr>
        <w:spacing w:line="240" w:lineRule="auto"/>
        <w:jc w:val="both"/>
        <w:rPr>
          <w:rFonts w:ascii="Verdana" w:hAnsi="Verdana" w:cs="Arial"/>
          <w:color w:val="000000"/>
          <w:lang w:val="es-CO"/>
        </w:rPr>
      </w:pPr>
    </w:p>
    <w:p w:rsidRPr="00CB21A7" w:rsidR="00C72164" w:rsidP="00710256" w:rsidRDefault="00710256" w14:paraId="677CB2BA" w14:textId="6CA18F84">
      <w:pPr>
        <w:spacing w:line="240" w:lineRule="auto"/>
        <w:jc w:val="both"/>
        <w:rPr>
          <w:rFonts w:ascii="Verdana" w:hAnsi="Verdana" w:cs="Arial"/>
          <w:b/>
          <w:bCs/>
          <w:color w:val="000000"/>
        </w:rPr>
      </w:pPr>
      <w:r>
        <w:rPr>
          <w:rFonts w:ascii="Verdana" w:hAnsi="Verdana" w:cs="Arial"/>
          <w:b/>
          <w:bCs/>
          <w:color w:val="000000"/>
        </w:rPr>
        <w:t>3.</w:t>
      </w:r>
      <w:r w:rsidR="00943020">
        <w:rPr>
          <w:rFonts w:ascii="Verdana" w:hAnsi="Verdana" w:cs="Arial"/>
          <w:b/>
          <w:bCs/>
          <w:color w:val="000000"/>
        </w:rPr>
        <w:t>5</w:t>
      </w:r>
      <w:r>
        <w:rPr>
          <w:rFonts w:ascii="Verdana" w:hAnsi="Verdana" w:cs="Arial"/>
          <w:b/>
          <w:bCs/>
          <w:color w:val="000000"/>
        </w:rPr>
        <w:t>. Consideraciones relativas al Decreto 433 de 2025.</w:t>
      </w:r>
    </w:p>
    <w:p w:rsidR="00710256" w:rsidP="00710256" w:rsidRDefault="00710256" w14:paraId="2EAD8E55" w14:textId="77777777">
      <w:pPr>
        <w:spacing w:line="240" w:lineRule="auto"/>
        <w:jc w:val="both"/>
        <w:rPr>
          <w:rFonts w:ascii="Verdana" w:hAnsi="Verdana" w:cs="Arial"/>
          <w:color w:val="000000"/>
          <w:lang w:val="es-CO"/>
        </w:rPr>
      </w:pPr>
      <w:r>
        <w:rPr>
          <w:rFonts w:ascii="Verdana" w:hAnsi="Verdana" w:cs="Arial"/>
          <w:color w:val="000000"/>
          <w:lang w:val="es-CO"/>
        </w:rPr>
        <w:t>Mediante el Decreto 433 de 2025 el Gobierno Nacional facultó al Instituto Colombiano de Bienestar Familiar para vincular personal supernumerario dirigido a la prestación de servicios en defensorías de familia de las regiones cobijadas por el decreto de conmoción interior. Esta norma resalta la labor de las defensorías de familia en concordancia con los artículos 82 y 87 del Código de la Infancia y la Adolescencia y además, describe las situaciones de emergencia que ponen en riesgo a los niños, niñas y adolescentes y que dan lugar a la activación de la ruta de verificación de derechos, entre otras acciones que están a cargo del ICBF.</w:t>
      </w:r>
    </w:p>
    <w:p w:rsidR="00710256" w:rsidP="00710256" w:rsidRDefault="00710256" w14:paraId="533A2D9E" w14:textId="77777777">
      <w:pPr>
        <w:spacing w:line="240" w:lineRule="auto"/>
        <w:jc w:val="both"/>
        <w:rPr>
          <w:rFonts w:ascii="Verdana" w:hAnsi="Verdana" w:cs="Arial"/>
          <w:color w:val="000000"/>
        </w:rPr>
      </w:pPr>
      <w:r>
        <w:rPr>
          <w:rFonts w:ascii="Verdana" w:hAnsi="Verdana" w:cs="Arial"/>
          <w:color w:val="000000"/>
          <w:lang w:val="es-CO"/>
        </w:rPr>
        <w:t xml:space="preserve">Adicionalmente, describe la situación de violencia y desplazamiento forzado que afecta contundente y gravemente los derechos fundamentales de los niños, niñas y adolescentes y señala las cifras y reportes de los distintos instrumentos que dan cuenta de la cantidad de personas de esta población cuyos derechos se encuentran vulnerados o en riesgo de vulneración. Por lo que se concluye la importancia y necesidad de adoptar medidas de carácter urgente y extraordinario, tendientes a su efectiva protección y para </w:t>
      </w:r>
      <w:r w:rsidRPr="00FA4787">
        <w:rPr>
          <w:rFonts w:ascii="Verdana" w:hAnsi="Verdana" w:cs="Arial"/>
          <w:color w:val="000000"/>
          <w:lang w:val="es-CO"/>
        </w:rPr>
        <w:t>“</w:t>
      </w:r>
      <w:r w:rsidRPr="00FA4787">
        <w:rPr>
          <w:rFonts w:ascii="Verdana" w:hAnsi="Verdana" w:cs="Arial"/>
          <w:i/>
          <w:iCs/>
          <w:color w:val="000000"/>
        </w:rPr>
        <w:t>garantizar condiciones de retorno seguro y acompañamiento social y emocional para minimizar los efectos de las situaciones traumáticas derivadas del escalamiento de la actividad bélica en la región</w:t>
      </w:r>
      <w:r>
        <w:rPr>
          <w:rStyle w:val="Refdenotaalpie"/>
          <w:rFonts w:ascii="Verdana" w:hAnsi="Verdana" w:cs="Arial"/>
          <w:i/>
          <w:iCs/>
          <w:color w:val="000000"/>
        </w:rPr>
        <w:footnoteReference w:id="30"/>
      </w:r>
      <w:r>
        <w:rPr>
          <w:rFonts w:ascii="Verdana" w:hAnsi="Verdana" w:cs="Arial"/>
          <w:color w:val="000000"/>
        </w:rPr>
        <w:t>”.</w:t>
      </w:r>
    </w:p>
    <w:p w:rsidR="00710256" w:rsidP="00710256" w:rsidRDefault="00710256" w14:paraId="79F4DEF6" w14:textId="77777777">
      <w:pPr>
        <w:spacing w:line="240" w:lineRule="auto"/>
        <w:jc w:val="both"/>
        <w:rPr>
          <w:rFonts w:ascii="Verdana" w:hAnsi="Verdana" w:cs="Arial"/>
          <w:color w:val="000000"/>
          <w:lang w:val="es-CO"/>
        </w:rPr>
      </w:pPr>
      <w:r>
        <w:rPr>
          <w:rFonts w:ascii="Verdana" w:hAnsi="Verdana" w:cs="Arial"/>
          <w:color w:val="000000"/>
        </w:rPr>
        <w:t>En este contexto, se justifica el fortalecimiento de las defensor</w:t>
      </w:r>
      <w:proofErr w:type="spellStart"/>
      <w:r>
        <w:rPr>
          <w:rFonts w:ascii="Verdana" w:hAnsi="Verdana" w:cs="Arial"/>
          <w:color w:val="000000"/>
          <w:lang w:val="es-CO"/>
        </w:rPr>
        <w:t>ías</w:t>
      </w:r>
      <w:proofErr w:type="spellEnd"/>
      <w:r>
        <w:rPr>
          <w:rFonts w:ascii="Verdana" w:hAnsi="Verdana" w:cs="Arial"/>
          <w:color w:val="000000"/>
          <w:lang w:val="es-CO"/>
        </w:rPr>
        <w:t xml:space="preserve"> de familia ubicadas en los cuatro municipios afectados, por medio de la conformación de 20 defensorías adicionales que estarán integradas por personal supernumerario contratado con los recursos que se dispongan para atender el estado de excepción.</w:t>
      </w:r>
    </w:p>
    <w:p w:rsidR="00710256" w:rsidP="00710256" w:rsidRDefault="00710256" w14:paraId="421A7808" w14:textId="77777777">
      <w:pPr>
        <w:spacing w:line="240" w:lineRule="auto"/>
        <w:jc w:val="both"/>
        <w:rPr>
          <w:rFonts w:ascii="Verdana" w:hAnsi="Verdana" w:cs="Arial"/>
          <w:color w:val="000000"/>
        </w:rPr>
      </w:pPr>
      <w:r w:rsidRPr="00D8402E">
        <w:rPr>
          <w:rFonts w:ascii="Verdana" w:hAnsi="Verdana" w:cs="Arial"/>
          <w:color w:val="000000"/>
          <w:lang w:val="es-CO"/>
        </w:rPr>
        <w:t>Entre tanto, el artículo 1 del Decreto 433 de 2025 dispone que por el término de la vigencia del estado de conmoción interior y sus prórrogas el ICBF podrá “</w:t>
      </w:r>
      <w:r w:rsidRPr="00D8402E">
        <w:rPr>
          <w:rFonts w:ascii="Verdana" w:hAnsi="Verdana" w:cs="Arial"/>
          <w:i/>
          <w:iCs/>
          <w:color w:val="000000"/>
          <w:lang w:val="es-CO"/>
        </w:rPr>
        <w:t xml:space="preserve">vincular 80 supernumerarios así: </w:t>
      </w:r>
      <w:r w:rsidRPr="00D8402E">
        <w:rPr>
          <w:rFonts w:ascii="Verdana" w:hAnsi="Verdana" w:cs="Arial"/>
          <w:i/>
          <w:iCs/>
          <w:color w:val="000000"/>
        </w:rPr>
        <w:t>veinte (20) defensores de familia, veinte (20) nutricionistas, veinte (20) psicólogos y veinte (20) trabajadores sociales o profesionales en desarrollo familiar. Lo anterior, con el objeto de conformar y organizar mediante resolución suscrita por su representante legal o por quien este delegue, veinte (20) Defensorías de Familia que prestarán sus servicios dentro del ámbito territorial determinado en el Decreto que declaró el estado de excepción</w:t>
      </w:r>
      <w:r w:rsidRPr="00D8402E">
        <w:rPr>
          <w:rStyle w:val="Refdenotaalpie"/>
          <w:rFonts w:ascii="Verdana" w:hAnsi="Verdana" w:cs="Arial"/>
          <w:i/>
          <w:iCs/>
          <w:color w:val="000000"/>
        </w:rPr>
        <w:footnoteReference w:id="31"/>
      </w:r>
      <w:r w:rsidRPr="00D8402E">
        <w:rPr>
          <w:rFonts w:ascii="Verdana" w:hAnsi="Verdana" w:cs="Arial"/>
          <w:color w:val="000000"/>
        </w:rPr>
        <w:t>”.</w:t>
      </w:r>
    </w:p>
    <w:p w:rsidR="00710256" w:rsidP="00710256" w:rsidRDefault="00710256" w14:paraId="0C7B9DB5" w14:textId="77777777">
      <w:pPr>
        <w:spacing w:line="240" w:lineRule="auto"/>
        <w:jc w:val="both"/>
        <w:rPr>
          <w:rFonts w:ascii="Verdana" w:hAnsi="Verdana" w:cs="Arial"/>
          <w:color w:val="000000"/>
        </w:rPr>
      </w:pPr>
      <w:r>
        <w:rPr>
          <w:rFonts w:ascii="Verdana" w:hAnsi="Verdana" w:cs="Arial"/>
          <w:color w:val="000000"/>
        </w:rPr>
        <w:t xml:space="preserve">El artículo 2, establece que las condiciones de remuneración serán las mismas establecidas para los empleados públicos en la misma escala salarial y nivel en el Instituto Colombiano de Bienestar Familiar y, por último, el artículo 3 dispone que los gastos derivados de esta contratación se cubrirán con cargo a la apropiación </w:t>
      </w:r>
      <w:r>
        <w:rPr>
          <w:rFonts w:ascii="Verdana" w:hAnsi="Verdana" w:cs="Arial"/>
          <w:color w:val="000000"/>
        </w:rPr>
        <w:lastRenderedPageBreak/>
        <w:t>del presupuesto del ICBF para la vigencia 2025. En otras palabras, asigna los gastos a recursos propios del Instituto.</w:t>
      </w:r>
    </w:p>
    <w:p w:rsidR="00710256" w:rsidP="00710256" w:rsidRDefault="00710256" w14:paraId="7D5DD136" w14:textId="77777777">
      <w:pPr>
        <w:spacing w:line="240" w:lineRule="auto"/>
        <w:jc w:val="both"/>
        <w:rPr>
          <w:rFonts w:ascii="Verdana" w:hAnsi="Verdana" w:cs="Arial"/>
          <w:color w:val="000000"/>
        </w:rPr>
      </w:pPr>
      <w:r>
        <w:rPr>
          <w:rFonts w:ascii="Verdana" w:hAnsi="Verdana" w:cs="Arial"/>
          <w:color w:val="000000"/>
        </w:rPr>
        <w:t>En efecto, de acuerdo con lo sostenido por el Departamento Administrativo de la Presidencia de la República</w:t>
      </w:r>
      <w:r>
        <w:rPr>
          <w:rStyle w:val="Refdenotaalpie"/>
          <w:rFonts w:ascii="Verdana" w:hAnsi="Verdana" w:cs="Arial"/>
          <w:color w:val="000000"/>
        </w:rPr>
        <w:footnoteReference w:id="32"/>
      </w:r>
      <w:r>
        <w:rPr>
          <w:rFonts w:ascii="Verdana" w:hAnsi="Verdana" w:cs="Arial"/>
          <w:color w:val="000000"/>
        </w:rPr>
        <w:t>, en el marco del control automático de constitucionalidad del Decreto 433 de 2025, “</w:t>
      </w:r>
      <w:r w:rsidRPr="00865752">
        <w:rPr>
          <w:rFonts w:ascii="Verdana" w:hAnsi="Verdana" w:cs="Arial"/>
          <w:i/>
          <w:iCs/>
          <w:color w:val="000000"/>
        </w:rPr>
        <w:t>el Ministerio de Hacienda y Crédito Público mediante Decreto 1621 del 30 de diciembre de 2024, liquidó el Presupuesto General de la Nación para la vigencia fiscal de 2025, detallando las apropiaciones, clasificando y definiendo los gastos y en el cual se incluyó el Presupuesto del Instituto Colombiano de Bienestar Familias para la vigencia fiscal 2025. En tal sentido, el Bienestar Familiar mediante la expedición de la Resolución No. 6432 del 31 de diciembre de 2024, desagregó, distribuyó y asignó el presupuesto de gastos para la vigencia fiscal 2025</w:t>
      </w:r>
      <w:r>
        <w:rPr>
          <w:rFonts w:ascii="Verdana" w:hAnsi="Verdana" w:cs="Arial"/>
          <w:color w:val="000000"/>
        </w:rPr>
        <w:t>”.</w:t>
      </w:r>
    </w:p>
    <w:p w:rsidR="00710256" w:rsidP="00710256" w:rsidRDefault="00710256" w14:paraId="1330081F" w14:textId="77777777">
      <w:pPr>
        <w:spacing w:line="240" w:lineRule="auto"/>
        <w:jc w:val="both"/>
        <w:rPr>
          <w:rFonts w:ascii="Verdana" w:hAnsi="Verdana" w:cs="Arial"/>
          <w:color w:val="000000"/>
        </w:rPr>
      </w:pPr>
      <w:r>
        <w:rPr>
          <w:rFonts w:ascii="Verdana" w:hAnsi="Verdana" w:cs="Arial"/>
          <w:color w:val="000000"/>
        </w:rPr>
        <w:t xml:space="preserve">Por todo lo descrito, en principio a la fecha no existe impedimento de orden constitucional o legal para no usar los recursos asignados mediante el Decreto 433 de 2025. Esto, siempre y cuando sean destinados de forma exclusiva para el cumplimiento de labores encomendadas por el mencionado decreto, esto es para la contratación de 80 supernumerarios destinados a la creación de 20 defensorías de apoyo para las regiones afectadas por la conmoción interior, con el propósito de garantizar los derechos de los niños, niñas, adolescentes y sus familias, en un término que no podrá superar la prórroga de la declaratoria, esto es hasta 90 días calendario adicionales, contados desde el 24 de abril de 2025. Es de anotar que sobre este proceso no se conoce ni siquiera comunicado oficial de prensa, pues se encuentra en trámite el estudio ante la Corte Constitucional, razón por la cual la OAJ no tiene la competencia para pronunciarse sobre la constitucionalidad de las medidas, cuestión que corresponde de forma exclusiva y por mandato superior a la Alta Corporación.  </w:t>
      </w:r>
    </w:p>
    <w:p w:rsidRPr="00D24566" w:rsidR="00207A8D" w:rsidP="00D24566" w:rsidRDefault="00710256" w14:paraId="4F25F595" w14:textId="6588FB67">
      <w:pPr>
        <w:spacing w:line="240" w:lineRule="auto"/>
        <w:jc w:val="both"/>
        <w:rPr>
          <w:rFonts w:ascii="Verdana" w:hAnsi="Verdana" w:cs="Arial"/>
          <w:color w:val="000000"/>
          <w:lang w:val="es-CO"/>
        </w:rPr>
      </w:pPr>
      <w:r>
        <w:rPr>
          <w:rFonts w:ascii="Verdana" w:hAnsi="Verdana" w:cs="Arial"/>
          <w:color w:val="000000"/>
        </w:rPr>
        <w:t xml:space="preserve">En conclusión, existe la disponibilidad de los recursos necesarios para la contratación de los 80 supernumerarios en los términos previstos en el Decreto 433 de 2025, por lo cual, en principio, es factible la utilización de estos. Ahora bien, el Decreto 467 de 2025, por el cual se </w:t>
      </w:r>
      <w:proofErr w:type="spellStart"/>
      <w:r>
        <w:rPr>
          <w:rFonts w:ascii="Verdana" w:hAnsi="Verdana" w:cs="Arial"/>
          <w:color w:val="000000"/>
        </w:rPr>
        <w:t>levant</w:t>
      </w:r>
      <w:r>
        <w:rPr>
          <w:rFonts w:ascii="Verdana" w:hAnsi="Verdana" w:cs="Arial"/>
          <w:color w:val="000000"/>
          <w:lang w:val="es-CO"/>
        </w:rPr>
        <w:t>ó</w:t>
      </w:r>
      <w:proofErr w:type="spellEnd"/>
      <w:r>
        <w:rPr>
          <w:rFonts w:ascii="Verdana" w:hAnsi="Verdana" w:cs="Arial"/>
          <w:color w:val="000000"/>
          <w:lang w:val="es-CO"/>
        </w:rPr>
        <w:t xml:space="preserve"> el estado de conmoción interior, prorrogó por 90 días calendario, contados a partir del 24 de abril de 2025, la vigencia de algunos decretos, </w:t>
      </w:r>
      <w:r w:rsidRPr="006D4955">
        <w:rPr>
          <w:rFonts w:ascii="Verdana" w:hAnsi="Verdana" w:cs="Arial"/>
          <w:color w:val="000000"/>
          <w:lang w:val="es-CO"/>
        </w:rPr>
        <w:t>entre estos el 433 de 2025</w:t>
      </w:r>
      <w:r>
        <w:rPr>
          <w:rFonts w:ascii="Verdana" w:hAnsi="Verdana" w:cs="Arial"/>
          <w:color w:val="000000"/>
          <w:lang w:val="es-CO"/>
        </w:rPr>
        <w:t>, es decir hasta el 23 de julio de 2025.</w:t>
      </w:r>
      <w:r w:rsidR="00D24566">
        <w:rPr>
          <w:rFonts w:ascii="Verdana" w:hAnsi="Verdana" w:cs="Arial"/>
          <w:color w:val="000000"/>
          <w:lang w:val="es-CO"/>
        </w:rPr>
        <w:t xml:space="preserve"> Por último, se advierte que el Decreto 433 de 2025 se encuentra en control automático por parte de la Corte Constitucional y a la fecha no se conoce la decisión que esta honorable corporación adoptará.</w:t>
      </w:r>
    </w:p>
    <w:p w:rsidRPr="009934E2" w:rsidR="00AB22D5" w:rsidP="00D93541" w:rsidRDefault="00AB22D5" w14:paraId="431AFEC3" w14:textId="77777777">
      <w:pPr>
        <w:spacing w:line="240" w:lineRule="auto"/>
        <w:jc w:val="both"/>
        <w:rPr>
          <w:rFonts w:ascii="Verdana" w:hAnsi="Verdana" w:cs="Arial"/>
          <w:b/>
          <w:bCs/>
          <w:color w:val="000000"/>
          <w:lang w:val="es-CO"/>
        </w:rPr>
      </w:pPr>
      <w:r>
        <w:rPr>
          <w:rFonts w:ascii="Verdana" w:hAnsi="Verdana" w:cs="Arial"/>
          <w:b/>
          <w:bCs/>
          <w:color w:val="000000"/>
          <w:lang w:val="es-CO"/>
        </w:rPr>
        <w:t xml:space="preserve">4. Conclusión </w:t>
      </w:r>
    </w:p>
    <w:p w:rsidRPr="00127C5F" w:rsidR="00623132" w:rsidP="00623132" w:rsidRDefault="00623132" w14:paraId="09C0422F" w14:textId="29E07823">
      <w:pPr>
        <w:spacing w:line="240" w:lineRule="auto"/>
        <w:jc w:val="both"/>
        <w:rPr>
          <w:rFonts w:ascii="Verdana" w:hAnsi="Verdana" w:cs="Arial"/>
          <w:color w:val="000000"/>
          <w:lang w:val="es-CO"/>
        </w:rPr>
      </w:pPr>
      <w:r>
        <w:rPr>
          <w:rFonts w:ascii="Verdana" w:hAnsi="Verdana" w:cs="Arial"/>
          <w:color w:val="000000"/>
        </w:rPr>
        <w:t xml:space="preserve">De conformidad a lo expuesto, en relación el Decretos 062 y 274 de 2025, se evidencia que, a la fecha sobre el primero se conoce únicamente el comunicado oficial de prensa y en </w:t>
      </w:r>
      <w:proofErr w:type="spellStart"/>
      <w:r>
        <w:rPr>
          <w:rFonts w:ascii="Verdana" w:hAnsi="Verdana" w:cs="Arial"/>
          <w:color w:val="000000"/>
        </w:rPr>
        <w:t>relaci</w:t>
      </w:r>
      <w:r>
        <w:rPr>
          <w:rFonts w:ascii="Verdana" w:hAnsi="Verdana" w:cs="Arial"/>
          <w:color w:val="000000"/>
          <w:lang w:val="es-CO"/>
        </w:rPr>
        <w:t>ón</w:t>
      </w:r>
      <w:proofErr w:type="spellEnd"/>
      <w:r>
        <w:rPr>
          <w:rFonts w:ascii="Verdana" w:hAnsi="Verdana" w:cs="Arial"/>
          <w:color w:val="000000"/>
          <w:lang w:val="es-CO"/>
        </w:rPr>
        <w:t xml:space="preserve"> con el segundo no está disponible información sobre la decisión, </w:t>
      </w:r>
      <w:r>
        <w:rPr>
          <w:rFonts w:ascii="Verdana" w:hAnsi="Verdana" w:cs="Arial"/>
          <w:color w:val="000000"/>
        </w:rPr>
        <w:t>razón por la que se conoce el sentido de la decisión, así como sus argumentos principales</w:t>
      </w:r>
      <w:r w:rsidR="003155E3">
        <w:rPr>
          <w:rFonts w:ascii="Verdana" w:hAnsi="Verdana" w:cs="Arial"/>
          <w:color w:val="000000"/>
        </w:rPr>
        <w:t xml:space="preserve"> y</w:t>
      </w:r>
      <w:r>
        <w:rPr>
          <w:rFonts w:ascii="Verdana" w:hAnsi="Verdana" w:cs="Arial"/>
          <w:color w:val="000000"/>
        </w:rPr>
        <w:t xml:space="preserve"> los efectos temporales o la modulación de los fallos, </w:t>
      </w:r>
      <w:r>
        <w:rPr>
          <w:rFonts w:ascii="Verdana" w:hAnsi="Verdana" w:cs="Arial"/>
          <w:color w:val="000000"/>
        </w:rPr>
        <w:lastRenderedPageBreak/>
        <w:t>cuestión que depende de forma exclusiva de las determinaciones de esta Corte, que funge como guardiana de la Constitución.</w:t>
      </w:r>
    </w:p>
    <w:p w:rsidRPr="00623132" w:rsidR="00847F2E" w:rsidP="00623132" w:rsidRDefault="00510129" w14:paraId="7A8F4625" w14:textId="07FBD4A7">
      <w:pPr>
        <w:spacing w:line="240" w:lineRule="auto"/>
        <w:jc w:val="both"/>
        <w:rPr>
          <w:rFonts w:ascii="Verdana" w:hAnsi="Verdana" w:cs="Arial"/>
          <w:color w:val="000000"/>
          <w:lang w:val="es-CO"/>
        </w:rPr>
      </w:pPr>
      <w:r>
        <w:rPr>
          <w:rFonts w:ascii="Verdana" w:hAnsi="Verdana" w:cs="Arial"/>
          <w:color w:val="000000"/>
        </w:rPr>
        <w:t>P</w:t>
      </w:r>
      <w:r w:rsidR="003155E3">
        <w:rPr>
          <w:rFonts w:ascii="Verdana" w:hAnsi="Verdana" w:cs="Arial"/>
          <w:color w:val="000000"/>
        </w:rPr>
        <w:t>or otra parte,</w:t>
      </w:r>
      <w:r>
        <w:rPr>
          <w:rFonts w:ascii="Verdana" w:hAnsi="Verdana" w:cs="Arial"/>
          <w:color w:val="000000"/>
        </w:rPr>
        <w:t xml:space="preserve"> la Oficina Asesora Jurídica concluye </w:t>
      </w:r>
      <w:r w:rsidR="00847F2E">
        <w:rPr>
          <w:rFonts w:ascii="Verdana" w:hAnsi="Verdana" w:cs="Arial"/>
          <w:color w:val="000000"/>
        </w:rPr>
        <w:t xml:space="preserve">que, </w:t>
      </w:r>
      <w:r w:rsidR="00623132">
        <w:rPr>
          <w:rFonts w:ascii="Verdana" w:hAnsi="Verdana" w:cs="Arial"/>
          <w:color w:val="000000"/>
        </w:rPr>
        <w:t xml:space="preserve">para </w:t>
      </w:r>
      <w:r w:rsidR="00CD203A">
        <w:rPr>
          <w:rFonts w:ascii="Verdana" w:hAnsi="Verdana" w:cs="Arial"/>
          <w:color w:val="000000"/>
        </w:rPr>
        <w:t>la utilización de los recursos</w:t>
      </w:r>
      <w:r w:rsidR="006814C5">
        <w:rPr>
          <w:rFonts w:ascii="Verdana" w:hAnsi="Verdana" w:cs="Arial"/>
          <w:color w:val="000000"/>
        </w:rPr>
        <w:t xml:space="preserve"> derivados del Decreto 274 de 2025</w:t>
      </w:r>
      <w:r w:rsidR="00623132">
        <w:rPr>
          <w:rFonts w:ascii="Verdana" w:hAnsi="Verdana" w:cs="Arial"/>
          <w:color w:val="000000"/>
        </w:rPr>
        <w:t xml:space="preserve"> se requiere </w:t>
      </w:r>
      <w:r w:rsidR="00CD203A">
        <w:rPr>
          <w:rFonts w:ascii="Verdana" w:hAnsi="Verdana" w:cs="Arial"/>
          <w:color w:val="000000"/>
        </w:rPr>
        <w:t xml:space="preserve">justificación técnica y fáctica suficiente que permita establecer sin lugar a dudas los criterios de conexidad necesarios para soportar las medidas que se tomen con el único propósito de atender la crisis derivada  </w:t>
      </w:r>
      <w:r w:rsidRPr="001648C5" w:rsidR="00CD203A">
        <w:rPr>
          <w:rFonts w:ascii="Verdana" w:hAnsi="Verdana" w:cs="Arial"/>
          <w:color w:val="000000"/>
          <w:lang w:val="es-CO"/>
        </w:rPr>
        <w:t>“</w:t>
      </w:r>
      <w:r w:rsidRPr="009D7907" w:rsidR="00CD203A">
        <w:rPr>
          <w:rFonts w:ascii="Verdana" w:hAnsi="Verdana" w:cs="Arial"/>
          <w:i/>
          <w:iCs/>
          <w:color w:val="000000"/>
          <w:lang w:val="es-CO"/>
        </w:rPr>
        <w:t xml:space="preserve">respecto de los hechos y consideraciones relacionados con (i) la intensificación de los enfrentamientos entre el ELN y otros </w:t>
      </w:r>
      <w:proofErr w:type="spellStart"/>
      <w:r w:rsidRPr="009D7907" w:rsidR="00CD203A">
        <w:rPr>
          <w:rFonts w:ascii="Verdana" w:hAnsi="Verdana" w:cs="Arial"/>
          <w:i/>
          <w:iCs/>
          <w:color w:val="000000"/>
          <w:lang w:val="es-CO"/>
        </w:rPr>
        <w:t>GAOr</w:t>
      </w:r>
      <w:proofErr w:type="spellEnd"/>
      <w:r w:rsidRPr="009D7907" w:rsidR="00CD203A">
        <w:rPr>
          <w:rFonts w:ascii="Verdana" w:hAnsi="Verdana" w:cs="Arial"/>
          <w:i/>
          <w:iCs/>
          <w:color w:val="000000"/>
          <w:lang w:val="es-CO"/>
        </w:rPr>
        <w:t>, así como los ataques y hostilidades dirigidos de forma indiscriminada contra la población civil y los firmantes del Acuerdo Final de Paz con las FARC y (</w:t>
      </w:r>
      <w:proofErr w:type="spellStart"/>
      <w:r w:rsidRPr="009D7907" w:rsidR="00CD203A">
        <w:rPr>
          <w:rFonts w:ascii="Verdana" w:hAnsi="Verdana" w:cs="Arial"/>
          <w:i/>
          <w:iCs/>
          <w:color w:val="000000"/>
          <w:lang w:val="es-CO"/>
        </w:rPr>
        <w:t>ii</w:t>
      </w:r>
      <w:proofErr w:type="spellEnd"/>
      <w:r w:rsidRPr="009D7907" w:rsidR="00CD203A">
        <w:rPr>
          <w:rFonts w:ascii="Verdana" w:hAnsi="Verdana" w:cs="Arial"/>
          <w:i/>
          <w:iCs/>
          <w:color w:val="000000"/>
          <w:lang w:val="es-CO"/>
        </w:rPr>
        <w:t>) la crisis humanitaria derivada de desplazamientos forzados -internos y transfronterizos- y confinamientos masivos que ha desbordado la capacidad institucional del Estado para atenderla. Esta decisión solo incluye aquellas medidas que sean necesarias para el fortalecimiento de la fuerza pública, la atención humanitaria, los derechos y garantías fundamentales de la población civil, y la financiación para esos propósitos específicos</w:t>
      </w:r>
      <w:r w:rsidR="00623132">
        <w:rPr>
          <w:rFonts w:ascii="Verdana" w:hAnsi="Verdana" w:cs="Arial"/>
          <w:i/>
          <w:iCs/>
          <w:color w:val="000000"/>
          <w:lang w:val="es-CO"/>
        </w:rPr>
        <w:t>”</w:t>
      </w:r>
      <w:r w:rsidR="00CD203A">
        <w:rPr>
          <w:rStyle w:val="Refdenotaalpie"/>
          <w:rFonts w:ascii="Verdana" w:hAnsi="Verdana" w:cs="Arial"/>
          <w:i/>
          <w:iCs/>
          <w:color w:val="000000"/>
          <w:lang w:val="es-CO"/>
        </w:rPr>
        <w:footnoteReference w:id="33"/>
      </w:r>
      <w:r w:rsidRPr="009D7907" w:rsidR="00CD203A">
        <w:rPr>
          <w:rFonts w:ascii="Verdana" w:hAnsi="Verdana" w:cs="Arial"/>
          <w:color w:val="000000"/>
          <w:lang w:val="es-CO"/>
        </w:rPr>
        <w:t>.</w:t>
      </w:r>
    </w:p>
    <w:p w:rsidR="002D4DCD" w:rsidP="009F7CDA" w:rsidRDefault="002D4DCD" w14:paraId="23BF485C" w14:textId="64C04437">
      <w:pPr>
        <w:spacing w:line="240" w:lineRule="auto"/>
        <w:jc w:val="both"/>
        <w:rPr>
          <w:rFonts w:ascii="Verdana" w:hAnsi="Verdana" w:cs="Arial"/>
          <w:color w:val="000000"/>
        </w:rPr>
      </w:pPr>
      <w:r>
        <w:rPr>
          <w:rFonts w:ascii="Verdana" w:hAnsi="Verdana" w:cs="Arial"/>
          <w:color w:val="000000"/>
        </w:rPr>
        <w:t xml:space="preserve">Por último, se advierte que este concepto tiene como propósito resolver los problemas jurídicos planteados, que en marco competencial que corresponde a la OAJ incluye el análisis de los posibles efectos jurídicos que tendrían las decisiones que resulten de la confrontación de las normas con los preceptos contenidos en el texto constitucional. Sin embargo, una vez la Corte Constitucional adopte las decisiones en la materia, serán otras entidades como el Ministerio de Hacienda y Crédito Público y el Departamento Nacional de Planeación, las que deberán dar instrucciones sobre la disposición de los recursos en cumplimiento y de conformidad con los fallos de la Alta Corporación. </w:t>
      </w:r>
    </w:p>
    <w:p w:rsidRPr="00DE46E0" w:rsidR="00510129" w:rsidP="009F7CDA" w:rsidRDefault="00510129" w14:paraId="0295854A" w14:textId="77777777">
      <w:pPr>
        <w:spacing w:line="240" w:lineRule="auto"/>
        <w:jc w:val="both"/>
        <w:rPr>
          <w:rFonts w:ascii="Verdana" w:hAnsi="Verdana" w:cs="Arial"/>
          <w:color w:val="000000"/>
          <w:lang w:val="es-CO"/>
        </w:rPr>
      </w:pPr>
      <w:r w:rsidRPr="00B57A2D">
        <w:rPr>
          <w:rFonts w:ascii="Verdana" w:hAnsi="Verdana" w:cs="Arial"/>
          <w:color w:val="000000"/>
        </w:rPr>
        <w:t>La presente respuesta tiene naturaleza de concepto jurídico y constituye un criterio auxiliar de interpretación de conformidad con lo establecido en los artículos 26 del Código Civil y 28 de la Ley 1437 de 2011,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(numerales 4, 8, 15 y 20 del artículo 6 del Decreto 987 de 2012).  </w:t>
      </w:r>
    </w:p>
    <w:p w:rsidRPr="00F56E12" w:rsidR="00510129" w:rsidP="00510129" w:rsidRDefault="00510129" w14:paraId="3D2706D4" w14:textId="77777777">
      <w:pPr>
        <w:rPr>
          <w:rFonts w:ascii="Verdana" w:hAnsi="Verdana" w:cs="Arial"/>
          <w:color w:val="000000"/>
        </w:rPr>
      </w:pPr>
      <w:r>
        <w:rPr>
          <w:rFonts w:ascii="Verdana" w:hAnsi="Verdana" w:cs="Arial"/>
          <w:color w:val="000000"/>
        </w:rPr>
        <w:t>Cordialmente</w:t>
      </w:r>
      <w:r w:rsidRPr="00F56E12">
        <w:rPr>
          <w:rFonts w:ascii="Verdana" w:hAnsi="Verdana" w:cs="Arial"/>
          <w:color w:val="000000"/>
        </w:rPr>
        <w:t>,</w:t>
      </w:r>
    </w:p>
    <w:p w:rsidRPr="00F56E12" w:rsidR="009F7CDA" w:rsidP="00AB22D5" w:rsidRDefault="009F7CDA" w14:paraId="3B5FB338" w14:textId="77777777">
      <w:pPr>
        <w:rPr>
          <w:rFonts w:ascii="Verdana" w:hAnsi="Verdana" w:cs="Arial"/>
          <w:color w:val="000000"/>
        </w:rPr>
      </w:pPr>
    </w:p>
    <w:p w:rsidR="00AB22D5" w:rsidP="00AB22D5" w:rsidRDefault="00450B36" w14:paraId="79F453D9" w14:textId="0A2D0E48">
      <w:pPr>
        <w:spacing w:after="0"/>
        <w:jc w:val="center"/>
        <w:rPr>
          <w:rFonts w:ascii="Verdana" w:hAnsi="Verdana" w:cs="Arial"/>
          <w:b/>
          <w:color w:val="000000"/>
        </w:rPr>
      </w:pPr>
      <w:r>
        <w:rPr>
          <w:rFonts w:ascii="Verdana" w:hAnsi="Verdana" w:cs="Arial"/>
          <w:b/>
          <w:color w:val="000000"/>
        </w:rPr>
        <w:t xml:space="preserve">JOSÉ MIGUEL </w:t>
      </w:r>
      <w:r w:rsidR="00BC1B6F">
        <w:rPr>
          <w:rFonts w:ascii="Verdana" w:hAnsi="Verdana" w:cs="Arial"/>
          <w:b/>
          <w:color w:val="000000"/>
        </w:rPr>
        <w:t>RUEDA VÁSQUEZ</w:t>
      </w:r>
    </w:p>
    <w:p w:rsidRPr="00F56E12" w:rsidR="00AB22D5" w:rsidP="00AB22D5" w:rsidRDefault="00AB22D5" w14:paraId="2D41B088" w14:textId="0F5E2F4C">
      <w:pPr>
        <w:spacing w:after="0"/>
        <w:jc w:val="center"/>
        <w:rPr>
          <w:rFonts w:ascii="Verdana" w:hAnsi="Verdana" w:cs="Arial"/>
          <w:color w:val="000000"/>
        </w:rPr>
      </w:pPr>
      <w:r>
        <w:rPr>
          <w:rFonts w:ascii="Verdana" w:hAnsi="Verdana" w:cs="Arial"/>
          <w:color w:val="000000"/>
        </w:rPr>
        <w:t xml:space="preserve">Jefe Oficina Asesora Jurídica </w:t>
      </w:r>
    </w:p>
    <w:p w:rsidRPr="00F56E12" w:rsidR="00AB22D5" w:rsidP="00AB22D5" w:rsidRDefault="00AB22D5" w14:paraId="4C1E1F42" w14:textId="77777777">
      <w:pPr>
        <w:spacing w:after="0"/>
        <w:jc w:val="both"/>
        <w:rPr>
          <w:rFonts w:ascii="Verdana" w:hAnsi="Verdana" w:cs="Arial"/>
        </w:rPr>
      </w:pPr>
    </w:p>
    <w:sectPr w:rsidRPr="00F56E12" w:rsidR="00AB22D5" w:rsidSect="00AB22D5">
      <w:footerReference w:type="default" r:id="rId8"/>
      <w:pgSz w:w="12240" w:h="15840" w:orient="portrait"/>
      <w:pgMar w:top="1701" w:right="1418" w:bottom="1134" w:left="1701" w:header="567" w:footer="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F4F" w:rsidP="00AB22D5" w:rsidRDefault="001B2F4F" w14:paraId="78884507" w14:textId="77777777">
      <w:pPr>
        <w:spacing w:after="0" w:line="240" w:lineRule="auto"/>
      </w:pPr>
      <w:r>
        <w:separator/>
      </w:r>
    </w:p>
  </w:endnote>
  <w:endnote w:type="continuationSeparator" w:id="0">
    <w:p w:rsidR="001B2F4F" w:rsidP="00AB22D5" w:rsidRDefault="001B2F4F" w14:paraId="3F6AE9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445" w:rsidRDefault="000C2445" w14:paraId="57C5E312" w14:textId="795CBC8B">
    <w:pPr>
      <w:pStyle w:val="Piedepgina"/>
    </w:pPr>
  </w:p>
  <w:p w:rsidR="000C2445" w:rsidP="00E75EEB" w:rsidRDefault="00E75EEB" w14:paraId="5DA518CE" w14:textId="1CAECF8B">
    <w:pPr>
      <w:pStyle w:val="Piedepgina"/>
      <w:tabs>
        <w:tab w:val="clear" w:pos="8838"/>
        <w:tab w:val="left" w:pos="441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F4F" w:rsidP="00AB22D5" w:rsidRDefault="001B2F4F" w14:paraId="34009268" w14:textId="77777777">
      <w:pPr>
        <w:spacing w:after="0" w:line="240" w:lineRule="auto"/>
      </w:pPr>
      <w:r>
        <w:separator/>
      </w:r>
    </w:p>
  </w:footnote>
  <w:footnote w:type="continuationSeparator" w:id="0">
    <w:p w:rsidR="001B2F4F" w:rsidP="00AB22D5" w:rsidRDefault="001B2F4F" w14:paraId="56D44C9C" w14:textId="77777777">
      <w:pPr>
        <w:spacing w:after="0" w:line="240" w:lineRule="auto"/>
      </w:pPr>
      <w:r>
        <w:continuationSeparator/>
      </w:r>
    </w:p>
  </w:footnote>
  <w:footnote w:id="1">
    <w:p w:rsidRPr="00E75EEB" w:rsidR="00AD0E9B" w:rsidRDefault="00AD0E9B" w14:paraId="24F4059E" w14:textId="187478AE">
      <w:pPr>
        <w:pStyle w:val="Textonotapie"/>
        <w:rPr>
          <w:lang w:val="pt-PT"/>
        </w:rPr>
      </w:pPr>
      <w:r>
        <w:rPr>
          <w:rStyle w:val="Refdenotaalpie"/>
        </w:rPr>
        <w:footnoteRef/>
      </w:r>
      <w:r w:rsidRPr="00E75EEB">
        <w:rPr>
          <w:lang w:val="pt-PT"/>
        </w:rPr>
        <w:t xml:space="preserve"> </w:t>
      </w:r>
      <w:r w:rsidRPr="00E75EEB" w:rsidR="00BB354E">
        <w:rPr>
          <w:lang w:val="pt-PT"/>
        </w:rPr>
        <w:t>Corte Constitucional, Sentencia C-911 de 2010.</w:t>
      </w:r>
    </w:p>
  </w:footnote>
  <w:footnote w:id="2">
    <w:p w:rsidRPr="00E75EEB" w:rsidR="00544883" w:rsidRDefault="00544883" w14:paraId="0038B47C" w14:textId="06584987">
      <w:pPr>
        <w:pStyle w:val="Textonotapie"/>
        <w:rPr>
          <w:i/>
          <w:iCs/>
          <w:lang w:val="pt-PT"/>
        </w:rPr>
      </w:pPr>
      <w:r>
        <w:rPr>
          <w:rStyle w:val="Refdenotaalpie"/>
        </w:rPr>
        <w:footnoteRef/>
      </w:r>
      <w:r w:rsidRPr="00E75EEB">
        <w:rPr>
          <w:lang w:val="pt-PT"/>
        </w:rPr>
        <w:t xml:space="preserve"> </w:t>
      </w:r>
      <w:r w:rsidRPr="00E75EEB">
        <w:rPr>
          <w:lang w:val="pt-PT"/>
        </w:rPr>
        <w:t>Idem.</w:t>
      </w:r>
      <w:r w:rsidRPr="00E75EEB">
        <w:rPr>
          <w:i/>
          <w:iCs/>
          <w:lang w:val="pt-PT"/>
        </w:rPr>
        <w:t xml:space="preserve"> </w:t>
      </w:r>
    </w:p>
  </w:footnote>
  <w:footnote w:id="3">
    <w:p w:rsidRPr="00E75EEB" w:rsidR="00613972" w:rsidRDefault="00613972" w14:paraId="31832223" w14:textId="264FE41F">
      <w:pPr>
        <w:pStyle w:val="Textonotapie"/>
        <w:rPr>
          <w:lang w:val="pt-PT"/>
        </w:rPr>
      </w:pPr>
      <w:r>
        <w:rPr>
          <w:rStyle w:val="Refdenotaalpie"/>
        </w:rPr>
        <w:footnoteRef/>
      </w:r>
      <w:r w:rsidRPr="00E75EEB">
        <w:rPr>
          <w:lang w:val="pt-PT"/>
        </w:rPr>
        <w:t xml:space="preserve"> </w:t>
      </w:r>
      <w:r w:rsidRPr="00E75EEB" w:rsidR="000966E7">
        <w:rPr>
          <w:lang w:val="pt-PT"/>
        </w:rPr>
        <w:t>Ídem</w:t>
      </w:r>
      <w:r w:rsidRPr="00E75EEB">
        <w:rPr>
          <w:lang w:val="pt-PT"/>
        </w:rPr>
        <w:t xml:space="preserve">. </w:t>
      </w:r>
    </w:p>
  </w:footnote>
  <w:footnote w:id="4">
    <w:p w:rsidRPr="00E75EEB" w:rsidR="000966E7" w:rsidRDefault="000966E7" w14:paraId="46737893" w14:textId="32967DAC">
      <w:pPr>
        <w:pStyle w:val="Textonotapie"/>
        <w:rPr>
          <w:lang w:val="pt-PT"/>
        </w:rPr>
      </w:pPr>
      <w:r>
        <w:rPr>
          <w:rStyle w:val="Refdenotaalpie"/>
        </w:rPr>
        <w:footnoteRef/>
      </w:r>
      <w:r w:rsidRPr="00E75EEB">
        <w:rPr>
          <w:lang w:val="pt-PT"/>
        </w:rPr>
        <w:t xml:space="preserve"> </w:t>
      </w:r>
      <w:r w:rsidRPr="00E75EEB">
        <w:rPr>
          <w:lang w:val="pt-PT"/>
        </w:rPr>
        <w:t>Ídem.</w:t>
      </w:r>
    </w:p>
  </w:footnote>
  <w:footnote w:id="5">
    <w:p w:rsidRPr="00E75EEB" w:rsidR="00C03AB0" w:rsidP="00C03AB0" w:rsidRDefault="00C03AB0" w14:paraId="33FC50C6" w14:textId="77777777">
      <w:pPr>
        <w:pStyle w:val="Textonotapie"/>
        <w:rPr>
          <w:lang w:val="pt-PT"/>
        </w:rPr>
      </w:pPr>
      <w:r>
        <w:rPr>
          <w:rStyle w:val="Refdenotaalpie"/>
        </w:rPr>
        <w:footnoteRef/>
      </w:r>
      <w:r w:rsidRPr="00E75EEB">
        <w:rPr>
          <w:lang w:val="pt-PT"/>
        </w:rPr>
        <w:t xml:space="preserve"> </w:t>
      </w:r>
      <w:r w:rsidRPr="00E75EEB">
        <w:rPr>
          <w:lang w:val="pt-PT"/>
        </w:rPr>
        <w:t xml:space="preserve">Decreto </w:t>
      </w:r>
      <w:r w:rsidRPr="00E75EEB">
        <w:rPr>
          <w:lang w:val="pt-PT"/>
        </w:rPr>
        <w:t>Legislativo 0062 de 2025.</w:t>
      </w:r>
    </w:p>
  </w:footnote>
  <w:footnote w:id="6">
    <w:p w:rsidRPr="0002130A" w:rsidR="00C03AB0" w:rsidP="00C03AB0" w:rsidRDefault="00C03AB0" w14:paraId="71B388BA" w14:textId="77777777">
      <w:pPr>
        <w:pStyle w:val="Textonotapie"/>
        <w:rPr>
          <w:lang w:val="es-CO"/>
        </w:rPr>
      </w:pPr>
      <w:r>
        <w:rPr>
          <w:rStyle w:val="Refdenotaalpie"/>
        </w:rPr>
        <w:footnoteRef/>
      </w:r>
      <w:r>
        <w:t xml:space="preserve"> Artículos 241 y 213 </w:t>
      </w:r>
      <w:proofErr w:type="spellStart"/>
      <w:r>
        <w:t>Constituci</w:t>
      </w:r>
      <w:r>
        <w:rPr>
          <w:lang w:val="es-CO"/>
        </w:rPr>
        <w:t>ón</w:t>
      </w:r>
      <w:proofErr w:type="spellEnd"/>
      <w:r>
        <w:rPr>
          <w:lang w:val="es-CO"/>
        </w:rPr>
        <w:t xml:space="preserve"> Política de Colombia.</w:t>
      </w:r>
    </w:p>
  </w:footnote>
  <w:footnote w:id="7">
    <w:p w:rsidRPr="009D7907" w:rsidR="00C03AB0" w:rsidP="00C03AB0" w:rsidRDefault="00C03AB0" w14:paraId="0F914EBF" w14:textId="77777777">
      <w:pPr>
        <w:pStyle w:val="Textonotapie"/>
      </w:pPr>
      <w:r>
        <w:rPr>
          <w:rStyle w:val="Refdenotaalpie"/>
        </w:rPr>
        <w:footnoteRef/>
      </w:r>
      <w:r>
        <w:t xml:space="preserve"> </w:t>
      </w:r>
      <w:hyperlink w:history="1" r:id="rId1">
        <w:r w:rsidRPr="0043343A">
          <w:rPr>
            <w:rStyle w:val="Hipervnculo"/>
          </w:rPr>
          <w:t>https://www.corteconstitucional.gov.co/comunicados/comunicado-14---abril-29-de-2025</w:t>
        </w:r>
      </w:hyperlink>
      <w:r>
        <w:t xml:space="preserve">. </w:t>
      </w:r>
    </w:p>
  </w:footnote>
  <w:footnote w:id="8">
    <w:p w:rsidRPr="00147682" w:rsidR="00C03AB0" w:rsidP="00C03AB0" w:rsidRDefault="00C03AB0" w14:paraId="54869C93" w14:textId="77777777">
      <w:pPr>
        <w:pStyle w:val="Textonotapie"/>
        <w:rPr>
          <w:lang w:val="es-CO"/>
        </w:rPr>
      </w:pPr>
      <w:r>
        <w:rPr>
          <w:rStyle w:val="Refdenotaalpie"/>
        </w:rPr>
        <w:footnoteRef/>
      </w:r>
      <w:r>
        <w:t xml:space="preserve"> </w:t>
      </w:r>
      <w:r>
        <w:rPr>
          <w:lang w:val="es-CO"/>
        </w:rPr>
        <w:t xml:space="preserve">Ídem. </w:t>
      </w:r>
    </w:p>
  </w:footnote>
  <w:footnote w:id="9">
    <w:p w:rsidRPr="00147682" w:rsidR="00C03AB0" w:rsidP="00C03AB0" w:rsidRDefault="00C03AB0" w14:paraId="4B318D2B" w14:textId="77777777">
      <w:pPr>
        <w:pStyle w:val="Textonotapie"/>
      </w:pPr>
      <w:r>
        <w:rPr>
          <w:rStyle w:val="Refdenotaalpie"/>
        </w:rPr>
        <w:footnoteRef/>
      </w:r>
      <w:r>
        <w:t xml:space="preserve"> Ídem. </w:t>
      </w:r>
    </w:p>
  </w:footnote>
  <w:footnote w:id="10">
    <w:p w:rsidRPr="00C820E0" w:rsidR="00C03AB0" w:rsidP="00C03AB0" w:rsidRDefault="00C03AB0" w14:paraId="47017553" w14:textId="77777777">
      <w:pPr>
        <w:pStyle w:val="Textonotapie"/>
        <w:rPr>
          <w:lang w:val="es-CO"/>
        </w:rPr>
      </w:pPr>
      <w:r>
        <w:rPr>
          <w:rStyle w:val="Refdenotaalpie"/>
        </w:rPr>
        <w:footnoteRef/>
      </w:r>
      <w:r>
        <w:t xml:space="preserve"> </w:t>
      </w:r>
      <w:r>
        <w:rPr>
          <w:lang w:val="es-CO"/>
        </w:rPr>
        <w:t xml:space="preserve">Ídem. </w:t>
      </w:r>
    </w:p>
  </w:footnote>
  <w:footnote w:id="11">
    <w:p w:rsidRPr="002C2C50" w:rsidR="00C03AB0" w:rsidP="00C03AB0" w:rsidRDefault="00C03AB0" w14:paraId="1DFECEAA" w14:textId="77777777">
      <w:pPr>
        <w:pStyle w:val="Textonotapie"/>
        <w:jc w:val="both"/>
      </w:pPr>
      <w:r>
        <w:rPr>
          <w:rStyle w:val="Refdenotaalpie"/>
        </w:rPr>
        <w:footnoteRef/>
      </w:r>
      <w:r>
        <w:t xml:space="preserve"> </w:t>
      </w:r>
      <w:r w:rsidRPr="002C2C50">
        <w:rPr>
          <w:lang w:val="es-CO"/>
        </w:rPr>
        <w:t>“</w:t>
      </w:r>
      <w:r w:rsidRPr="00164FCE">
        <w:rPr>
          <w:i/>
          <w:iCs/>
        </w:rPr>
        <w:t>La Corte encontró que la dimensión de la crisis se exacerbó por la rapidez con la que se produjo. El 22 de enero de 2025, apenas 6 días después de que comenzó el recrudecimiento de la violencia en el Catatumbo, ya había 36.137 víctimas de desplazamiento forzado. Esta cifra continuó aumentando rápidamente las semanas siguientes, pues al 12 de abril se estimaban 48.621 víctimas. Y, aunque las cifras del desplazamiento siguen cambiando a medida que evoluciona la crisis, la Corte resaltó que, según cálculos de la Defensoría del Pueblo, el número de desplazados en la región es de más de 60.000 personas. Para la Corte, las cifras relatadas no solo muestran la magnitud de la crisis producida por el escalamiento de la violencia, sino que desborda las capacidades institucionales del estado para enfrentarla</w:t>
      </w:r>
      <w:r>
        <w:t xml:space="preserve">”. Ibidem. </w:t>
      </w:r>
    </w:p>
  </w:footnote>
  <w:footnote w:id="12">
    <w:p w:rsidRPr="004A108B" w:rsidR="00C03AB0" w:rsidP="00C03AB0" w:rsidRDefault="00C03AB0" w14:paraId="534B1D9C" w14:textId="77777777">
      <w:pPr>
        <w:pStyle w:val="Textonotapie"/>
      </w:pPr>
      <w:r>
        <w:rPr>
          <w:rStyle w:val="Refdenotaalpie"/>
        </w:rPr>
        <w:footnoteRef/>
      </w:r>
      <w:r>
        <w:t xml:space="preserve"> </w:t>
      </w:r>
      <w:r w:rsidRPr="004A108B">
        <w:t>Programa Nacional Integral de Sustitución de Cultivos Ilícitos.</w:t>
      </w:r>
    </w:p>
  </w:footnote>
  <w:footnote w:id="13">
    <w:p w:rsidRPr="00726FE3" w:rsidR="00726FE3" w:rsidRDefault="00726FE3" w14:paraId="55F82352" w14:textId="2EFDFE23">
      <w:pPr>
        <w:pStyle w:val="Textonotapie"/>
        <w:rPr>
          <w:lang w:val="es-CO"/>
        </w:rPr>
      </w:pPr>
      <w:r>
        <w:rPr>
          <w:rStyle w:val="Refdenotaalpie"/>
        </w:rPr>
        <w:footnoteRef/>
      </w:r>
      <w:r>
        <w:t xml:space="preserve"> </w:t>
      </w:r>
      <w:r w:rsidRPr="00726FE3">
        <w:rPr>
          <w:lang w:val="es-CO"/>
        </w:rPr>
        <w:t>Corte C</w:t>
      </w:r>
      <w:r>
        <w:rPr>
          <w:lang w:val="es-CO"/>
        </w:rPr>
        <w:t>onstitucional, Sentencia C</w:t>
      </w:r>
      <w:r w:rsidR="00B42D4B">
        <w:rPr>
          <w:lang w:val="es-CO"/>
        </w:rPr>
        <w:t>-947 de 2002.</w:t>
      </w:r>
    </w:p>
  </w:footnote>
  <w:footnote w:id="14">
    <w:p w:rsidRPr="00B95128" w:rsidR="00933625" w:rsidRDefault="00933625" w14:paraId="46DDB5F8" w14:textId="1E158C4D">
      <w:pPr>
        <w:pStyle w:val="Textonotapie"/>
        <w:rPr>
          <w:lang w:val="es-CO"/>
        </w:rPr>
      </w:pPr>
      <w:r>
        <w:rPr>
          <w:rStyle w:val="Refdenotaalpie"/>
        </w:rPr>
        <w:footnoteRef/>
      </w:r>
      <w:r>
        <w:t xml:space="preserve"> </w:t>
      </w:r>
      <w:proofErr w:type="spellStart"/>
      <w:r w:rsidRPr="00B95128">
        <w:rPr>
          <w:lang w:val="es-CO"/>
        </w:rPr>
        <w:t>Idem</w:t>
      </w:r>
      <w:proofErr w:type="spellEnd"/>
      <w:r w:rsidRPr="00B95128">
        <w:rPr>
          <w:lang w:val="es-CO"/>
        </w:rPr>
        <w:t>.</w:t>
      </w:r>
    </w:p>
  </w:footnote>
  <w:footnote w:id="15">
    <w:p w:rsidRPr="00CF1653" w:rsidR="00CF1653" w:rsidRDefault="00CF1653" w14:paraId="6A051D4D" w14:textId="1D00C4C2">
      <w:pPr>
        <w:pStyle w:val="Textonotapie"/>
      </w:pPr>
      <w:r>
        <w:rPr>
          <w:rStyle w:val="Refdenotaalpie"/>
        </w:rPr>
        <w:footnoteRef/>
      </w:r>
      <w:r>
        <w:t xml:space="preserve"> Ley Estatutaria de Estados de Excepción. </w:t>
      </w:r>
    </w:p>
  </w:footnote>
  <w:footnote w:id="16">
    <w:p w:rsidRPr="00103995" w:rsidR="00103995" w:rsidP="00103995" w:rsidRDefault="00103995" w14:paraId="2A1511A2" w14:textId="6778510F">
      <w:pPr>
        <w:pStyle w:val="Textonotapie"/>
        <w:jc w:val="both"/>
        <w:rPr>
          <w:lang w:val="es-CO"/>
        </w:rPr>
      </w:pPr>
      <w:r>
        <w:rPr>
          <w:rStyle w:val="Refdenotaalpie"/>
        </w:rPr>
        <w:footnoteRef/>
      </w:r>
      <w:r>
        <w:t xml:space="preserve"> </w:t>
      </w:r>
      <w:r w:rsidRPr="00243420" w:rsidR="006E69A8">
        <w:rPr>
          <w:b/>
          <w:bCs/>
          <w:lang w:val="es-CO"/>
        </w:rPr>
        <w:t>“</w:t>
      </w:r>
      <w:r w:rsidRPr="00103995">
        <w:t>Los créditos adicionales y traslados al Presupuesto General de la Nación destinados a atender gastos ocasionados por los estados de excepción, serán efectuados por Gobierno en los términos que éste señale. La fuente de gasto público será el decreto que declare el estado de excepción respectivo (Ley 38/89, artículo 69, Ley 179/94, artículo </w:t>
      </w:r>
      <w:hyperlink w:history="1" w:anchor="36" r:id="rId2">
        <w:r w:rsidRPr="00103995">
          <w:rPr>
            <w:rStyle w:val="Hipervnculo"/>
          </w:rPr>
          <w:t>36</w:t>
        </w:r>
      </w:hyperlink>
      <w:r w:rsidRPr="00103995">
        <w:t>).</w:t>
      </w:r>
      <w:r>
        <w:t>” Art</w:t>
      </w:r>
      <w:r>
        <w:rPr>
          <w:lang w:val="es-CO"/>
        </w:rPr>
        <w:t xml:space="preserve">ículo </w:t>
      </w:r>
      <w:r w:rsidR="006E69A8">
        <w:rPr>
          <w:lang w:val="es-CO"/>
        </w:rPr>
        <w:t>83 Estatuto Orgánico del Presupuesto</w:t>
      </w:r>
      <w:r w:rsidR="004E39C6">
        <w:rPr>
          <w:lang w:val="es-CO"/>
        </w:rPr>
        <w:t xml:space="preserve"> </w:t>
      </w:r>
      <w:r w:rsidR="004E39C6">
        <w:rPr>
          <w:lang w:val="en-US"/>
        </w:rPr>
        <w:t>(</w:t>
      </w:r>
      <w:proofErr w:type="spellStart"/>
      <w:r w:rsidR="004E39C6">
        <w:rPr>
          <w:lang w:val="en-US"/>
        </w:rPr>
        <w:t>en</w:t>
      </w:r>
      <w:proofErr w:type="spellEnd"/>
      <w:r w:rsidR="004E39C6">
        <w:rPr>
          <w:lang w:val="en-US"/>
        </w:rPr>
        <w:t xml:space="preserve"> Adelante EOP)</w:t>
      </w:r>
      <w:r w:rsidR="006E69A8">
        <w:rPr>
          <w:lang w:val="es-CO"/>
        </w:rPr>
        <w:t>.</w:t>
      </w:r>
    </w:p>
  </w:footnote>
  <w:footnote w:id="17">
    <w:p w:rsidRPr="00B95128" w:rsidR="00B95128" w:rsidP="00B95128" w:rsidRDefault="00B95128" w14:paraId="1C66E58D" w14:textId="55AA2649">
      <w:pPr>
        <w:pStyle w:val="Textonotapie"/>
        <w:jc w:val="both"/>
        <w:rPr>
          <w:lang w:val="es-CO"/>
        </w:rPr>
      </w:pPr>
      <w:r>
        <w:rPr>
          <w:rStyle w:val="Refdenotaalpie"/>
        </w:rPr>
        <w:footnoteRef/>
      </w:r>
      <w:r>
        <w:t xml:space="preserve"> Por el cual se adoptan medidas tributarias destinadas a atender los gastos del Presupuesto General de la Nación necesarios para hacer frente al estado de conmoción interior decretado en la región del Catatumbo, el área metropolitana de Cúcuta y los municipios de Río de Oro y González del departamento del Cesar. </w:t>
      </w:r>
    </w:p>
  </w:footnote>
  <w:footnote w:id="18">
    <w:p w:rsidRPr="00D41340" w:rsidR="00D41340" w:rsidP="00D41340" w:rsidRDefault="00D41340" w14:paraId="44363DB1" w14:textId="2979FFC4">
      <w:pPr>
        <w:pStyle w:val="Textonotapie"/>
        <w:jc w:val="both"/>
      </w:pPr>
      <w:r>
        <w:rPr>
          <w:rStyle w:val="Refdenotaalpie"/>
        </w:rPr>
        <w:footnoteRef/>
      </w:r>
      <w:r>
        <w:t xml:space="preserve"> P</w:t>
      </w:r>
      <w:r w:rsidRPr="00D41340">
        <w:t>or el cual se adiciona el Presupuesto General de la Nación de la Vigencia Fiscal de 2025, en el marco de la Declaratoria del Estado de Conmoción Interior en la Región del Catatumbo, el área Metropolitana de Cúcuta y los municipios de Río de Oro y González del departamento del Cesar.</w:t>
      </w:r>
    </w:p>
  </w:footnote>
  <w:footnote w:id="19">
    <w:p w:rsidRPr="00861B32" w:rsidR="00D41340" w:rsidP="00676D63" w:rsidRDefault="00861B32" w14:paraId="023CCD26" w14:textId="5D40EC7F">
      <w:pPr>
        <w:pStyle w:val="Textonotapie"/>
        <w:jc w:val="both"/>
        <w:rPr>
          <w:lang w:val="es-CO"/>
        </w:rPr>
      </w:pPr>
      <w:r>
        <w:rPr>
          <w:rStyle w:val="Refdenotaalpie"/>
        </w:rPr>
        <w:footnoteRef/>
      </w:r>
      <w:r>
        <w:t xml:space="preserve"> </w:t>
      </w:r>
      <w:r w:rsidR="00BD3CA3">
        <w:rPr>
          <w:lang w:val="es-CO"/>
        </w:rPr>
        <w:t xml:space="preserve">Por el cual se liquidan los recursos adicionados mediante el Decreto 0274 de 2025 </w:t>
      </w:r>
      <w:r w:rsidR="00676D63">
        <w:rPr>
          <w:lang w:val="es-CO"/>
        </w:rPr>
        <w:t>al Presupuesto General de la Nación de la vigencia fiscal 2025.</w:t>
      </w:r>
    </w:p>
  </w:footnote>
  <w:footnote w:id="20">
    <w:p w:rsidRPr="004E39C6" w:rsidR="00D523C1" w:rsidRDefault="00D523C1" w14:paraId="75B1F0BC" w14:textId="52589620">
      <w:pPr>
        <w:pStyle w:val="Textonotapie"/>
        <w:rPr>
          <w:lang w:val="es-CO"/>
        </w:rPr>
      </w:pPr>
      <w:r>
        <w:rPr>
          <w:rStyle w:val="Refdenotaalpie"/>
        </w:rPr>
        <w:footnoteRef/>
      </w:r>
      <w:r>
        <w:t xml:space="preserve"> </w:t>
      </w:r>
      <w:r w:rsidRPr="004E39C6" w:rsidR="004E39C6">
        <w:rPr>
          <w:lang w:val="es-CO"/>
        </w:rPr>
        <w:t>Art</w:t>
      </w:r>
      <w:r w:rsidR="004E39C6">
        <w:rPr>
          <w:lang w:val="es-CO"/>
        </w:rPr>
        <w:t>í</w:t>
      </w:r>
      <w:r w:rsidRPr="004E39C6" w:rsidR="004E39C6">
        <w:rPr>
          <w:lang w:val="es-CO"/>
        </w:rPr>
        <w:t>culo 110 E</w:t>
      </w:r>
      <w:r w:rsidR="004E39C6">
        <w:rPr>
          <w:lang w:val="es-CO"/>
        </w:rPr>
        <w:t xml:space="preserve">OP. </w:t>
      </w:r>
    </w:p>
  </w:footnote>
  <w:footnote w:id="21">
    <w:p w:rsidRPr="00015292" w:rsidR="00015292" w:rsidP="00B7281A" w:rsidRDefault="00015292" w14:paraId="416B7D95" w14:textId="3C015F89">
      <w:pPr>
        <w:spacing w:after="0" w:line="240" w:lineRule="auto"/>
        <w:jc w:val="both"/>
      </w:pPr>
      <w:r>
        <w:rPr>
          <w:rStyle w:val="Refdenotaalpie"/>
        </w:rPr>
        <w:footnoteRef/>
      </w:r>
      <w:r w:rsidRPr="00DB57BE">
        <w:rPr>
          <w:rFonts w:ascii="Arial" w:hAnsi="Arial" w:cs="Arial"/>
          <w:sz w:val="20"/>
          <w:szCs w:val="20"/>
        </w:rPr>
        <w:t xml:space="preserve"> </w:t>
      </w:r>
      <w:r w:rsidRPr="00DB57BE">
        <w:rPr>
          <w:rFonts w:cs="Calibri"/>
          <w:color w:val="000000"/>
          <w:sz w:val="20"/>
          <w:szCs w:val="20"/>
          <w:lang w:val="es-CO"/>
        </w:rPr>
        <w:t>Esta autonomía para “</w:t>
      </w:r>
      <w:r w:rsidRPr="00DB57BE">
        <w:rPr>
          <w:rFonts w:cs="Calibri"/>
          <w:color w:val="000000"/>
          <w:sz w:val="20"/>
          <w:szCs w:val="20"/>
        </w:rPr>
        <w:t>[</w:t>
      </w:r>
      <w:r w:rsidRPr="00DB57BE">
        <w:rPr>
          <w:rFonts w:cs="Calibri"/>
          <w:i/>
          <w:iCs/>
          <w:color w:val="000000"/>
          <w:sz w:val="20"/>
          <w:szCs w:val="20"/>
        </w:rPr>
        <w:t>l</w:t>
      </w:r>
      <w:r w:rsidRPr="00DB57BE">
        <w:rPr>
          <w:rFonts w:cs="Calibri"/>
          <w:color w:val="000000"/>
          <w:sz w:val="20"/>
          <w:szCs w:val="20"/>
        </w:rPr>
        <w:t>]</w:t>
      </w:r>
      <w:r w:rsidRPr="00DB57BE">
        <w:rPr>
          <w:rFonts w:cs="Calibri"/>
          <w:i/>
          <w:iCs/>
          <w:color w:val="000000"/>
          <w:sz w:val="20"/>
          <w:szCs w:val="20"/>
        </w:rPr>
        <w:t xml:space="preserve">a ejecución del presupuesto </w:t>
      </w:r>
      <w:r w:rsidRPr="00DB57BE">
        <w:rPr>
          <w:rFonts w:cs="Calibri"/>
          <w:color w:val="000000"/>
          <w:sz w:val="20"/>
          <w:szCs w:val="20"/>
        </w:rPr>
        <w:t>(…)</w:t>
      </w:r>
      <w:r w:rsidRPr="00DB57BE">
        <w:rPr>
          <w:rFonts w:cs="Calibri"/>
          <w:i/>
          <w:iCs/>
          <w:color w:val="000000"/>
          <w:sz w:val="20"/>
          <w:szCs w:val="20"/>
        </w:rPr>
        <w:t xml:space="preserve"> supone la posibilidad de disponer, en forma independiente, de los recursos aprobados en la Ley de Presupuesto. La independencia en la disposición de los recursos no significa que no se requiera del trámite presupuestal previsto en la ley orgánica, en cuanto a la certificación de la existencia de recursos y la racionalización de la programación presupuestal. En el mismo orden de ideas, la autonomía en la ejecución presupuestal no supone independencia respecto de las metas macroeconómicas y los planes de financiamiento de la operación estatal</w:t>
      </w:r>
      <w:r w:rsidRPr="00DB57BE">
        <w:rPr>
          <w:rStyle w:val="Refdenotaalpie"/>
          <w:rFonts w:cs="Calibri"/>
          <w:i/>
          <w:iCs/>
          <w:color w:val="000000"/>
          <w:sz w:val="20"/>
          <w:szCs w:val="20"/>
        </w:rPr>
        <w:footnoteRef/>
      </w:r>
      <w:r w:rsidRPr="00DB57BE">
        <w:rPr>
          <w:rFonts w:cs="Calibri"/>
          <w:color w:val="000000"/>
          <w:sz w:val="20"/>
          <w:szCs w:val="20"/>
        </w:rPr>
        <w:t>”</w:t>
      </w:r>
      <w:r w:rsidRPr="00DB57BE">
        <w:rPr>
          <w:rFonts w:cs="Calibri"/>
          <w:i/>
          <w:iCs/>
          <w:color w:val="000000"/>
          <w:sz w:val="20"/>
          <w:szCs w:val="20"/>
        </w:rPr>
        <w:t>.</w:t>
      </w:r>
    </w:p>
  </w:footnote>
  <w:footnote w:id="22">
    <w:p w:rsidRPr="00A63E19" w:rsidR="00001683" w:rsidP="00B7281A" w:rsidRDefault="00001683" w14:paraId="6D0DA5B7" w14:textId="2BB1EE06">
      <w:pPr>
        <w:pStyle w:val="Textonotapie"/>
        <w:rPr>
          <w:lang w:val="es-CO"/>
        </w:rPr>
      </w:pPr>
      <w:r>
        <w:rPr>
          <w:rStyle w:val="Refdenotaalpie"/>
        </w:rPr>
        <w:footnoteRef/>
      </w:r>
      <w:r>
        <w:t xml:space="preserve"> </w:t>
      </w:r>
      <w:proofErr w:type="spellStart"/>
      <w:r w:rsidRPr="00A63E19">
        <w:rPr>
          <w:lang w:val="es-CO"/>
        </w:rPr>
        <w:t>Idem</w:t>
      </w:r>
      <w:proofErr w:type="spellEnd"/>
      <w:r w:rsidRPr="00A63E19">
        <w:rPr>
          <w:lang w:val="es-CO"/>
        </w:rPr>
        <w:t xml:space="preserve">. </w:t>
      </w:r>
    </w:p>
  </w:footnote>
  <w:footnote w:id="23">
    <w:p w:rsidRPr="00983BBA" w:rsidR="007F17BB" w:rsidP="007F17BB" w:rsidRDefault="007F17BB" w14:paraId="614E60B1" w14:textId="77777777">
      <w:pPr>
        <w:pStyle w:val="Textonotapie"/>
        <w:rPr>
          <w:lang w:val="es-CO"/>
        </w:rPr>
      </w:pPr>
      <w:r>
        <w:rPr>
          <w:rStyle w:val="Refdenotaalpie"/>
        </w:rPr>
        <w:footnoteRef/>
      </w:r>
      <w:r>
        <w:t xml:space="preserve"> </w:t>
      </w:r>
      <w:r w:rsidRPr="00A63E19">
        <w:rPr>
          <w:i/>
          <w:iCs/>
          <w:lang w:val="es-CO"/>
        </w:rPr>
        <w:t xml:space="preserve">Cfr. </w:t>
      </w:r>
      <w:r>
        <w:rPr>
          <w:lang w:val="es-CO"/>
        </w:rPr>
        <w:t>Artículos 267 y 277 de la Constitución Política de Colombia.</w:t>
      </w:r>
    </w:p>
  </w:footnote>
  <w:footnote w:id="24">
    <w:p w:rsidRPr="00D549F8" w:rsidR="00D549F8" w:rsidRDefault="00D549F8" w14:paraId="7505E159" w14:textId="52323FC1">
      <w:pPr>
        <w:pStyle w:val="Textonotapie"/>
        <w:rPr>
          <w:lang w:val="es-CO"/>
        </w:rPr>
      </w:pPr>
      <w:r>
        <w:rPr>
          <w:rStyle w:val="Refdenotaalpie"/>
        </w:rPr>
        <w:footnoteRef/>
      </w:r>
      <w:r>
        <w:t xml:space="preserve"> Art</w:t>
      </w:r>
      <w:proofErr w:type="spellStart"/>
      <w:r>
        <w:rPr>
          <w:lang w:val="es-CO"/>
        </w:rPr>
        <w:t>ículos</w:t>
      </w:r>
      <w:proofErr w:type="spellEnd"/>
      <w:r>
        <w:rPr>
          <w:lang w:val="es-CO"/>
        </w:rPr>
        <w:t xml:space="preserve"> 12 a 14.</w:t>
      </w:r>
    </w:p>
  </w:footnote>
  <w:footnote w:id="25">
    <w:p w:rsidR="00D01736" w:rsidP="00D01736" w:rsidRDefault="00D01736" w14:paraId="2BBAC04A" w14:textId="074C34DE">
      <w:pPr>
        <w:pStyle w:val="Textonotapie"/>
        <w:jc w:val="both"/>
      </w:pPr>
      <w:r>
        <w:rPr>
          <w:rStyle w:val="Refdenotaalpie"/>
        </w:rPr>
        <w:footnoteRef/>
      </w:r>
      <w:r>
        <w:t xml:space="preserve"> “</w:t>
      </w:r>
      <w:r w:rsidR="00B30ABF">
        <w:t>C</w:t>
      </w:r>
      <w:r>
        <w:t>on ocasión a lo establecido en el Decreto No. 0062 del 24 de enero de 2025, por la cual se declaró el Estado de Conmoción Interior, en la región del Catatumbo, el Ministerio de Hacienda y Crédito Público mediante la expedición del Decreto No. 0274 de 11 de marzo de 2025, dispuso adicionar al presupuesto de rentas y recursos de capital del Presupuesto General de la Nación de la vigencia fiscal 2025, la suma de DOS BILLONES SETECIENTOS SESENTA Y OCHO MIL MILLONES DE PESOS MONEDA LEGAL ($2.768.000.000.000), de los cuales según lo dispuesto en la sección 4602 INSTITUTO COLOMBIANO DE BIENESTAR FAMILIAR (ICBF), se adiciono a esta entidad la suma de CIEN MIL MILLONES DE PESOS M/CTE ($100.000.000.000,oo); presupuesto que mediante el Decreto No. 0359 de 27 de marzo de 2025, ‘Por el cual se liquidan los recursos adicionados al PGN de la vigencia fiscal de 2025’, se sumó al presupuesto de gasto o de apropiaciones, en la sección 4602 del Instituto Colombiano de Bienestar Familiar (ICBF), en la cuenta ‘C. Presupuesto de Inversión’, con la incorporación de nuevos componentes a la estructura presupuestal.</w:t>
      </w:r>
    </w:p>
    <w:p w:rsidR="00D01736" w:rsidP="00D01736" w:rsidRDefault="00D01736" w14:paraId="366FA675" w14:textId="77777777">
      <w:pPr>
        <w:pStyle w:val="Textonotapie"/>
      </w:pPr>
      <w:r>
        <w:t>(…)</w:t>
      </w:r>
    </w:p>
    <w:p w:rsidRPr="00D01736" w:rsidR="00D01736" w:rsidP="00D01736" w:rsidRDefault="00D01736" w14:paraId="00E77A47" w14:textId="63E4296E">
      <w:pPr>
        <w:pStyle w:val="Textonotapie"/>
        <w:jc w:val="both"/>
      </w:pPr>
      <w:r>
        <w:t>En virtud de lo anterior, el ICBF mediante Resolución No. 1739 del 23 de abril de 2025, modificó parcialmente el artículo 1° y 2° de la Resolución No. 6432 del 31 de diciembre 2024, con el objetivo de adicionar y desagregar estos recursos adicionados mediante el Decreto 0359 del 27 de marzo de 2025</w:t>
      </w:r>
      <w:r w:rsidRPr="00D01736">
        <w:rPr>
          <w:lang w:val="es-CO"/>
        </w:rPr>
        <w:t>”</w:t>
      </w:r>
      <w:r>
        <w:t xml:space="preserve">. </w:t>
      </w:r>
      <w:r w:rsidR="00467BEC">
        <w:rPr>
          <w:lang w:val="es-CO"/>
        </w:rPr>
        <w:t xml:space="preserve">Intervención del Departamento Nacional de Planeación dentro del proceso de revisión automática de constitucionalidad del Decreto Legislativo 274 de 2025. </w:t>
      </w:r>
      <w:hyperlink w:history="1" r:id="rId3">
        <w:r w:rsidRPr="001053CB" w:rsidR="00467BEC">
          <w:rPr>
            <w:rStyle w:val="Hipervnculo"/>
          </w:rPr>
          <w:t>CORTE CONSTITUCIONAL DE COLOMBIA</w:t>
        </w:r>
      </w:hyperlink>
      <w:r w:rsidR="00467BEC">
        <w:rPr>
          <w:lang w:val="es-CO"/>
        </w:rPr>
        <w:t>.</w:t>
      </w:r>
    </w:p>
  </w:footnote>
  <w:footnote w:id="26">
    <w:p w:rsidRPr="00604BA9" w:rsidR="000D7D44" w:rsidP="000D7D44" w:rsidRDefault="000D7D44" w14:paraId="5CBA25DD" w14:textId="59B9E501">
      <w:pPr>
        <w:pStyle w:val="Textonotapie"/>
        <w:jc w:val="both"/>
        <w:rPr>
          <w:lang w:val="es-CO"/>
        </w:rPr>
      </w:pPr>
      <w:r>
        <w:rPr>
          <w:rStyle w:val="Refdenotaalpie"/>
        </w:rPr>
        <w:footnoteRef/>
      </w:r>
      <w:r w:rsidR="00467BEC">
        <w:rPr>
          <w:lang w:val="es-CO"/>
        </w:rPr>
        <w:t xml:space="preserve"> Ídem. </w:t>
      </w:r>
    </w:p>
  </w:footnote>
  <w:footnote w:id="27">
    <w:p w:rsidRPr="00D20784" w:rsidR="00D20784" w:rsidRDefault="00D20784" w14:paraId="67103748" w14:textId="5544349F">
      <w:pPr>
        <w:pStyle w:val="Textonotapie"/>
      </w:pPr>
      <w:r>
        <w:rPr>
          <w:rStyle w:val="Refdenotaalpie"/>
        </w:rPr>
        <w:footnoteRef/>
      </w:r>
      <w:r>
        <w:t xml:space="preserve"> Capítulo 6 Constitución Política de Colombia</w:t>
      </w:r>
      <w:r w:rsidR="00866060">
        <w:t xml:space="preserve"> y </w:t>
      </w:r>
      <w:r w:rsidR="005B36DA">
        <w:t>artículo 41 Ley 137 de 1994.</w:t>
      </w:r>
    </w:p>
  </w:footnote>
  <w:footnote w:id="28">
    <w:p w:rsidRPr="00F71356" w:rsidR="00FD7E20" w:rsidP="00FD7E20" w:rsidRDefault="00FD7E20" w14:paraId="58152F31" w14:textId="77777777">
      <w:pPr>
        <w:pStyle w:val="Textonotapie"/>
      </w:pPr>
      <w:r>
        <w:rPr>
          <w:rStyle w:val="Refdenotaalpie"/>
        </w:rPr>
        <w:footnoteRef/>
      </w:r>
      <w:r>
        <w:t xml:space="preserve"> </w:t>
      </w:r>
      <w:hyperlink w:history="1" r:id="rId4">
        <w:r w:rsidRPr="00FF1D1F">
          <w:rPr>
            <w:rStyle w:val="Hipervnculo"/>
          </w:rPr>
          <w:t>CORTE CONSTITUCIONAL DE COLOMBIA</w:t>
        </w:r>
      </w:hyperlink>
      <w:r>
        <w:t xml:space="preserve">. </w:t>
      </w:r>
    </w:p>
  </w:footnote>
  <w:footnote w:id="29">
    <w:p w:rsidRPr="009D7907" w:rsidR="00C53278" w:rsidP="00C53278" w:rsidRDefault="00C53278" w14:paraId="1A21B75C" w14:textId="77777777">
      <w:pPr>
        <w:pStyle w:val="Textonotapie"/>
      </w:pPr>
      <w:r>
        <w:rPr>
          <w:rStyle w:val="Refdenotaalpie"/>
        </w:rPr>
        <w:footnoteRef/>
      </w:r>
      <w:r>
        <w:t xml:space="preserve"> </w:t>
      </w:r>
      <w:hyperlink w:history="1" r:id="rId5">
        <w:r w:rsidRPr="0043343A">
          <w:rPr>
            <w:rStyle w:val="Hipervnculo"/>
          </w:rPr>
          <w:t>https://www.corteconstitucional.gov.co/comunicados/comunicado-14---abril-29-de-2025</w:t>
        </w:r>
      </w:hyperlink>
      <w:r>
        <w:t xml:space="preserve">. </w:t>
      </w:r>
    </w:p>
  </w:footnote>
  <w:footnote w:id="30">
    <w:p w:rsidRPr="00FA4787" w:rsidR="00710256" w:rsidP="00710256" w:rsidRDefault="00710256" w14:paraId="00E272D2" w14:textId="77777777">
      <w:pPr>
        <w:pStyle w:val="Textonotapie"/>
      </w:pPr>
      <w:r>
        <w:rPr>
          <w:rStyle w:val="Refdenotaalpie"/>
        </w:rPr>
        <w:footnoteRef/>
      </w:r>
      <w:r>
        <w:t xml:space="preserve"> </w:t>
      </w:r>
      <w:hyperlink w:history="1" r:id="rId6">
        <w:r w:rsidRPr="00BE307D">
          <w:rPr>
            <w:rStyle w:val="Hipervnculo"/>
          </w:rPr>
          <w:t>Decreto 433 de 2025 Nivel Nacional</w:t>
        </w:r>
      </w:hyperlink>
      <w:r>
        <w:t>.</w:t>
      </w:r>
    </w:p>
  </w:footnote>
  <w:footnote w:id="31">
    <w:p w:rsidRPr="00711331" w:rsidR="00710256" w:rsidP="00710256" w:rsidRDefault="00710256" w14:paraId="0A5B9685" w14:textId="77777777">
      <w:pPr>
        <w:pStyle w:val="Textonotapie"/>
      </w:pPr>
      <w:r>
        <w:rPr>
          <w:rStyle w:val="Refdenotaalpie"/>
        </w:rPr>
        <w:footnoteRef/>
      </w:r>
      <w:r>
        <w:t xml:space="preserve"> Ibidem.</w:t>
      </w:r>
    </w:p>
  </w:footnote>
  <w:footnote w:id="32">
    <w:p w:rsidRPr="001D5E54" w:rsidR="00710256" w:rsidP="00710256" w:rsidRDefault="00710256" w14:paraId="76AA1094" w14:textId="77777777">
      <w:pPr>
        <w:pStyle w:val="Textonotapie"/>
        <w:rPr>
          <w:lang w:val="es-CO"/>
        </w:rPr>
      </w:pPr>
      <w:r>
        <w:rPr>
          <w:rStyle w:val="Refdenotaalpie"/>
        </w:rPr>
        <w:footnoteRef/>
      </w:r>
      <w:r>
        <w:t xml:space="preserve"> </w:t>
      </w:r>
      <w:hyperlink w:history="1" r:id="rId7">
        <w:r w:rsidRPr="001D5E54">
          <w:rPr>
            <w:rStyle w:val="Hipervnculo"/>
          </w:rPr>
          <w:t>CORTE CONSTITUCIONAL DE COLOMBIA</w:t>
        </w:r>
      </w:hyperlink>
      <w:r>
        <w:t>.</w:t>
      </w:r>
    </w:p>
  </w:footnote>
  <w:footnote w:id="33">
    <w:p w:rsidRPr="009D7907" w:rsidR="00CD203A" w:rsidP="00CD203A" w:rsidRDefault="00CD203A" w14:paraId="645DB83A" w14:textId="77777777">
      <w:pPr>
        <w:pStyle w:val="Textonotapie"/>
      </w:pPr>
      <w:r>
        <w:rPr>
          <w:rStyle w:val="Refdenotaalpie"/>
        </w:rPr>
        <w:footnoteRef/>
      </w:r>
      <w:r>
        <w:t xml:space="preserve"> </w:t>
      </w:r>
      <w:hyperlink w:history="1" r:id="rId8">
        <w:r w:rsidRPr="0043343A">
          <w:rPr>
            <w:rStyle w:val="Hipervnculo"/>
          </w:rPr>
          <w:t>https://www.corteconstitucional.gov.co/comunicados/comunicado-14---abril-29-de-2025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B1372"/>
    <w:multiLevelType w:val="hybridMultilevel"/>
    <w:tmpl w:val="EB36F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27E73E8"/>
    <w:multiLevelType w:val="hybridMultilevel"/>
    <w:tmpl w:val="C58410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27689614">
    <w:abstractNumId w:val="0"/>
  </w:num>
  <w:num w:numId="2" w16cid:durableId="2845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D5"/>
    <w:rsid w:val="000010B0"/>
    <w:rsid w:val="00001683"/>
    <w:rsid w:val="00010160"/>
    <w:rsid w:val="00010EB3"/>
    <w:rsid w:val="00014C39"/>
    <w:rsid w:val="00015292"/>
    <w:rsid w:val="0002130A"/>
    <w:rsid w:val="00024B5E"/>
    <w:rsid w:val="00031D17"/>
    <w:rsid w:val="00037993"/>
    <w:rsid w:val="00046219"/>
    <w:rsid w:val="000505D0"/>
    <w:rsid w:val="00062911"/>
    <w:rsid w:val="00062AB9"/>
    <w:rsid w:val="00063AD4"/>
    <w:rsid w:val="00065D55"/>
    <w:rsid w:val="00066D36"/>
    <w:rsid w:val="00067DCA"/>
    <w:rsid w:val="0008396D"/>
    <w:rsid w:val="00084390"/>
    <w:rsid w:val="00084F7A"/>
    <w:rsid w:val="00085596"/>
    <w:rsid w:val="00085F33"/>
    <w:rsid w:val="00091AE5"/>
    <w:rsid w:val="000966E7"/>
    <w:rsid w:val="00097390"/>
    <w:rsid w:val="000B3871"/>
    <w:rsid w:val="000B67A8"/>
    <w:rsid w:val="000C0202"/>
    <w:rsid w:val="000C2445"/>
    <w:rsid w:val="000C7591"/>
    <w:rsid w:val="000D1143"/>
    <w:rsid w:val="000D707F"/>
    <w:rsid w:val="000D7D44"/>
    <w:rsid w:val="000E159F"/>
    <w:rsid w:val="000E1AC3"/>
    <w:rsid w:val="000E5554"/>
    <w:rsid w:val="000E7EF0"/>
    <w:rsid w:val="000F0AF2"/>
    <w:rsid w:val="000F1874"/>
    <w:rsid w:val="000F7A2D"/>
    <w:rsid w:val="00101C0E"/>
    <w:rsid w:val="00103995"/>
    <w:rsid w:val="001053CB"/>
    <w:rsid w:val="0010773B"/>
    <w:rsid w:val="00110060"/>
    <w:rsid w:val="00110A59"/>
    <w:rsid w:val="00111099"/>
    <w:rsid w:val="00115051"/>
    <w:rsid w:val="00115357"/>
    <w:rsid w:val="00122293"/>
    <w:rsid w:val="00122B25"/>
    <w:rsid w:val="00127C5F"/>
    <w:rsid w:val="001311FB"/>
    <w:rsid w:val="001320BD"/>
    <w:rsid w:val="00137621"/>
    <w:rsid w:val="001465E7"/>
    <w:rsid w:val="00147682"/>
    <w:rsid w:val="0015543D"/>
    <w:rsid w:val="0015599D"/>
    <w:rsid w:val="001648C5"/>
    <w:rsid w:val="00164FCE"/>
    <w:rsid w:val="001773DE"/>
    <w:rsid w:val="001820BA"/>
    <w:rsid w:val="001876CA"/>
    <w:rsid w:val="0019191F"/>
    <w:rsid w:val="001A4721"/>
    <w:rsid w:val="001B2F4F"/>
    <w:rsid w:val="001C2930"/>
    <w:rsid w:val="001C55A6"/>
    <w:rsid w:val="001D285F"/>
    <w:rsid w:val="001D5E54"/>
    <w:rsid w:val="001E310C"/>
    <w:rsid w:val="001E5DAC"/>
    <w:rsid w:val="001E6CDE"/>
    <w:rsid w:val="001E757A"/>
    <w:rsid w:val="001F74A8"/>
    <w:rsid w:val="001F78C4"/>
    <w:rsid w:val="002003A3"/>
    <w:rsid w:val="00204C66"/>
    <w:rsid w:val="00207A8D"/>
    <w:rsid w:val="00211A88"/>
    <w:rsid w:val="00212E08"/>
    <w:rsid w:val="002137AB"/>
    <w:rsid w:val="002167DF"/>
    <w:rsid w:val="00221FE5"/>
    <w:rsid w:val="00222F98"/>
    <w:rsid w:val="00230CA8"/>
    <w:rsid w:val="0023263C"/>
    <w:rsid w:val="00233291"/>
    <w:rsid w:val="00236493"/>
    <w:rsid w:val="00243420"/>
    <w:rsid w:val="002448D3"/>
    <w:rsid w:val="0024615F"/>
    <w:rsid w:val="0025646E"/>
    <w:rsid w:val="00260F40"/>
    <w:rsid w:val="0027161D"/>
    <w:rsid w:val="00274D96"/>
    <w:rsid w:val="0027792E"/>
    <w:rsid w:val="00284661"/>
    <w:rsid w:val="00297ABC"/>
    <w:rsid w:val="002A1360"/>
    <w:rsid w:val="002A1A80"/>
    <w:rsid w:val="002B6002"/>
    <w:rsid w:val="002B6882"/>
    <w:rsid w:val="002C2C50"/>
    <w:rsid w:val="002C2FA3"/>
    <w:rsid w:val="002C3C37"/>
    <w:rsid w:val="002C56F7"/>
    <w:rsid w:val="002C7307"/>
    <w:rsid w:val="002D4DCD"/>
    <w:rsid w:val="002D5068"/>
    <w:rsid w:val="002E0E17"/>
    <w:rsid w:val="002E11FC"/>
    <w:rsid w:val="002E19B4"/>
    <w:rsid w:val="002E1EEA"/>
    <w:rsid w:val="002E3DC1"/>
    <w:rsid w:val="002E5A00"/>
    <w:rsid w:val="002E5A5D"/>
    <w:rsid w:val="002F1DA2"/>
    <w:rsid w:val="002F5CEA"/>
    <w:rsid w:val="002F73F4"/>
    <w:rsid w:val="0030655B"/>
    <w:rsid w:val="0031549A"/>
    <w:rsid w:val="003155E3"/>
    <w:rsid w:val="003321D5"/>
    <w:rsid w:val="003476F0"/>
    <w:rsid w:val="003538B5"/>
    <w:rsid w:val="00354903"/>
    <w:rsid w:val="00355136"/>
    <w:rsid w:val="00360FDD"/>
    <w:rsid w:val="00362249"/>
    <w:rsid w:val="00373199"/>
    <w:rsid w:val="003759D9"/>
    <w:rsid w:val="0038183C"/>
    <w:rsid w:val="00392290"/>
    <w:rsid w:val="003929C7"/>
    <w:rsid w:val="003A4D5E"/>
    <w:rsid w:val="003B1709"/>
    <w:rsid w:val="003B2D6D"/>
    <w:rsid w:val="003B5DC0"/>
    <w:rsid w:val="003B74E5"/>
    <w:rsid w:val="003C34BD"/>
    <w:rsid w:val="003C4112"/>
    <w:rsid w:val="003C5B54"/>
    <w:rsid w:val="003C778B"/>
    <w:rsid w:val="003D0241"/>
    <w:rsid w:val="003D5A41"/>
    <w:rsid w:val="003D5ADC"/>
    <w:rsid w:val="003D5EB7"/>
    <w:rsid w:val="003D7638"/>
    <w:rsid w:val="003E0EC5"/>
    <w:rsid w:val="003E16AD"/>
    <w:rsid w:val="003E1977"/>
    <w:rsid w:val="003F34DC"/>
    <w:rsid w:val="003F4598"/>
    <w:rsid w:val="00411E3B"/>
    <w:rsid w:val="00417DD7"/>
    <w:rsid w:val="0042478B"/>
    <w:rsid w:val="004256D0"/>
    <w:rsid w:val="00427ADB"/>
    <w:rsid w:val="00427B64"/>
    <w:rsid w:val="004326F1"/>
    <w:rsid w:val="0043329C"/>
    <w:rsid w:val="00436004"/>
    <w:rsid w:val="0043695F"/>
    <w:rsid w:val="00446E43"/>
    <w:rsid w:val="004478A1"/>
    <w:rsid w:val="00450B36"/>
    <w:rsid w:val="00451E2C"/>
    <w:rsid w:val="0045426E"/>
    <w:rsid w:val="004574C1"/>
    <w:rsid w:val="0046406C"/>
    <w:rsid w:val="00467BEC"/>
    <w:rsid w:val="00492A54"/>
    <w:rsid w:val="00495D9F"/>
    <w:rsid w:val="004A108B"/>
    <w:rsid w:val="004A38BD"/>
    <w:rsid w:val="004A3E3D"/>
    <w:rsid w:val="004A46B1"/>
    <w:rsid w:val="004A70AA"/>
    <w:rsid w:val="004B1953"/>
    <w:rsid w:val="004B3D74"/>
    <w:rsid w:val="004B78E1"/>
    <w:rsid w:val="004C6680"/>
    <w:rsid w:val="004C7039"/>
    <w:rsid w:val="004D32A9"/>
    <w:rsid w:val="004D4765"/>
    <w:rsid w:val="004E13CD"/>
    <w:rsid w:val="004E181B"/>
    <w:rsid w:val="004E39C6"/>
    <w:rsid w:val="004E4B32"/>
    <w:rsid w:val="004E6A90"/>
    <w:rsid w:val="00502DEB"/>
    <w:rsid w:val="00510129"/>
    <w:rsid w:val="005105F7"/>
    <w:rsid w:val="00512EB2"/>
    <w:rsid w:val="005135A1"/>
    <w:rsid w:val="00524D43"/>
    <w:rsid w:val="00526613"/>
    <w:rsid w:val="00526D07"/>
    <w:rsid w:val="005342F9"/>
    <w:rsid w:val="005436F4"/>
    <w:rsid w:val="00544883"/>
    <w:rsid w:val="005454D6"/>
    <w:rsid w:val="00546C59"/>
    <w:rsid w:val="005602FC"/>
    <w:rsid w:val="00561F99"/>
    <w:rsid w:val="00567BAB"/>
    <w:rsid w:val="00571F15"/>
    <w:rsid w:val="0057602C"/>
    <w:rsid w:val="00586A30"/>
    <w:rsid w:val="005A144C"/>
    <w:rsid w:val="005A4BDB"/>
    <w:rsid w:val="005A696A"/>
    <w:rsid w:val="005A7209"/>
    <w:rsid w:val="005A7EAF"/>
    <w:rsid w:val="005B36DA"/>
    <w:rsid w:val="005B7123"/>
    <w:rsid w:val="005C0CDF"/>
    <w:rsid w:val="005C5DD5"/>
    <w:rsid w:val="005C63CD"/>
    <w:rsid w:val="005D5643"/>
    <w:rsid w:val="005E0EF0"/>
    <w:rsid w:val="005E42B6"/>
    <w:rsid w:val="005E5A89"/>
    <w:rsid w:val="005F48EB"/>
    <w:rsid w:val="005F5B27"/>
    <w:rsid w:val="0060034A"/>
    <w:rsid w:val="0060034F"/>
    <w:rsid w:val="0060299B"/>
    <w:rsid w:val="00604243"/>
    <w:rsid w:val="00604507"/>
    <w:rsid w:val="00604526"/>
    <w:rsid w:val="00604792"/>
    <w:rsid w:val="00604BA9"/>
    <w:rsid w:val="00613972"/>
    <w:rsid w:val="0062008A"/>
    <w:rsid w:val="0062173E"/>
    <w:rsid w:val="00623132"/>
    <w:rsid w:val="0062495B"/>
    <w:rsid w:val="00624B9C"/>
    <w:rsid w:val="00627136"/>
    <w:rsid w:val="006321CD"/>
    <w:rsid w:val="00633BA4"/>
    <w:rsid w:val="00643AB2"/>
    <w:rsid w:val="006444A5"/>
    <w:rsid w:val="00644704"/>
    <w:rsid w:val="00652CA7"/>
    <w:rsid w:val="00652FB4"/>
    <w:rsid w:val="00654B48"/>
    <w:rsid w:val="00656DE1"/>
    <w:rsid w:val="0066458B"/>
    <w:rsid w:val="006663A2"/>
    <w:rsid w:val="006761B7"/>
    <w:rsid w:val="006764B6"/>
    <w:rsid w:val="00676D63"/>
    <w:rsid w:val="00680A7D"/>
    <w:rsid w:val="006814C5"/>
    <w:rsid w:val="00681D4B"/>
    <w:rsid w:val="006820A0"/>
    <w:rsid w:val="006850DC"/>
    <w:rsid w:val="0068527F"/>
    <w:rsid w:val="006868BE"/>
    <w:rsid w:val="006A30B4"/>
    <w:rsid w:val="006A324B"/>
    <w:rsid w:val="006A4D8B"/>
    <w:rsid w:val="006A4E81"/>
    <w:rsid w:val="006A5AB9"/>
    <w:rsid w:val="006A60AC"/>
    <w:rsid w:val="006B2D09"/>
    <w:rsid w:val="006B3802"/>
    <w:rsid w:val="006B40C5"/>
    <w:rsid w:val="006C3F3E"/>
    <w:rsid w:val="006C4FA0"/>
    <w:rsid w:val="006C5883"/>
    <w:rsid w:val="006C79FE"/>
    <w:rsid w:val="006D2881"/>
    <w:rsid w:val="006D4955"/>
    <w:rsid w:val="006E438A"/>
    <w:rsid w:val="006E4BC5"/>
    <w:rsid w:val="006E69A8"/>
    <w:rsid w:val="006F0E2F"/>
    <w:rsid w:val="006F2199"/>
    <w:rsid w:val="006F328C"/>
    <w:rsid w:val="006F5A31"/>
    <w:rsid w:val="006F6731"/>
    <w:rsid w:val="006F78DE"/>
    <w:rsid w:val="00703E92"/>
    <w:rsid w:val="007064C8"/>
    <w:rsid w:val="00706F3B"/>
    <w:rsid w:val="00710256"/>
    <w:rsid w:val="00711331"/>
    <w:rsid w:val="0071318D"/>
    <w:rsid w:val="00713721"/>
    <w:rsid w:val="00722DE8"/>
    <w:rsid w:val="00726FE3"/>
    <w:rsid w:val="007336D2"/>
    <w:rsid w:val="00735914"/>
    <w:rsid w:val="00744F70"/>
    <w:rsid w:val="0076165C"/>
    <w:rsid w:val="00762642"/>
    <w:rsid w:val="0076674E"/>
    <w:rsid w:val="0078083E"/>
    <w:rsid w:val="0078160D"/>
    <w:rsid w:val="00781E02"/>
    <w:rsid w:val="0078755F"/>
    <w:rsid w:val="00791836"/>
    <w:rsid w:val="00795171"/>
    <w:rsid w:val="007A0CAF"/>
    <w:rsid w:val="007A0CB3"/>
    <w:rsid w:val="007A116D"/>
    <w:rsid w:val="007A45ED"/>
    <w:rsid w:val="007A76F3"/>
    <w:rsid w:val="007B0F75"/>
    <w:rsid w:val="007C2464"/>
    <w:rsid w:val="007D0D9B"/>
    <w:rsid w:val="007E21E1"/>
    <w:rsid w:val="007E343C"/>
    <w:rsid w:val="007F17BB"/>
    <w:rsid w:val="007F56D4"/>
    <w:rsid w:val="008047B9"/>
    <w:rsid w:val="00810809"/>
    <w:rsid w:val="008168E5"/>
    <w:rsid w:val="00823694"/>
    <w:rsid w:val="00825057"/>
    <w:rsid w:val="00827DD9"/>
    <w:rsid w:val="008302C9"/>
    <w:rsid w:val="00830D3E"/>
    <w:rsid w:val="00830F6B"/>
    <w:rsid w:val="0083214B"/>
    <w:rsid w:val="0083257B"/>
    <w:rsid w:val="00833924"/>
    <w:rsid w:val="00835DC8"/>
    <w:rsid w:val="00840DE0"/>
    <w:rsid w:val="00844BC5"/>
    <w:rsid w:val="0084765B"/>
    <w:rsid w:val="00847F2E"/>
    <w:rsid w:val="00850100"/>
    <w:rsid w:val="00853DBF"/>
    <w:rsid w:val="00855922"/>
    <w:rsid w:val="0086022D"/>
    <w:rsid w:val="008611DA"/>
    <w:rsid w:val="00861B32"/>
    <w:rsid w:val="00863992"/>
    <w:rsid w:val="00865752"/>
    <w:rsid w:val="00866060"/>
    <w:rsid w:val="00885881"/>
    <w:rsid w:val="008866F9"/>
    <w:rsid w:val="008922B3"/>
    <w:rsid w:val="008953C5"/>
    <w:rsid w:val="008A4191"/>
    <w:rsid w:val="008A725A"/>
    <w:rsid w:val="008B1587"/>
    <w:rsid w:val="008B3739"/>
    <w:rsid w:val="008B3F9C"/>
    <w:rsid w:val="008B70C9"/>
    <w:rsid w:val="008D2E42"/>
    <w:rsid w:val="008E0708"/>
    <w:rsid w:val="008E2CBB"/>
    <w:rsid w:val="008E73E8"/>
    <w:rsid w:val="008F4591"/>
    <w:rsid w:val="008F6E10"/>
    <w:rsid w:val="008F7775"/>
    <w:rsid w:val="00900700"/>
    <w:rsid w:val="00900D39"/>
    <w:rsid w:val="009108B7"/>
    <w:rsid w:val="0091353E"/>
    <w:rsid w:val="00913A61"/>
    <w:rsid w:val="00920A46"/>
    <w:rsid w:val="00921CDD"/>
    <w:rsid w:val="00922476"/>
    <w:rsid w:val="00925A32"/>
    <w:rsid w:val="00933625"/>
    <w:rsid w:val="00933A5D"/>
    <w:rsid w:val="00935DB5"/>
    <w:rsid w:val="00941B8E"/>
    <w:rsid w:val="00942E82"/>
    <w:rsid w:val="00943020"/>
    <w:rsid w:val="00946388"/>
    <w:rsid w:val="009474ED"/>
    <w:rsid w:val="00955B1F"/>
    <w:rsid w:val="00960E7D"/>
    <w:rsid w:val="00972BFB"/>
    <w:rsid w:val="00973F2D"/>
    <w:rsid w:val="00975FBB"/>
    <w:rsid w:val="00983BBA"/>
    <w:rsid w:val="00984327"/>
    <w:rsid w:val="00987FC7"/>
    <w:rsid w:val="00997AC2"/>
    <w:rsid w:val="009A1E00"/>
    <w:rsid w:val="009A33D0"/>
    <w:rsid w:val="009B0857"/>
    <w:rsid w:val="009B7853"/>
    <w:rsid w:val="009C5771"/>
    <w:rsid w:val="009D7907"/>
    <w:rsid w:val="009E346D"/>
    <w:rsid w:val="009E3C22"/>
    <w:rsid w:val="009E3C48"/>
    <w:rsid w:val="009E3F51"/>
    <w:rsid w:val="009E4026"/>
    <w:rsid w:val="009E683C"/>
    <w:rsid w:val="009F3865"/>
    <w:rsid w:val="009F6F95"/>
    <w:rsid w:val="009F7CDA"/>
    <w:rsid w:val="00A06916"/>
    <w:rsid w:val="00A127E9"/>
    <w:rsid w:val="00A200E4"/>
    <w:rsid w:val="00A2516F"/>
    <w:rsid w:val="00A25AFA"/>
    <w:rsid w:val="00A32CE4"/>
    <w:rsid w:val="00A32F70"/>
    <w:rsid w:val="00A40263"/>
    <w:rsid w:val="00A440FE"/>
    <w:rsid w:val="00A47DB9"/>
    <w:rsid w:val="00A517C3"/>
    <w:rsid w:val="00A55D37"/>
    <w:rsid w:val="00A5720B"/>
    <w:rsid w:val="00A63E19"/>
    <w:rsid w:val="00A70ED4"/>
    <w:rsid w:val="00A74765"/>
    <w:rsid w:val="00A74C04"/>
    <w:rsid w:val="00A753CC"/>
    <w:rsid w:val="00A769ED"/>
    <w:rsid w:val="00A81B0C"/>
    <w:rsid w:val="00A82946"/>
    <w:rsid w:val="00A86511"/>
    <w:rsid w:val="00A869F2"/>
    <w:rsid w:val="00A91D52"/>
    <w:rsid w:val="00A94EB3"/>
    <w:rsid w:val="00A96037"/>
    <w:rsid w:val="00A96E26"/>
    <w:rsid w:val="00A97792"/>
    <w:rsid w:val="00AA2797"/>
    <w:rsid w:val="00AA3755"/>
    <w:rsid w:val="00AA3BDE"/>
    <w:rsid w:val="00AA7761"/>
    <w:rsid w:val="00AB1255"/>
    <w:rsid w:val="00AB22D5"/>
    <w:rsid w:val="00AC2E01"/>
    <w:rsid w:val="00AC6149"/>
    <w:rsid w:val="00AD0E9B"/>
    <w:rsid w:val="00AE2248"/>
    <w:rsid w:val="00AE289D"/>
    <w:rsid w:val="00AE3159"/>
    <w:rsid w:val="00AE5FF5"/>
    <w:rsid w:val="00AF0640"/>
    <w:rsid w:val="00AF1564"/>
    <w:rsid w:val="00AF55D9"/>
    <w:rsid w:val="00AF6641"/>
    <w:rsid w:val="00AF6A01"/>
    <w:rsid w:val="00AF6DA1"/>
    <w:rsid w:val="00B034B1"/>
    <w:rsid w:val="00B1446B"/>
    <w:rsid w:val="00B16456"/>
    <w:rsid w:val="00B230D7"/>
    <w:rsid w:val="00B234E5"/>
    <w:rsid w:val="00B2476C"/>
    <w:rsid w:val="00B30ABF"/>
    <w:rsid w:val="00B3125D"/>
    <w:rsid w:val="00B3149C"/>
    <w:rsid w:val="00B32641"/>
    <w:rsid w:val="00B3273F"/>
    <w:rsid w:val="00B3689C"/>
    <w:rsid w:val="00B42D4B"/>
    <w:rsid w:val="00B45507"/>
    <w:rsid w:val="00B52259"/>
    <w:rsid w:val="00B63950"/>
    <w:rsid w:val="00B639A7"/>
    <w:rsid w:val="00B63ECE"/>
    <w:rsid w:val="00B6462E"/>
    <w:rsid w:val="00B6547E"/>
    <w:rsid w:val="00B7281A"/>
    <w:rsid w:val="00B7772F"/>
    <w:rsid w:val="00B807A6"/>
    <w:rsid w:val="00B86EE3"/>
    <w:rsid w:val="00B91DE9"/>
    <w:rsid w:val="00B946E6"/>
    <w:rsid w:val="00B94A59"/>
    <w:rsid w:val="00B95128"/>
    <w:rsid w:val="00B9642B"/>
    <w:rsid w:val="00BA7EB4"/>
    <w:rsid w:val="00BB354E"/>
    <w:rsid w:val="00BB76BA"/>
    <w:rsid w:val="00BC1B6F"/>
    <w:rsid w:val="00BD209A"/>
    <w:rsid w:val="00BD2C6A"/>
    <w:rsid w:val="00BD32EE"/>
    <w:rsid w:val="00BD3CA3"/>
    <w:rsid w:val="00BD4CA1"/>
    <w:rsid w:val="00BD60C4"/>
    <w:rsid w:val="00BD61AA"/>
    <w:rsid w:val="00BE00E8"/>
    <w:rsid w:val="00BE1C1F"/>
    <w:rsid w:val="00BE21C6"/>
    <w:rsid w:val="00BE2930"/>
    <w:rsid w:val="00BE307D"/>
    <w:rsid w:val="00BF3E19"/>
    <w:rsid w:val="00BF462B"/>
    <w:rsid w:val="00C03AB0"/>
    <w:rsid w:val="00C044F0"/>
    <w:rsid w:val="00C07837"/>
    <w:rsid w:val="00C12E35"/>
    <w:rsid w:val="00C14561"/>
    <w:rsid w:val="00C254DD"/>
    <w:rsid w:val="00C25C58"/>
    <w:rsid w:val="00C34050"/>
    <w:rsid w:val="00C345B4"/>
    <w:rsid w:val="00C4360F"/>
    <w:rsid w:val="00C449AD"/>
    <w:rsid w:val="00C53278"/>
    <w:rsid w:val="00C53D12"/>
    <w:rsid w:val="00C57266"/>
    <w:rsid w:val="00C57A88"/>
    <w:rsid w:val="00C6014D"/>
    <w:rsid w:val="00C65C11"/>
    <w:rsid w:val="00C67BBD"/>
    <w:rsid w:val="00C72164"/>
    <w:rsid w:val="00C74359"/>
    <w:rsid w:val="00C76515"/>
    <w:rsid w:val="00C820E0"/>
    <w:rsid w:val="00C851EC"/>
    <w:rsid w:val="00C85722"/>
    <w:rsid w:val="00C87336"/>
    <w:rsid w:val="00C948D0"/>
    <w:rsid w:val="00CA1532"/>
    <w:rsid w:val="00CA561B"/>
    <w:rsid w:val="00CA621F"/>
    <w:rsid w:val="00CA6D2F"/>
    <w:rsid w:val="00CB21A7"/>
    <w:rsid w:val="00CB4789"/>
    <w:rsid w:val="00CB749F"/>
    <w:rsid w:val="00CC331E"/>
    <w:rsid w:val="00CC3AC3"/>
    <w:rsid w:val="00CC5828"/>
    <w:rsid w:val="00CC6AD4"/>
    <w:rsid w:val="00CC75A9"/>
    <w:rsid w:val="00CD203A"/>
    <w:rsid w:val="00CD2300"/>
    <w:rsid w:val="00CD4931"/>
    <w:rsid w:val="00CD5D02"/>
    <w:rsid w:val="00CE329B"/>
    <w:rsid w:val="00CE7D57"/>
    <w:rsid w:val="00CF1653"/>
    <w:rsid w:val="00CF221C"/>
    <w:rsid w:val="00CF4A7A"/>
    <w:rsid w:val="00CF7CBA"/>
    <w:rsid w:val="00D01736"/>
    <w:rsid w:val="00D01901"/>
    <w:rsid w:val="00D0554C"/>
    <w:rsid w:val="00D06B2B"/>
    <w:rsid w:val="00D16932"/>
    <w:rsid w:val="00D20784"/>
    <w:rsid w:val="00D24566"/>
    <w:rsid w:val="00D34B22"/>
    <w:rsid w:val="00D41340"/>
    <w:rsid w:val="00D417BC"/>
    <w:rsid w:val="00D449B9"/>
    <w:rsid w:val="00D523C1"/>
    <w:rsid w:val="00D549F8"/>
    <w:rsid w:val="00D54DF3"/>
    <w:rsid w:val="00D56AFF"/>
    <w:rsid w:val="00D57B0A"/>
    <w:rsid w:val="00D64665"/>
    <w:rsid w:val="00D675D4"/>
    <w:rsid w:val="00D81CCF"/>
    <w:rsid w:val="00D8402E"/>
    <w:rsid w:val="00D8554C"/>
    <w:rsid w:val="00D908F2"/>
    <w:rsid w:val="00D91613"/>
    <w:rsid w:val="00D93541"/>
    <w:rsid w:val="00DA0A42"/>
    <w:rsid w:val="00DA4316"/>
    <w:rsid w:val="00DA6AE2"/>
    <w:rsid w:val="00DA79A9"/>
    <w:rsid w:val="00DA7ACD"/>
    <w:rsid w:val="00DB57BE"/>
    <w:rsid w:val="00DC3DB3"/>
    <w:rsid w:val="00DC441F"/>
    <w:rsid w:val="00DC5BC5"/>
    <w:rsid w:val="00DD03E5"/>
    <w:rsid w:val="00DD146D"/>
    <w:rsid w:val="00DE22A6"/>
    <w:rsid w:val="00DE3832"/>
    <w:rsid w:val="00DE65D0"/>
    <w:rsid w:val="00DF53A1"/>
    <w:rsid w:val="00DF5A04"/>
    <w:rsid w:val="00E01F0D"/>
    <w:rsid w:val="00E0310B"/>
    <w:rsid w:val="00E04065"/>
    <w:rsid w:val="00E0651D"/>
    <w:rsid w:val="00E13B5E"/>
    <w:rsid w:val="00E229E4"/>
    <w:rsid w:val="00E25771"/>
    <w:rsid w:val="00E30B04"/>
    <w:rsid w:val="00E31BDB"/>
    <w:rsid w:val="00E33DDE"/>
    <w:rsid w:val="00E546EC"/>
    <w:rsid w:val="00E55002"/>
    <w:rsid w:val="00E553BA"/>
    <w:rsid w:val="00E5645F"/>
    <w:rsid w:val="00E60D18"/>
    <w:rsid w:val="00E60D5B"/>
    <w:rsid w:val="00E626BF"/>
    <w:rsid w:val="00E66800"/>
    <w:rsid w:val="00E67F69"/>
    <w:rsid w:val="00E67F90"/>
    <w:rsid w:val="00E71687"/>
    <w:rsid w:val="00E7173F"/>
    <w:rsid w:val="00E71A0A"/>
    <w:rsid w:val="00E73FC3"/>
    <w:rsid w:val="00E75593"/>
    <w:rsid w:val="00E75EEB"/>
    <w:rsid w:val="00E80798"/>
    <w:rsid w:val="00E81F59"/>
    <w:rsid w:val="00E82627"/>
    <w:rsid w:val="00E83217"/>
    <w:rsid w:val="00E85277"/>
    <w:rsid w:val="00E87B6B"/>
    <w:rsid w:val="00E94164"/>
    <w:rsid w:val="00E94474"/>
    <w:rsid w:val="00E95F3A"/>
    <w:rsid w:val="00EA1480"/>
    <w:rsid w:val="00EA1F7C"/>
    <w:rsid w:val="00EA268F"/>
    <w:rsid w:val="00EA5621"/>
    <w:rsid w:val="00EB2072"/>
    <w:rsid w:val="00EB5AC6"/>
    <w:rsid w:val="00EB60E5"/>
    <w:rsid w:val="00EB71CB"/>
    <w:rsid w:val="00EB7710"/>
    <w:rsid w:val="00EC7AB4"/>
    <w:rsid w:val="00ED1953"/>
    <w:rsid w:val="00EE0A90"/>
    <w:rsid w:val="00EE291F"/>
    <w:rsid w:val="00EE6280"/>
    <w:rsid w:val="00F01D3B"/>
    <w:rsid w:val="00F04576"/>
    <w:rsid w:val="00F07D33"/>
    <w:rsid w:val="00F14721"/>
    <w:rsid w:val="00F14776"/>
    <w:rsid w:val="00F15D6A"/>
    <w:rsid w:val="00F175CD"/>
    <w:rsid w:val="00F302E3"/>
    <w:rsid w:val="00F333AE"/>
    <w:rsid w:val="00F362E8"/>
    <w:rsid w:val="00F42DA3"/>
    <w:rsid w:val="00F43ED9"/>
    <w:rsid w:val="00F4662C"/>
    <w:rsid w:val="00F479B2"/>
    <w:rsid w:val="00F60F05"/>
    <w:rsid w:val="00F628AA"/>
    <w:rsid w:val="00F6713D"/>
    <w:rsid w:val="00F7040E"/>
    <w:rsid w:val="00F71356"/>
    <w:rsid w:val="00F755A9"/>
    <w:rsid w:val="00F767C4"/>
    <w:rsid w:val="00F76F30"/>
    <w:rsid w:val="00F77724"/>
    <w:rsid w:val="00F77CB0"/>
    <w:rsid w:val="00F805F4"/>
    <w:rsid w:val="00F855B1"/>
    <w:rsid w:val="00F91200"/>
    <w:rsid w:val="00F9255B"/>
    <w:rsid w:val="00F9284B"/>
    <w:rsid w:val="00F92C1E"/>
    <w:rsid w:val="00FA4787"/>
    <w:rsid w:val="00FA674A"/>
    <w:rsid w:val="00FB006C"/>
    <w:rsid w:val="00FC4E7D"/>
    <w:rsid w:val="00FC5F7B"/>
    <w:rsid w:val="00FD016F"/>
    <w:rsid w:val="00FD46F1"/>
    <w:rsid w:val="00FD7E20"/>
    <w:rsid w:val="00FE17A6"/>
    <w:rsid w:val="00FE230F"/>
    <w:rsid w:val="00FF1D1F"/>
    <w:rsid w:val="0847C10E"/>
    <w:rsid w:val="202D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CCC6B"/>
  <w15:chartTrackingRefBased/>
  <w15:docId w15:val="{3F0BF023-A223-4B8A-8505-9B7CEE4B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22D5"/>
    <w:pPr>
      <w:spacing w:after="200" w:line="276" w:lineRule="auto"/>
    </w:pPr>
    <w:rPr>
      <w:rFonts w:ascii="Calibri" w:hAnsi="Calibri" w:eastAsia="Calibri" w:cs="Times New Roman"/>
      <w:kern w:val="0"/>
      <w:lang w:val="es-ES"/>
      <w14:ligatures w14:val="none"/>
    </w:rPr>
  </w:style>
  <w:style w:type="paragraph" w:styleId="Ttulo1">
    <w:name w:val="heading 1"/>
    <w:basedOn w:val="Normal"/>
    <w:next w:val="Normal"/>
    <w:link w:val="Ttulo1Car"/>
    <w:uiPriority w:val="9"/>
    <w:qFormat/>
    <w:rsid w:val="00AB22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22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22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22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22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22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22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22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22D5"/>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AB22D5"/>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AB22D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AB22D5"/>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AB22D5"/>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AB22D5"/>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AB22D5"/>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AB22D5"/>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AB22D5"/>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AB22D5"/>
    <w:rPr>
      <w:rFonts w:eastAsiaTheme="majorEastAsia" w:cstheme="majorBidi"/>
      <w:color w:val="272727" w:themeColor="text1" w:themeTint="D8"/>
    </w:rPr>
  </w:style>
  <w:style w:type="paragraph" w:styleId="Ttulo">
    <w:name w:val="Title"/>
    <w:basedOn w:val="Normal"/>
    <w:next w:val="Normal"/>
    <w:link w:val="TtuloCar"/>
    <w:uiPriority w:val="10"/>
    <w:qFormat/>
    <w:rsid w:val="00AB22D5"/>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AB22D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AB22D5"/>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AB22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22D5"/>
    <w:pPr>
      <w:spacing w:before="160"/>
      <w:jc w:val="center"/>
    </w:pPr>
    <w:rPr>
      <w:i/>
      <w:iCs/>
      <w:color w:val="404040" w:themeColor="text1" w:themeTint="BF"/>
    </w:rPr>
  </w:style>
  <w:style w:type="character" w:styleId="CitaCar" w:customStyle="1">
    <w:name w:val="Cita Car"/>
    <w:basedOn w:val="Fuentedeprrafopredeter"/>
    <w:link w:val="Cita"/>
    <w:uiPriority w:val="29"/>
    <w:rsid w:val="00AB22D5"/>
    <w:rPr>
      <w:i/>
      <w:iCs/>
      <w:color w:val="404040" w:themeColor="text1" w:themeTint="BF"/>
    </w:rPr>
  </w:style>
  <w:style w:type="paragraph" w:styleId="Prrafodelista">
    <w:name w:val="List Paragraph"/>
    <w:basedOn w:val="Normal"/>
    <w:uiPriority w:val="34"/>
    <w:qFormat/>
    <w:rsid w:val="00AB22D5"/>
    <w:pPr>
      <w:ind w:left="720"/>
      <w:contextualSpacing/>
    </w:pPr>
  </w:style>
  <w:style w:type="character" w:styleId="nfasisintenso">
    <w:name w:val="Intense Emphasis"/>
    <w:basedOn w:val="Fuentedeprrafopredeter"/>
    <w:uiPriority w:val="21"/>
    <w:qFormat/>
    <w:rsid w:val="00AB22D5"/>
    <w:rPr>
      <w:i/>
      <w:iCs/>
      <w:color w:val="0F4761" w:themeColor="accent1" w:themeShade="BF"/>
    </w:rPr>
  </w:style>
  <w:style w:type="paragraph" w:styleId="Citadestacada">
    <w:name w:val="Intense Quote"/>
    <w:basedOn w:val="Normal"/>
    <w:next w:val="Normal"/>
    <w:link w:val="CitadestacadaCar"/>
    <w:uiPriority w:val="30"/>
    <w:qFormat/>
    <w:rsid w:val="00AB22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AB22D5"/>
    <w:rPr>
      <w:i/>
      <w:iCs/>
      <w:color w:val="0F4761" w:themeColor="accent1" w:themeShade="BF"/>
    </w:rPr>
  </w:style>
  <w:style w:type="character" w:styleId="Referenciaintensa">
    <w:name w:val="Intense Reference"/>
    <w:basedOn w:val="Fuentedeprrafopredeter"/>
    <w:uiPriority w:val="32"/>
    <w:qFormat/>
    <w:rsid w:val="00AB22D5"/>
    <w:rPr>
      <w:b/>
      <w:bCs/>
      <w:smallCaps/>
      <w:color w:val="0F4761" w:themeColor="accent1" w:themeShade="BF"/>
      <w:spacing w:val="5"/>
    </w:rPr>
  </w:style>
  <w:style w:type="paragraph" w:styleId="Encabezado">
    <w:name w:val="header"/>
    <w:basedOn w:val="Normal"/>
    <w:link w:val="EncabezadoCar"/>
    <w:uiPriority w:val="99"/>
    <w:unhideWhenUsed/>
    <w:rsid w:val="00AB22D5"/>
    <w:pPr>
      <w:tabs>
        <w:tab w:val="center" w:pos="4419"/>
        <w:tab w:val="right" w:pos="8838"/>
      </w:tabs>
      <w:spacing w:after="0" w:line="240" w:lineRule="auto"/>
    </w:pPr>
    <w:rPr>
      <w:rFonts w:asciiTheme="minorHAnsi" w:hAnsiTheme="minorHAnsi" w:eastAsiaTheme="minorHAnsi" w:cstheme="minorBidi"/>
      <w:lang w:val="es-CO"/>
    </w:rPr>
  </w:style>
  <w:style w:type="character" w:styleId="EncabezadoCar" w:customStyle="1">
    <w:name w:val="Encabezado Car"/>
    <w:basedOn w:val="Fuentedeprrafopredeter"/>
    <w:link w:val="Encabezado"/>
    <w:uiPriority w:val="99"/>
    <w:rsid w:val="00AB22D5"/>
    <w:rPr>
      <w:kern w:val="0"/>
      <w:lang w:val="es-CO"/>
      <w14:ligatures w14:val="none"/>
    </w:rPr>
  </w:style>
  <w:style w:type="paragraph" w:styleId="Piedepgina">
    <w:name w:val="footer"/>
    <w:basedOn w:val="Normal"/>
    <w:link w:val="PiedepginaCar"/>
    <w:uiPriority w:val="99"/>
    <w:unhideWhenUsed/>
    <w:rsid w:val="00AB22D5"/>
    <w:pPr>
      <w:tabs>
        <w:tab w:val="center" w:pos="4419"/>
        <w:tab w:val="right" w:pos="8838"/>
      </w:tabs>
      <w:spacing w:after="0" w:line="240" w:lineRule="auto"/>
    </w:pPr>
    <w:rPr>
      <w:rFonts w:asciiTheme="minorHAnsi" w:hAnsiTheme="minorHAnsi" w:eastAsiaTheme="minorHAnsi" w:cstheme="minorBidi"/>
      <w:lang w:val="es-CO"/>
    </w:rPr>
  </w:style>
  <w:style w:type="character" w:styleId="PiedepginaCar" w:customStyle="1">
    <w:name w:val="Pie de página Car"/>
    <w:basedOn w:val="Fuentedeprrafopredeter"/>
    <w:link w:val="Piedepgina"/>
    <w:uiPriority w:val="99"/>
    <w:rsid w:val="00AB22D5"/>
    <w:rPr>
      <w:kern w:val="0"/>
      <w:lang w:val="es-CO"/>
      <w14:ligatures w14:val="none"/>
    </w:rPr>
  </w:style>
  <w:style w:type="character" w:styleId="Fuerte">
    <w:name w:val="Strong"/>
    <w:basedOn w:val="Fuentedeprrafopredeter"/>
    <w:uiPriority w:val="22"/>
    <w:qFormat/>
    <w:rsid w:val="00AB22D5"/>
    <w:rPr>
      <w:b/>
      <w:bCs/>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AB22D5"/>
    <w:pPr>
      <w:spacing w:after="0" w:line="240" w:lineRule="auto"/>
    </w:pPr>
    <w:rPr>
      <w:sz w:val="20"/>
      <w:szCs w:val="20"/>
    </w:rPr>
  </w:style>
  <w:style w:type="character" w:styleId="TextonotapieCar" w:customStyle="1">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uiPriority w:val="99"/>
    <w:qFormat/>
    <w:rsid w:val="00AB22D5"/>
    <w:rPr>
      <w:rFonts w:ascii="Calibri" w:hAnsi="Calibri" w:eastAsia="Calibri" w:cs="Times New Roman"/>
      <w:kern w:val="0"/>
      <w:sz w:val="20"/>
      <w:szCs w:val="20"/>
      <w:lang w:val="es-ES"/>
      <w14:ligatures w14:val="none"/>
    </w:rPr>
  </w:style>
  <w:style w:type="character" w:styleId="Refdenotaalpie">
    <w:name w:val="footnote reference"/>
    <w:aliases w:val="referencia nota al pie,Referencia nota al pie,BVI fnr,BVI fnr Car Car,BVI fnr Car,BVI fnr Car Car Car Car,Texto de nota al pie,Footnotes refss,Appel note de bas de page,Ref. de nota al pie2,Nota de pie,Ref,de nota al pie,Footnote,f,F"/>
    <w:basedOn w:val="Fuentedeprrafopredeter"/>
    <w:link w:val="TextodenotaalpieCar"/>
    <w:uiPriority w:val="99"/>
    <w:unhideWhenUsed/>
    <w:qFormat/>
    <w:rsid w:val="00AB22D5"/>
    <w:rPr>
      <w:vertAlign w:val="superscript"/>
    </w:rPr>
  </w:style>
  <w:style w:type="paragraph" w:styleId="TextodenotaalpieCar" w:customStyle="1">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qFormat/>
    <w:rsid w:val="00AB22D5"/>
    <w:pPr>
      <w:spacing w:after="160" w:line="240" w:lineRule="exact"/>
    </w:pPr>
    <w:rPr>
      <w:rFonts w:asciiTheme="minorHAnsi" w:hAnsiTheme="minorHAnsi" w:eastAsiaTheme="minorHAnsi" w:cstheme="minorBidi"/>
      <w:kern w:val="2"/>
      <w:vertAlign w:val="superscript"/>
      <w:lang w:val="en-US"/>
      <w14:ligatures w14:val="standardContextual"/>
    </w:rPr>
  </w:style>
  <w:style w:type="character" w:styleId="Hipervnculo">
    <w:name w:val="Hyperlink"/>
    <w:uiPriority w:val="99"/>
    <w:unhideWhenUsed/>
    <w:rsid w:val="00AB22D5"/>
    <w:rPr>
      <w:color w:val="0000FF"/>
      <w:u w:val="single"/>
    </w:rPr>
  </w:style>
  <w:style w:type="character" w:styleId="Mencinsinresolver">
    <w:name w:val="Unresolved Mention"/>
    <w:basedOn w:val="Fuentedeprrafopredeter"/>
    <w:uiPriority w:val="99"/>
    <w:semiHidden/>
    <w:unhideWhenUsed/>
    <w:rsid w:val="00C07837"/>
    <w:rPr>
      <w:color w:val="605E5C"/>
      <w:shd w:val="clear" w:color="auto" w:fill="E1DFDD"/>
    </w:rPr>
  </w:style>
  <w:style w:type="character" w:styleId="Hipervnculovisitado">
    <w:name w:val="FollowedHyperlink"/>
    <w:basedOn w:val="Fuentedeprrafopredeter"/>
    <w:uiPriority w:val="99"/>
    <w:semiHidden/>
    <w:unhideWhenUsed/>
    <w:rsid w:val="00B94A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2800">
      <w:bodyDiv w:val="1"/>
      <w:marLeft w:val="0"/>
      <w:marRight w:val="0"/>
      <w:marTop w:val="0"/>
      <w:marBottom w:val="0"/>
      <w:divBdr>
        <w:top w:val="none" w:sz="0" w:space="0" w:color="auto"/>
        <w:left w:val="none" w:sz="0" w:space="0" w:color="auto"/>
        <w:bottom w:val="none" w:sz="0" w:space="0" w:color="auto"/>
        <w:right w:val="none" w:sz="0" w:space="0" w:color="auto"/>
      </w:divBdr>
    </w:div>
    <w:div w:id="176697022">
      <w:bodyDiv w:val="1"/>
      <w:marLeft w:val="0"/>
      <w:marRight w:val="0"/>
      <w:marTop w:val="0"/>
      <w:marBottom w:val="0"/>
      <w:divBdr>
        <w:top w:val="none" w:sz="0" w:space="0" w:color="auto"/>
        <w:left w:val="none" w:sz="0" w:space="0" w:color="auto"/>
        <w:bottom w:val="none" w:sz="0" w:space="0" w:color="auto"/>
        <w:right w:val="none" w:sz="0" w:space="0" w:color="auto"/>
      </w:divBdr>
    </w:div>
    <w:div w:id="214853704">
      <w:bodyDiv w:val="1"/>
      <w:marLeft w:val="0"/>
      <w:marRight w:val="0"/>
      <w:marTop w:val="0"/>
      <w:marBottom w:val="0"/>
      <w:divBdr>
        <w:top w:val="none" w:sz="0" w:space="0" w:color="auto"/>
        <w:left w:val="none" w:sz="0" w:space="0" w:color="auto"/>
        <w:bottom w:val="none" w:sz="0" w:space="0" w:color="auto"/>
        <w:right w:val="none" w:sz="0" w:space="0" w:color="auto"/>
      </w:divBdr>
    </w:div>
    <w:div w:id="372534629">
      <w:bodyDiv w:val="1"/>
      <w:marLeft w:val="0"/>
      <w:marRight w:val="0"/>
      <w:marTop w:val="0"/>
      <w:marBottom w:val="0"/>
      <w:divBdr>
        <w:top w:val="none" w:sz="0" w:space="0" w:color="auto"/>
        <w:left w:val="none" w:sz="0" w:space="0" w:color="auto"/>
        <w:bottom w:val="none" w:sz="0" w:space="0" w:color="auto"/>
        <w:right w:val="none" w:sz="0" w:space="0" w:color="auto"/>
      </w:divBdr>
    </w:div>
    <w:div w:id="427237357">
      <w:bodyDiv w:val="1"/>
      <w:marLeft w:val="0"/>
      <w:marRight w:val="0"/>
      <w:marTop w:val="0"/>
      <w:marBottom w:val="0"/>
      <w:divBdr>
        <w:top w:val="none" w:sz="0" w:space="0" w:color="auto"/>
        <w:left w:val="none" w:sz="0" w:space="0" w:color="auto"/>
        <w:bottom w:val="none" w:sz="0" w:space="0" w:color="auto"/>
        <w:right w:val="none" w:sz="0" w:space="0" w:color="auto"/>
      </w:divBdr>
    </w:div>
    <w:div w:id="701900789">
      <w:bodyDiv w:val="1"/>
      <w:marLeft w:val="0"/>
      <w:marRight w:val="0"/>
      <w:marTop w:val="0"/>
      <w:marBottom w:val="0"/>
      <w:divBdr>
        <w:top w:val="none" w:sz="0" w:space="0" w:color="auto"/>
        <w:left w:val="none" w:sz="0" w:space="0" w:color="auto"/>
        <w:bottom w:val="none" w:sz="0" w:space="0" w:color="auto"/>
        <w:right w:val="none" w:sz="0" w:space="0" w:color="auto"/>
      </w:divBdr>
    </w:div>
    <w:div w:id="903565605">
      <w:bodyDiv w:val="1"/>
      <w:marLeft w:val="0"/>
      <w:marRight w:val="0"/>
      <w:marTop w:val="0"/>
      <w:marBottom w:val="0"/>
      <w:divBdr>
        <w:top w:val="none" w:sz="0" w:space="0" w:color="auto"/>
        <w:left w:val="none" w:sz="0" w:space="0" w:color="auto"/>
        <w:bottom w:val="none" w:sz="0" w:space="0" w:color="auto"/>
        <w:right w:val="none" w:sz="0" w:space="0" w:color="auto"/>
      </w:divBdr>
    </w:div>
    <w:div w:id="952130360">
      <w:bodyDiv w:val="1"/>
      <w:marLeft w:val="0"/>
      <w:marRight w:val="0"/>
      <w:marTop w:val="0"/>
      <w:marBottom w:val="0"/>
      <w:divBdr>
        <w:top w:val="none" w:sz="0" w:space="0" w:color="auto"/>
        <w:left w:val="none" w:sz="0" w:space="0" w:color="auto"/>
        <w:bottom w:val="none" w:sz="0" w:space="0" w:color="auto"/>
        <w:right w:val="none" w:sz="0" w:space="0" w:color="auto"/>
      </w:divBdr>
    </w:div>
    <w:div w:id="998967854">
      <w:bodyDiv w:val="1"/>
      <w:marLeft w:val="0"/>
      <w:marRight w:val="0"/>
      <w:marTop w:val="0"/>
      <w:marBottom w:val="0"/>
      <w:divBdr>
        <w:top w:val="none" w:sz="0" w:space="0" w:color="auto"/>
        <w:left w:val="none" w:sz="0" w:space="0" w:color="auto"/>
        <w:bottom w:val="none" w:sz="0" w:space="0" w:color="auto"/>
        <w:right w:val="none" w:sz="0" w:space="0" w:color="auto"/>
      </w:divBdr>
    </w:div>
    <w:div w:id="1115057308">
      <w:bodyDiv w:val="1"/>
      <w:marLeft w:val="0"/>
      <w:marRight w:val="0"/>
      <w:marTop w:val="0"/>
      <w:marBottom w:val="0"/>
      <w:divBdr>
        <w:top w:val="none" w:sz="0" w:space="0" w:color="auto"/>
        <w:left w:val="none" w:sz="0" w:space="0" w:color="auto"/>
        <w:bottom w:val="none" w:sz="0" w:space="0" w:color="auto"/>
        <w:right w:val="none" w:sz="0" w:space="0" w:color="auto"/>
      </w:divBdr>
    </w:div>
    <w:div w:id="1338725489">
      <w:bodyDiv w:val="1"/>
      <w:marLeft w:val="0"/>
      <w:marRight w:val="0"/>
      <w:marTop w:val="0"/>
      <w:marBottom w:val="0"/>
      <w:divBdr>
        <w:top w:val="none" w:sz="0" w:space="0" w:color="auto"/>
        <w:left w:val="none" w:sz="0" w:space="0" w:color="auto"/>
        <w:bottom w:val="none" w:sz="0" w:space="0" w:color="auto"/>
        <w:right w:val="none" w:sz="0" w:space="0" w:color="auto"/>
      </w:divBdr>
    </w:div>
    <w:div w:id="2025204912">
      <w:bodyDiv w:val="1"/>
      <w:marLeft w:val="0"/>
      <w:marRight w:val="0"/>
      <w:marTop w:val="0"/>
      <w:marBottom w:val="0"/>
      <w:divBdr>
        <w:top w:val="none" w:sz="0" w:space="0" w:color="auto"/>
        <w:left w:val="none" w:sz="0" w:space="0" w:color="auto"/>
        <w:bottom w:val="none" w:sz="0" w:space="0" w:color="auto"/>
        <w:right w:val="none" w:sz="0" w:space="0" w:color="auto"/>
      </w:divBdr>
    </w:div>
    <w:div w:id="2071924197">
      <w:bodyDiv w:val="1"/>
      <w:marLeft w:val="0"/>
      <w:marRight w:val="0"/>
      <w:marTop w:val="0"/>
      <w:marBottom w:val="0"/>
      <w:divBdr>
        <w:top w:val="none" w:sz="0" w:space="0" w:color="auto"/>
        <w:left w:val="none" w:sz="0" w:space="0" w:color="auto"/>
        <w:bottom w:val="none" w:sz="0" w:space="0" w:color="auto"/>
        <w:right w:val="none" w:sz="0" w:space="0" w:color="auto"/>
      </w:divBdr>
    </w:div>
    <w:div w:id="20778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orteconstitucional.gov.co/comunicados/comunicado-14---abril-29-de-2025" TargetMode="External"/><Relationship Id="rId3" Type="http://schemas.openxmlformats.org/officeDocument/2006/relationships/hyperlink" Target="https://www.corteconstitucional.gov.co/secretaria/archivo.php?id=106158" TargetMode="External"/><Relationship Id="rId7" Type="http://schemas.openxmlformats.org/officeDocument/2006/relationships/hyperlink" Target="https://www.corteconstitucional.gov.co/secretaria/archivo.php?id=106409" TargetMode="External"/><Relationship Id="rId2" Type="http://schemas.openxmlformats.org/officeDocument/2006/relationships/hyperlink" Target="http://www.secretariasenado.gov.co/senado/basedoc/ley_0179_1994.html" TargetMode="External"/><Relationship Id="rId1" Type="http://schemas.openxmlformats.org/officeDocument/2006/relationships/hyperlink" Target="https://www.corteconstitucional.gov.co/comunicados/comunicado-14---abril-29-de-2025" TargetMode="External"/><Relationship Id="rId6" Type="http://schemas.openxmlformats.org/officeDocument/2006/relationships/hyperlink" Target="https://sisjur.bogotajuridica.gov.co/sisjur/normas/Norma1.jsp?i=178766&amp;dt=S" TargetMode="External"/><Relationship Id="rId5" Type="http://schemas.openxmlformats.org/officeDocument/2006/relationships/hyperlink" Target="https://www.corteconstitucional.gov.co/comunicados/comunicado-14---abril-29-de-2025" TargetMode="External"/><Relationship Id="rId4" Type="http://schemas.openxmlformats.org/officeDocument/2006/relationships/hyperlink" Target="https://www.corteconstitucional.gov.co/secretaria/archivo.php?id=105887"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DC579-9113-45EB-8046-314EBEF5B857}">
  <ds:schemaRefs>
    <ds:schemaRef ds:uri="http://schemas.openxmlformats.org/officeDocument/2006/bibliography"/>
  </ds:schemaRefs>
</ds:datastoreItem>
</file>

<file path=customXml/itemProps2.xml><?xml version="1.0" encoding="utf-8"?>
<ds:datastoreItem xmlns:ds="http://schemas.openxmlformats.org/officeDocument/2006/customXml" ds:itemID="{C8CDE28D-AE87-451E-848B-F802B89DB3B1}"/>
</file>

<file path=customXml/itemProps3.xml><?xml version="1.0" encoding="utf-8"?>
<ds:datastoreItem xmlns:ds="http://schemas.openxmlformats.org/officeDocument/2006/customXml" ds:itemID="{D69C3CD7-AF47-4C41-B033-E32C4806075F}"/>
</file>

<file path=customXml/itemProps4.xml><?xml version="1.0" encoding="utf-8"?>
<ds:datastoreItem xmlns:ds="http://schemas.openxmlformats.org/officeDocument/2006/customXml" ds:itemID="{1BD7510A-B0EC-4237-BF59-8FD10B64A8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fajardo</dc:creator>
  <cp:keywords/>
  <dc:description/>
  <cp:lastModifiedBy>Daniel Eduardo Lozano Bocanegra</cp:lastModifiedBy>
  <cp:revision>3</cp:revision>
  <dcterms:created xsi:type="dcterms:W3CDTF">2026-04-22T14:29:00Z</dcterms:created>
  <dcterms:modified xsi:type="dcterms:W3CDTF">2026-05-05T15:35:04Z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