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3732" w14:textId="2B4DA38F" w:rsidR="007B7E71" w:rsidRPr="007B7E71" w:rsidRDefault="007B7E71" w:rsidP="007B7E71">
      <w:pPr>
        <w:jc w:val="center"/>
        <w:rPr>
          <w:rFonts w:ascii="Verdana" w:hAnsi="Verdana"/>
          <w:b/>
          <w:bCs/>
        </w:rPr>
      </w:pPr>
      <w:r w:rsidRPr="007B7E71">
        <w:rPr>
          <w:rFonts w:ascii="Verdana" w:hAnsi="Verdana"/>
          <w:b/>
          <w:bCs/>
        </w:rPr>
        <w:t>CONCEPTO 39 DE 2016</w:t>
      </w:r>
    </w:p>
    <w:p w14:paraId="4A164BA7" w14:textId="5C886490" w:rsidR="007B7E71" w:rsidRPr="007B7E71" w:rsidRDefault="007B7E71" w:rsidP="007B7E71">
      <w:pPr>
        <w:jc w:val="center"/>
        <w:rPr>
          <w:rFonts w:ascii="Verdana" w:hAnsi="Verdana"/>
        </w:rPr>
      </w:pPr>
      <w:r w:rsidRPr="007B7E71">
        <w:rPr>
          <w:rFonts w:ascii="Verdana" w:hAnsi="Verdana"/>
        </w:rPr>
        <w:t>(abril 29)</w:t>
      </w:r>
    </w:p>
    <w:p w14:paraId="1230B315" w14:textId="7786CA51" w:rsidR="000B4793" w:rsidRDefault="007B7E71" w:rsidP="007B7E71">
      <w:pPr>
        <w:jc w:val="center"/>
        <w:rPr>
          <w:rFonts w:ascii="Verdana" w:hAnsi="Verdana"/>
          <w:b/>
          <w:bCs/>
        </w:rPr>
      </w:pPr>
      <w:r w:rsidRPr="007B7E71">
        <w:rPr>
          <w:rFonts w:ascii="Verdana" w:hAnsi="Verdana"/>
          <w:b/>
          <w:bCs/>
        </w:rPr>
        <w:t>INSTITUTO COLOMBIANO DE BIENESTAR FAMILIAR – ICBF</w:t>
      </w:r>
    </w:p>
    <w:p w14:paraId="512F8EFB" w14:textId="50CEBE70" w:rsidR="007B7E71" w:rsidRPr="007B7E71" w:rsidRDefault="007B7E71" w:rsidP="007B7E71">
      <w:pPr>
        <w:jc w:val="both"/>
        <w:rPr>
          <w:rFonts w:ascii="Verdana" w:hAnsi="Verdana"/>
        </w:rPr>
      </w:pPr>
      <w:r w:rsidRPr="007B7E71">
        <w:rPr>
          <w:rFonts w:ascii="Verdana" w:hAnsi="Verdana"/>
          <w:b/>
          <w:bCs/>
        </w:rPr>
        <w:t>Asunto:</w:t>
      </w:r>
      <w:r w:rsidRPr="007B7E71">
        <w:rPr>
          <w:rFonts w:ascii="Verdana" w:hAnsi="Verdana"/>
        </w:rPr>
        <w:t xml:space="preserve"> Respuesta solicitud de concepto No. E-2016-125736-0101</w:t>
      </w:r>
    </w:p>
    <w:p w14:paraId="4778827F" w14:textId="266CA65B" w:rsidR="007B7E71" w:rsidRPr="007B7E71" w:rsidRDefault="007B7E71" w:rsidP="007B7E71">
      <w:pPr>
        <w:jc w:val="both"/>
        <w:rPr>
          <w:rFonts w:ascii="Verdana" w:hAnsi="Verdana"/>
        </w:rPr>
      </w:pPr>
      <w:r w:rsidRPr="007B7E71">
        <w:rPr>
          <w:rFonts w:ascii="Verdana" w:hAnsi="Verdana"/>
        </w:rPr>
        <w:t>De manera atenta, en atención a la consulta del asunto, relacionada con las competencias de los Comisarios de Familia de otorgar permisos de escolaridad a niños, niñas y adolescentes en horario nocturno y sábados, de manera atenta, en los términos previstos en los artículos 26 del Código Civil, artículo 28 de la Ley 1755 de 2015, y numeral 4 del artículo 6 del Decreto 987 de 2012, se procede a emitir concepto, en los siguientes términos:</w:t>
      </w:r>
    </w:p>
    <w:p w14:paraId="4523F339" w14:textId="3136B877" w:rsidR="007B7E71" w:rsidRPr="007B7E71" w:rsidRDefault="007B7E71" w:rsidP="007B7E71">
      <w:pPr>
        <w:jc w:val="both"/>
        <w:rPr>
          <w:rFonts w:ascii="Verdana" w:hAnsi="Verdana"/>
          <w:b/>
          <w:bCs/>
        </w:rPr>
      </w:pPr>
      <w:r w:rsidRPr="007B7E71">
        <w:rPr>
          <w:rFonts w:ascii="Verdana" w:hAnsi="Verdana"/>
          <w:b/>
          <w:bCs/>
        </w:rPr>
        <w:t>1. PROBLEMA JURÍDICO</w:t>
      </w:r>
    </w:p>
    <w:p w14:paraId="41EF4E0C" w14:textId="1B4F8B0B" w:rsidR="007B7E71" w:rsidRPr="007B7E71" w:rsidRDefault="007B7E71" w:rsidP="007B7E71">
      <w:pPr>
        <w:jc w:val="both"/>
        <w:rPr>
          <w:rFonts w:ascii="Verdana" w:hAnsi="Verdana"/>
        </w:rPr>
      </w:pPr>
      <w:r w:rsidRPr="007B7E71">
        <w:rPr>
          <w:rFonts w:ascii="Verdana" w:hAnsi="Verdana"/>
        </w:rPr>
        <w:t>Con base en la solicitud de concepto, se identifican el siguiente problema jurídico:</w:t>
      </w:r>
    </w:p>
    <w:p w14:paraId="3C9F6391" w14:textId="5595E85B" w:rsidR="007B7E71" w:rsidRPr="007B7E71" w:rsidRDefault="007B7E71" w:rsidP="007B7E71">
      <w:pPr>
        <w:jc w:val="both"/>
        <w:rPr>
          <w:rFonts w:ascii="Verdana" w:hAnsi="Verdana"/>
        </w:rPr>
      </w:pPr>
      <w:r w:rsidRPr="007B7E71">
        <w:rPr>
          <w:rFonts w:ascii="Verdana" w:hAnsi="Verdana"/>
        </w:rPr>
        <w:t>¿Dentro de las competencias de los Comisarios de Familia se encuentra la de otorgar permisos para adelantar estudios?</w:t>
      </w:r>
    </w:p>
    <w:p w14:paraId="392F2C49" w14:textId="72FFD036" w:rsidR="007B7E71" w:rsidRPr="007B7E71" w:rsidRDefault="007B7E71" w:rsidP="007B7E71">
      <w:pPr>
        <w:jc w:val="both"/>
        <w:rPr>
          <w:rFonts w:ascii="Verdana" w:hAnsi="Verdana"/>
          <w:b/>
          <w:bCs/>
        </w:rPr>
      </w:pPr>
      <w:r w:rsidRPr="007B7E71">
        <w:rPr>
          <w:rFonts w:ascii="Verdana" w:hAnsi="Verdana"/>
          <w:b/>
          <w:bCs/>
        </w:rPr>
        <w:t>2. ANÁLISIS DEL PROBLEMA JURÍDICO</w:t>
      </w:r>
    </w:p>
    <w:p w14:paraId="0452765D" w14:textId="5AE389B2" w:rsidR="007B7E71" w:rsidRPr="007B7E71" w:rsidRDefault="007B7E71" w:rsidP="007B7E71">
      <w:pPr>
        <w:jc w:val="both"/>
        <w:rPr>
          <w:rFonts w:ascii="Verdana" w:hAnsi="Verdana"/>
        </w:rPr>
      </w:pPr>
      <w:r w:rsidRPr="007B7E71">
        <w:rPr>
          <w:rFonts w:ascii="Verdana" w:hAnsi="Verdana"/>
        </w:rPr>
        <w:t>Para dar respuesta a los problemas jurídicos planteados, el presente concepto desarrollará la siguiente estructura: 2.1 Las competencias de los Comisarios de Familia; 2.2 El derecho a la educación de los niños, niñas y adolescentes.</w:t>
      </w:r>
    </w:p>
    <w:p w14:paraId="3571546E" w14:textId="66266906" w:rsidR="007B7E71" w:rsidRPr="007B7E71" w:rsidRDefault="007B7E71" w:rsidP="007B7E71">
      <w:pPr>
        <w:jc w:val="both"/>
        <w:rPr>
          <w:rFonts w:ascii="Verdana" w:hAnsi="Verdana"/>
        </w:rPr>
      </w:pPr>
      <w:r w:rsidRPr="007B7E71">
        <w:rPr>
          <w:rFonts w:ascii="Verdana" w:hAnsi="Verdana"/>
        </w:rPr>
        <w:t>2.1. Las competencias de los Comisarios de Familia</w:t>
      </w:r>
    </w:p>
    <w:p w14:paraId="1B11AEED" w14:textId="6A97F294" w:rsidR="007B7E71" w:rsidRPr="007B7E71" w:rsidRDefault="007B7E71" w:rsidP="007B7E71">
      <w:pPr>
        <w:jc w:val="both"/>
        <w:rPr>
          <w:rFonts w:ascii="Verdana" w:hAnsi="Verdana"/>
        </w:rPr>
      </w:pPr>
      <w:r w:rsidRPr="007B7E71">
        <w:rPr>
          <w:rFonts w:ascii="Verdana" w:hAnsi="Verdana"/>
        </w:rPr>
        <w:t>La Ley 1098 de 2006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44B26BDE" w14:textId="62420B14" w:rsidR="007B7E71" w:rsidRPr="007B7E71" w:rsidRDefault="007B7E71" w:rsidP="007B7E71">
      <w:pPr>
        <w:jc w:val="both"/>
        <w:rPr>
          <w:rFonts w:ascii="Verdana" w:hAnsi="Verdana"/>
        </w:rPr>
      </w:pPr>
      <w:r w:rsidRPr="007B7E71">
        <w:rPr>
          <w:rFonts w:ascii="Verdana" w:hAnsi="Verdana"/>
        </w:rPr>
        <w:t>Así mismo, las Comisarías de Familia cumplen una función de entidades conciliadoras, facultad que les otorgó la Ley 640 de 2001, artículos 31 y 40.</w:t>
      </w:r>
    </w:p>
    <w:p w14:paraId="50724134" w14:textId="1AAFED03" w:rsidR="007B7E71" w:rsidRPr="007B7E71" w:rsidRDefault="007B7E71" w:rsidP="007B7E71">
      <w:pPr>
        <w:jc w:val="both"/>
        <w:rPr>
          <w:rFonts w:ascii="Verdana" w:hAnsi="Verdana"/>
        </w:rPr>
      </w:pPr>
      <w:r w:rsidRPr="007B7E71">
        <w:rPr>
          <w:rFonts w:ascii="Verdana" w:hAnsi="Verdana"/>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05FFE59C" w14:textId="6A245165" w:rsidR="007B7E71" w:rsidRPr="007B7E71" w:rsidRDefault="007B7E71" w:rsidP="007B7E71">
      <w:pPr>
        <w:jc w:val="both"/>
        <w:rPr>
          <w:rFonts w:ascii="Verdana" w:hAnsi="Verdana"/>
        </w:rPr>
      </w:pPr>
      <w:r w:rsidRPr="007B7E71">
        <w:rPr>
          <w:rFonts w:ascii="Verdana" w:hAnsi="Verdana"/>
        </w:rPr>
        <w:t xml:space="preserve">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w:t>
      </w:r>
      <w:r w:rsidRPr="007B7E71">
        <w:rPr>
          <w:rFonts w:ascii="Verdana" w:hAnsi="Verdana"/>
        </w:rPr>
        <w:lastRenderedPageBreak/>
        <w:t>Decreto 652 de 2001 y Ley 1257 de 2008 y lo dispuesto en los numerales 1,4 y 5 del Artículo 86 de la Ley 1098 de 2006, en la Resolución número 918 de 2012 de la Fiscalía General de Nación, por medio de la cual se otorgan transitoriamente funciones de Policía Judicial a las Comisarías de Familia en todo el Territorio Nacional.</w:t>
      </w:r>
    </w:p>
    <w:p w14:paraId="4C69F3C6" w14:textId="0E539092" w:rsidR="007B7E71" w:rsidRPr="007B7E71" w:rsidRDefault="007B7E71" w:rsidP="007B7E71">
      <w:pPr>
        <w:jc w:val="both"/>
        <w:rPr>
          <w:rFonts w:ascii="Verdana" w:hAnsi="Verdana"/>
        </w:rPr>
      </w:pPr>
      <w:r w:rsidRPr="007B7E71">
        <w:rPr>
          <w:rFonts w:ascii="Verdana" w:hAnsi="Verdana"/>
        </w:rPr>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los arts. 320 al 325 del Decreto 2737 de 1989 (Art. 217 Ley 1098 de 2006) y de acuerdo a las funciones o a las competencias que en cada caso particular le asigne los Concejos municipales o distritales.</w:t>
      </w:r>
    </w:p>
    <w:p w14:paraId="4DDA7446" w14:textId="36DDF4B3" w:rsidR="007B7E71" w:rsidRPr="007B7E71" w:rsidRDefault="007B7E71" w:rsidP="007B7E71">
      <w:pPr>
        <w:jc w:val="both"/>
        <w:rPr>
          <w:rFonts w:ascii="Verdana" w:hAnsi="Verdana"/>
        </w:rPr>
      </w:pPr>
      <w:r w:rsidRPr="007B7E71">
        <w:rPr>
          <w:rFonts w:ascii="Verdana" w:hAnsi="Verdana"/>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la Adolescencia, en concordancia con lo dispuesto en el Decreto 1069 de 2015 por medio del cual se expide el Decreto Único Reglamentario del Sector Justicia y del Derecho.</w:t>
      </w:r>
    </w:p>
    <w:p w14:paraId="5CC4A1D3" w14:textId="7C0151B0" w:rsidR="007B7E71" w:rsidRPr="007B7E71" w:rsidRDefault="007B7E71" w:rsidP="007B7E71">
      <w:pPr>
        <w:jc w:val="both"/>
        <w:rPr>
          <w:rFonts w:ascii="Verdana" w:hAnsi="Verdana"/>
        </w:rPr>
      </w:pPr>
      <w:r w:rsidRPr="007B7E71">
        <w:rPr>
          <w:rFonts w:ascii="Verdana" w:hAnsi="Verdana"/>
        </w:rPr>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36731C22" w14:textId="59A7C4E5" w:rsidR="007B7E71" w:rsidRPr="007B7E71" w:rsidRDefault="007B7E71" w:rsidP="007B7E71">
      <w:pPr>
        <w:jc w:val="both"/>
        <w:rPr>
          <w:rFonts w:ascii="Verdana" w:hAnsi="Verdana"/>
        </w:rPr>
      </w:pPr>
      <w:r w:rsidRPr="007B7E71">
        <w:rPr>
          <w:rFonts w:ascii="Verdana" w:hAnsi="Verdana"/>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de Familia asume todas las funciones atribuidas a éste, salvo la declaratoria de adoptabilidad, que corresponde exclusivamente al Defensor de Familia.</w:t>
      </w:r>
    </w:p>
    <w:p w14:paraId="39671CEC" w14:textId="14397E0E" w:rsidR="007B7E71" w:rsidRPr="007B7E71" w:rsidRDefault="007B7E71" w:rsidP="007B7E71">
      <w:pPr>
        <w:jc w:val="both"/>
        <w:rPr>
          <w:rFonts w:ascii="Verdana" w:hAnsi="Verdana"/>
        </w:rPr>
      </w:pPr>
      <w:r w:rsidRPr="007B7E71">
        <w:rPr>
          <w:rFonts w:ascii="Verdana" w:hAnsi="Verdana"/>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fas leyes especiales sobre violencia intrafamiliar, las de restablecimiento señaladas en el artículo 53 y cumplir las funciones atribuidas en el artículo 82 al Defensor de Familia.</w:t>
      </w:r>
    </w:p>
    <w:p w14:paraId="3A634536" w14:textId="7CA59209" w:rsidR="007B7E71" w:rsidRPr="007B7E71" w:rsidRDefault="007B7E71" w:rsidP="007B7E71">
      <w:pPr>
        <w:jc w:val="both"/>
        <w:rPr>
          <w:rFonts w:ascii="Verdana" w:hAnsi="Verdana"/>
        </w:rPr>
      </w:pPr>
      <w:r w:rsidRPr="007B7E71">
        <w:rPr>
          <w:rFonts w:ascii="Verdana" w:hAnsi="Verdana"/>
        </w:rPr>
        <w:t>2.2. El derecho a la educación de los niños, niñas y adolescentes</w:t>
      </w:r>
    </w:p>
    <w:p w14:paraId="2A2E5681" w14:textId="76E050E3" w:rsidR="007B7E71" w:rsidRPr="007B7E71" w:rsidRDefault="007B7E71" w:rsidP="007B7E71">
      <w:pPr>
        <w:jc w:val="both"/>
        <w:rPr>
          <w:rFonts w:ascii="Verdana" w:hAnsi="Verdana"/>
        </w:rPr>
      </w:pPr>
      <w:r w:rsidRPr="007B7E71">
        <w:rPr>
          <w:rFonts w:ascii="Verdana" w:hAnsi="Verdana"/>
        </w:rPr>
        <w:lastRenderedPageBreak/>
        <w:t>El derecho a la educación de los niños, niñas y adolescentes tiene sustento constitucional en los artículos 44 y 67 de la Carta Política, que establecen su carácter fundamental, así como las condiciones mínimas en las cuales debe garantizarse.</w:t>
      </w:r>
    </w:p>
    <w:p w14:paraId="3A190C3C" w14:textId="168C0AC8" w:rsidR="007B7E71" w:rsidRPr="007B7E71" w:rsidRDefault="007B7E71" w:rsidP="007B7E71">
      <w:pPr>
        <w:jc w:val="both"/>
        <w:rPr>
          <w:rFonts w:ascii="Verdana" w:hAnsi="Verdana"/>
        </w:rPr>
      </w:pPr>
      <w:r w:rsidRPr="007B7E71">
        <w:rPr>
          <w:rFonts w:ascii="Verdana" w:hAnsi="Verdana"/>
        </w:rPr>
        <w:t>La Ley 1098 de 2006 por su parte, estableció en el artículo 28 el derecho de los niños, niñas y adolescentes a una educación de calidad</w:t>
      </w:r>
    </w:p>
    <w:p w14:paraId="41287301" w14:textId="158646F1" w:rsidR="007B7E71" w:rsidRPr="007B7E71" w:rsidRDefault="007B7E71" w:rsidP="007B7E71">
      <w:pPr>
        <w:jc w:val="both"/>
        <w:rPr>
          <w:rFonts w:ascii="Verdana" w:hAnsi="Verdana"/>
        </w:rPr>
      </w:pPr>
      <w:r w:rsidRPr="007B7E71">
        <w:rPr>
          <w:rFonts w:ascii="Verdana" w:hAnsi="Verdana"/>
        </w:rPr>
        <w:t>La Corte Constitucional ha reconocido el carácter fundamental y prestacional como servicio público de la educación indicando, que, en este último, el servicio debe cumplir con cuatro dimensiones, adicional a la garantía de no limitación o restricción:</w:t>
      </w:r>
    </w:p>
    <w:p w14:paraId="31375364" w14:textId="5B5C4C70" w:rsidR="007B7E71" w:rsidRPr="007B7E71" w:rsidRDefault="007B7E71" w:rsidP="007B7E71">
      <w:pPr>
        <w:jc w:val="both"/>
        <w:rPr>
          <w:rFonts w:ascii="Verdana" w:hAnsi="Verdana"/>
        </w:rPr>
      </w:pPr>
      <w:r w:rsidRPr="007B7E71">
        <w:rPr>
          <w:rFonts w:ascii="Verdana" w:hAnsi="Verdana"/>
        </w:rPr>
        <w:t>"(i) La asequibilidad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de impedir a los particulares fundar colegios, escuelas o cualquier tipo de centro educativo y la necesidad de asegurar la inversión en infraestructura para la prestación de este servicio;</w:t>
      </w:r>
    </w:p>
    <w:p w14:paraId="7B3E9F3E" w14:textId="7EED4A10" w:rsidR="007B7E71" w:rsidRPr="007B7E71" w:rsidRDefault="007B7E71" w:rsidP="007B7E71">
      <w:pPr>
        <w:jc w:val="both"/>
        <w:rPr>
          <w:rFonts w:ascii="Verdana" w:hAnsi="Verdana"/>
        </w:rPr>
      </w:pPr>
      <w:r w:rsidRPr="007B7E71">
        <w:rPr>
          <w:rFonts w:ascii="Verdana" w:hAnsi="Verdana"/>
        </w:rPr>
        <w:t>(ii) La adaptabilidad, que se refiere a la necesidad de que la educación se adapte a las necesidades y demandas de los educandos y que se garantice la continuidad en la prestación del servicio;</w:t>
      </w:r>
    </w:p>
    <w:p w14:paraId="639755A0" w14:textId="703F3ECC" w:rsidR="007B7E71" w:rsidRPr="007B7E71" w:rsidRDefault="007B7E71" w:rsidP="007B7E71">
      <w:pPr>
        <w:jc w:val="both"/>
        <w:rPr>
          <w:rFonts w:ascii="Verdana" w:hAnsi="Verdana"/>
        </w:rPr>
      </w:pPr>
      <w:r w:rsidRPr="007B7E71">
        <w:rPr>
          <w:rFonts w:ascii="Verdana" w:hAnsi="Verdana"/>
        </w:rPr>
        <w:t>(iii) La aceptabilidad, la cual hace alusión a la necesidad de asegurar la calidad de la educación que se imparte;</w:t>
      </w:r>
    </w:p>
    <w:p w14:paraId="455D5A91" w14:textId="45590308" w:rsidR="007B7E71" w:rsidRPr="007B7E71" w:rsidRDefault="007B7E71" w:rsidP="007B7E71">
      <w:pPr>
        <w:jc w:val="both"/>
        <w:rPr>
          <w:rFonts w:ascii="Verdana" w:hAnsi="Verdana"/>
        </w:rPr>
      </w:pPr>
      <w:r w:rsidRPr="007B7E71">
        <w:rPr>
          <w:rFonts w:ascii="Verdana" w:hAnsi="Verdana"/>
        </w:rPr>
        <w:t>(iv)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2023EA9A" w14:textId="02D62B8B" w:rsidR="007B7E71" w:rsidRPr="007B7E71" w:rsidRDefault="007B7E71" w:rsidP="007B7E71">
      <w:pPr>
        <w:jc w:val="both"/>
        <w:rPr>
          <w:rFonts w:ascii="Verdana" w:hAnsi="Verdana"/>
        </w:rPr>
      </w:pPr>
      <w:r w:rsidRPr="007B7E71">
        <w:rPr>
          <w:rFonts w:ascii="Verdana" w:hAnsi="Verdana"/>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adicionales".[1]</w:t>
      </w:r>
    </w:p>
    <w:p w14:paraId="1F3E8784" w14:textId="6D511A9B" w:rsidR="007B7E71" w:rsidRPr="007B7E71" w:rsidRDefault="007B7E71" w:rsidP="007B7E71">
      <w:pPr>
        <w:jc w:val="both"/>
        <w:rPr>
          <w:rFonts w:ascii="Verdana" w:hAnsi="Verdana"/>
        </w:rPr>
      </w:pPr>
      <w:r w:rsidRPr="007B7E71">
        <w:rPr>
          <w:rFonts w:ascii="Verdana" w:hAnsi="Verdana"/>
        </w:rPr>
        <w:t>Para el caso de los niños, niñas y adolescentes, la Corte Constitucional ha puesto el énfasis en la accesibilidad y permanencia del servicio educativo, para garantizar el ejercicio del derecho:</w:t>
      </w:r>
    </w:p>
    <w:p w14:paraId="37362A5C" w14:textId="5B76A578" w:rsidR="007B7E71" w:rsidRPr="007B7E71" w:rsidRDefault="007B7E71" w:rsidP="007B7E71">
      <w:pPr>
        <w:jc w:val="both"/>
        <w:rPr>
          <w:rFonts w:ascii="Verdana" w:hAnsi="Verdana"/>
        </w:rPr>
      </w:pPr>
      <w:r w:rsidRPr="007B7E71">
        <w:rPr>
          <w:rFonts w:ascii="Verdana" w:hAnsi="Verdana"/>
        </w:rPr>
        <w:t xml:space="preserve">"En el marco del derecho fundamental a la educación de las niñas y los niños, el Estado tiene la obligación de garantizarles establecimientos apropiados y el acceso digno al sistema de educación, así como la permanencia en el mismo. La </w:t>
      </w:r>
      <w:r w:rsidRPr="007B7E71">
        <w:rPr>
          <w:rFonts w:ascii="Verdana" w:hAnsi="Verdana"/>
        </w:rPr>
        <w:lastRenderedPageBreak/>
        <w:t>accesibilidad implica la obligación del Estado de asegurar el acceso de todas las personas a la educación en condiciones de igualdad y libres de toda forma de discriminación, así como facilidades en términos geográficos y económicos para acceder al servicio. En este orden, como lo señala la Observación No. 13 antes mencionada, la accesibilidad consta de tres (3) dimensiones: (i) la no discriminación, (ii) la accesibilidad material, y (iii) la accesibilidad económica”.[2]</w:t>
      </w:r>
    </w:p>
    <w:p w14:paraId="14D82901" w14:textId="71B6D26B" w:rsidR="007B7E71" w:rsidRPr="007B7E71" w:rsidRDefault="007B7E71" w:rsidP="007B7E71">
      <w:pPr>
        <w:jc w:val="both"/>
        <w:rPr>
          <w:rFonts w:ascii="Verdana" w:hAnsi="Verdana"/>
          <w:b/>
          <w:bCs/>
        </w:rPr>
      </w:pPr>
      <w:r w:rsidRPr="007B7E71">
        <w:rPr>
          <w:rFonts w:ascii="Verdana" w:hAnsi="Verdana"/>
          <w:b/>
          <w:bCs/>
        </w:rPr>
        <w:t>3. CASO EN CONCRETO</w:t>
      </w:r>
    </w:p>
    <w:p w14:paraId="65D3C431" w14:textId="0DB34D4F" w:rsidR="007B7E71" w:rsidRPr="007B7E71" w:rsidRDefault="007B7E71" w:rsidP="007B7E71">
      <w:pPr>
        <w:jc w:val="both"/>
        <w:rPr>
          <w:rFonts w:ascii="Verdana" w:hAnsi="Verdana"/>
        </w:rPr>
      </w:pPr>
      <w:r w:rsidRPr="007B7E71">
        <w:rPr>
          <w:rFonts w:ascii="Verdana" w:hAnsi="Verdana"/>
        </w:rPr>
        <w:t>El Personero del Municipio de XXX - Antioquia, solicita concepto respecto de la facultad de los Comisarios de Familia para otorgar permisos de estudio a menores de edad en horario nocturno y los sábados, dado que informa que en el municipio se han presentado inconvenientes porque a unos los concede y a otros los niega. Al respecto es importante mencionar que sin conocer los hechos que motivan la presente consulta, y de acuerdo con las consideraciones de derecho aquí consignadas, se considera que los Comisarios de Familia no tienen asignada la competencia expresa de otorgar permisos de escolaridad a niños, niñas y adolescentes, dado que el acceso y la permanencia en el sistema de educación es un derecho fundamental, cuyo ejercicio no está sometido a autorización por parte de ninguna autoridad, sino a las condiciones de oferta y demanda de la prestación del servicio en cada entidad territorial, que debe cumplir además con las dimensiones señaladas en el acápite 2.2 del presente documento.</w:t>
      </w:r>
    </w:p>
    <w:p w14:paraId="7C408221" w14:textId="32A97BAF" w:rsidR="007B7E71" w:rsidRPr="007B7E71" w:rsidRDefault="007B7E71" w:rsidP="007B7E71">
      <w:pPr>
        <w:jc w:val="both"/>
        <w:rPr>
          <w:rFonts w:ascii="Verdana" w:hAnsi="Verdana"/>
        </w:rPr>
      </w:pPr>
      <w:r w:rsidRPr="007B7E71">
        <w:rPr>
          <w:rFonts w:ascii="Verdana" w:hAnsi="Verdana"/>
        </w:rPr>
        <w:t>No obstante, lo anterior, en caso de que se trate de niños, niñas y adolescentes que se encuentren bajo una medida de restablecimiento de derechos adoptada por una autoridad administrativa como el Comisario de Familia, en atención a que corresponde a éste el seguimiento y revisión de la evolución de cada caso, es posible que se presenten situaciones que aconsejen que el ejercicio del derecho a la educación de estos niños, niñas y adolescentes se desarrolle bajo ciertas condiciones, incluido el horario, motivo por el cual, será necesario que se adopten por tal servidor decisiones en este sentido, sin que en ningún evento, ellas entorpezcan el ejercicio pleno del derecho a la educación que no se suspende ni se limita por estar dentro de un proceso administrativo de restablecimiento de derechos o incluso un proceso de responsabilidad penal para adolescentes.</w:t>
      </w:r>
    </w:p>
    <w:p w14:paraId="45679985" w14:textId="2AFAB3F4" w:rsidR="007B7E71" w:rsidRPr="007B7E71" w:rsidRDefault="007B7E71" w:rsidP="007B7E71">
      <w:pPr>
        <w:jc w:val="both"/>
        <w:rPr>
          <w:rFonts w:ascii="Verdana" w:hAnsi="Verdana"/>
        </w:rPr>
      </w:pPr>
      <w:r w:rsidRPr="007B7E71">
        <w:rPr>
          <w:rFonts w:ascii="Verdana" w:hAnsi="Verdana"/>
        </w:rPr>
        <w:t xml:space="preserve">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7B7E71">
        <w:rPr>
          <w:rFonts w:ascii="Verdana" w:hAnsi="Verdana"/>
        </w:rPr>
        <w:lastRenderedPageBreak/>
        <w:t>directrices jurídicas necesarias para el desarrollo de las funciones del Instituto, de conformidad con los numerales 8 y 15 del Decreto 987 de 2012.</w:t>
      </w:r>
    </w:p>
    <w:p w14:paraId="72E3D120" w14:textId="6ED66723" w:rsidR="007B7E71" w:rsidRDefault="007B7E71" w:rsidP="007B7E71">
      <w:pPr>
        <w:jc w:val="both"/>
        <w:rPr>
          <w:rFonts w:ascii="Verdana" w:hAnsi="Verdana"/>
        </w:rPr>
      </w:pPr>
      <w:r w:rsidRPr="007B7E71">
        <w:rPr>
          <w:rFonts w:ascii="Verdana" w:hAnsi="Verdana"/>
        </w:rPr>
        <w:t>Cordialmente,</w:t>
      </w:r>
    </w:p>
    <w:p w14:paraId="54CCF7B8" w14:textId="77777777" w:rsidR="00182CB4" w:rsidRPr="007B7E71" w:rsidRDefault="00182CB4" w:rsidP="007B7E71">
      <w:pPr>
        <w:jc w:val="both"/>
        <w:rPr>
          <w:rFonts w:ascii="Verdana" w:hAnsi="Verdana"/>
        </w:rPr>
      </w:pPr>
    </w:p>
    <w:p w14:paraId="692557DE" w14:textId="323F9F34" w:rsidR="007B7E71" w:rsidRPr="007B7E71" w:rsidRDefault="007B7E71" w:rsidP="007B7E71">
      <w:pPr>
        <w:jc w:val="both"/>
        <w:rPr>
          <w:rFonts w:ascii="Verdana" w:hAnsi="Verdana"/>
          <w:b/>
          <w:bCs/>
        </w:rPr>
      </w:pPr>
      <w:r w:rsidRPr="007B7E71">
        <w:rPr>
          <w:rFonts w:ascii="Verdana" w:hAnsi="Verdana"/>
          <w:b/>
          <w:bCs/>
        </w:rPr>
        <w:t>LUZ KARIME FERNANDEZ CASTILLO</w:t>
      </w:r>
    </w:p>
    <w:p w14:paraId="58A8D117" w14:textId="77777777" w:rsidR="007B7E71" w:rsidRPr="007B7E71" w:rsidRDefault="007B7E71" w:rsidP="007B7E71">
      <w:pPr>
        <w:jc w:val="both"/>
        <w:rPr>
          <w:rFonts w:ascii="Verdana" w:hAnsi="Verdana"/>
        </w:rPr>
      </w:pPr>
      <w:r w:rsidRPr="007B7E71">
        <w:rPr>
          <w:rFonts w:ascii="Verdana" w:hAnsi="Verdana"/>
        </w:rPr>
        <w:t>Jefe Oficina Asesora Jurídica</w:t>
      </w:r>
    </w:p>
    <w:p w14:paraId="2F5032EA" w14:textId="77777777" w:rsidR="007B7E71" w:rsidRDefault="007B7E71" w:rsidP="007B7E71">
      <w:pPr>
        <w:jc w:val="both"/>
        <w:rPr>
          <w:rFonts w:ascii="Verdana" w:hAnsi="Verdana"/>
        </w:rPr>
      </w:pPr>
    </w:p>
    <w:p w14:paraId="2CE74B0D" w14:textId="7DDB23F2" w:rsidR="00182CB4" w:rsidRPr="00182CB4" w:rsidRDefault="00182CB4" w:rsidP="007B7E71">
      <w:pPr>
        <w:jc w:val="both"/>
        <w:rPr>
          <w:rFonts w:ascii="Verdana" w:hAnsi="Verdana"/>
          <w:b/>
          <w:bCs/>
        </w:rPr>
      </w:pPr>
      <w:r w:rsidRPr="00182CB4">
        <w:rPr>
          <w:rFonts w:ascii="Verdana" w:hAnsi="Verdana"/>
          <w:b/>
          <w:bCs/>
        </w:rPr>
        <w:t>Notas de pie de página:</w:t>
      </w:r>
    </w:p>
    <w:p w14:paraId="3F91CD42" w14:textId="4DCB6089" w:rsidR="007B7E71" w:rsidRPr="007B7E71" w:rsidRDefault="007B7E71" w:rsidP="007B7E71">
      <w:pPr>
        <w:jc w:val="both"/>
        <w:rPr>
          <w:rFonts w:ascii="Verdana" w:hAnsi="Verdana"/>
        </w:rPr>
      </w:pPr>
      <w:r w:rsidRPr="007B7E71">
        <w:rPr>
          <w:rFonts w:ascii="Verdana" w:hAnsi="Verdana"/>
        </w:rPr>
        <w:t>1. Sentencia T-1259 de 2008</w:t>
      </w:r>
    </w:p>
    <w:p w14:paraId="577C261B" w14:textId="77777777" w:rsidR="007B7E71" w:rsidRPr="007B7E71" w:rsidRDefault="007B7E71" w:rsidP="007B7E71">
      <w:pPr>
        <w:jc w:val="both"/>
        <w:rPr>
          <w:rFonts w:ascii="Verdana" w:hAnsi="Verdana"/>
        </w:rPr>
      </w:pPr>
      <w:r w:rsidRPr="007B7E71">
        <w:rPr>
          <w:rFonts w:ascii="Verdana" w:hAnsi="Verdana"/>
        </w:rPr>
        <w:t>2. Sentencia T-273 de 2014</w:t>
      </w:r>
    </w:p>
    <w:p w14:paraId="090C75BF" w14:textId="77777777" w:rsidR="007B7E71" w:rsidRPr="007B7E71" w:rsidRDefault="007B7E71" w:rsidP="007B7E71">
      <w:pPr>
        <w:jc w:val="both"/>
        <w:rPr>
          <w:rFonts w:ascii="Verdana" w:hAnsi="Verdana"/>
        </w:rPr>
      </w:pPr>
    </w:p>
    <w:sectPr w:rsidR="007B7E71" w:rsidRPr="007B7E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71"/>
    <w:rsid w:val="000B4793"/>
    <w:rsid w:val="00182CB4"/>
    <w:rsid w:val="007B7E71"/>
    <w:rsid w:val="00D26D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5124"/>
  <w15:chartTrackingRefBased/>
  <w15:docId w15:val="{29E2B944-BC5F-4A54-A0CD-3B347AFD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DCB41-BBE7-4CB0-A606-E57F3633E626}"/>
</file>

<file path=customXml/itemProps2.xml><?xml version="1.0" encoding="utf-8"?>
<ds:datastoreItem xmlns:ds="http://schemas.openxmlformats.org/officeDocument/2006/customXml" ds:itemID="{D52380AC-C8C6-4437-B4A4-BDD6DE0CF712}"/>
</file>

<file path=customXml/itemProps3.xml><?xml version="1.0" encoding="utf-8"?>
<ds:datastoreItem xmlns:ds="http://schemas.openxmlformats.org/officeDocument/2006/customXml" ds:itemID="{806006AE-F5E9-4B46-8936-A0E5DFEA0BA8}"/>
</file>

<file path=docProps/app.xml><?xml version="1.0" encoding="utf-8"?>
<Properties xmlns="http://schemas.openxmlformats.org/officeDocument/2006/extended-properties" xmlns:vt="http://schemas.openxmlformats.org/officeDocument/2006/docPropsVTypes">
  <Template>Normal</Template>
  <TotalTime>2</TotalTime>
  <Pages>1</Pages>
  <Words>1723</Words>
  <Characters>9481</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2026-05-13T16:34:00Z</dcterms:created>
  <dcterms:modified xsi:type="dcterms:W3CDTF">2026-05-20T20:26:00Z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