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AAE4" w14:textId="77777777" w:rsidR="00017F88" w:rsidRPr="00017F88" w:rsidRDefault="00017F88" w:rsidP="00017F88">
      <w:pPr>
        <w:jc w:val="center"/>
        <w:rPr>
          <w:rFonts w:ascii="Verdana" w:hAnsi="Verdana"/>
          <w:sz w:val="22"/>
          <w:szCs w:val="22"/>
        </w:rPr>
      </w:pPr>
      <w:r w:rsidRPr="00017F88">
        <w:rPr>
          <w:rFonts w:ascii="Verdana" w:hAnsi="Verdana"/>
          <w:b/>
          <w:bCs/>
          <w:sz w:val="22"/>
          <w:szCs w:val="22"/>
        </w:rPr>
        <w:t>CONCEPTO 37 DE 2020</w:t>
      </w:r>
    </w:p>
    <w:p w14:paraId="0D9BEC96" w14:textId="77777777" w:rsidR="00017F88" w:rsidRPr="00017F88" w:rsidRDefault="00017F88" w:rsidP="00017F88">
      <w:pPr>
        <w:jc w:val="center"/>
        <w:rPr>
          <w:rFonts w:ascii="Verdana" w:hAnsi="Verdana"/>
          <w:sz w:val="22"/>
          <w:szCs w:val="22"/>
        </w:rPr>
      </w:pPr>
      <w:r w:rsidRPr="00017F88">
        <w:rPr>
          <w:rFonts w:ascii="Verdana" w:hAnsi="Verdana"/>
          <w:sz w:val="22"/>
          <w:szCs w:val="22"/>
        </w:rPr>
        <w:t>(diciembre 22)</w:t>
      </w:r>
    </w:p>
    <w:p w14:paraId="0E9214D0" w14:textId="77777777" w:rsidR="00017F88" w:rsidRDefault="00017F88" w:rsidP="00017F88">
      <w:pPr>
        <w:jc w:val="center"/>
        <w:rPr>
          <w:rFonts w:ascii="Verdana" w:hAnsi="Verdana"/>
          <w:b/>
          <w:bCs/>
          <w:sz w:val="22"/>
          <w:szCs w:val="22"/>
        </w:rPr>
      </w:pPr>
      <w:r w:rsidRPr="00017F88">
        <w:rPr>
          <w:rFonts w:ascii="Verdana" w:hAnsi="Verdana"/>
          <w:b/>
          <w:bCs/>
          <w:sz w:val="22"/>
          <w:szCs w:val="22"/>
        </w:rPr>
        <w:t>INSTITUTO COLOMBIANO DE BIENESTAR FAMILIAR</w:t>
      </w:r>
    </w:p>
    <w:p w14:paraId="4F0BB952" w14:textId="77777777" w:rsidR="00017F88" w:rsidRPr="00017F88" w:rsidRDefault="00017F88" w:rsidP="00017F88">
      <w:pPr>
        <w:jc w:val="center"/>
        <w:rPr>
          <w:rFonts w:ascii="Verdana" w:hAnsi="Verdana"/>
          <w:sz w:val="22"/>
          <w:szCs w:val="22"/>
        </w:rPr>
      </w:pPr>
    </w:p>
    <w:p w14:paraId="15353B8B"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ASUNTO:</w:t>
      </w:r>
      <w:r w:rsidRPr="00017F88">
        <w:rPr>
          <w:rFonts w:ascii="Verdana" w:hAnsi="Verdana"/>
          <w:sz w:val="22"/>
          <w:szCs w:val="22"/>
        </w:rPr>
        <w:t> Su solicitud de concepto sobre licencia de funcionamiento Cruz Roja Colombiana</w:t>
      </w:r>
    </w:p>
    <w:p w14:paraId="3639FE04" w14:textId="141785BC" w:rsidR="00017F88" w:rsidRPr="00017F88" w:rsidRDefault="00017F88" w:rsidP="00017F88">
      <w:pPr>
        <w:jc w:val="both"/>
        <w:rPr>
          <w:rFonts w:ascii="Verdana" w:hAnsi="Verdana"/>
          <w:sz w:val="22"/>
          <w:szCs w:val="22"/>
        </w:rPr>
      </w:pPr>
      <w:r w:rsidRPr="00017F88">
        <w:rPr>
          <w:rFonts w:ascii="Verdana" w:hAnsi="Verdana"/>
          <w:sz w:val="22"/>
          <w:szCs w:val="22"/>
        </w:rPr>
        <w:t>De manera atenta, en relación con el asunto de la referencia, en los términos previstos en el artículo 26 del Código Civil, la Ley 1755 de 2015 y el artículo 6, numeral 4, del Decreto 987 de 2012, se da respuesta, en los términos que siguen:</w:t>
      </w:r>
    </w:p>
    <w:p w14:paraId="69D2B3F8"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I. PROBLEMA JURÍDICO</w:t>
      </w:r>
    </w:p>
    <w:p w14:paraId="534F2D19" w14:textId="77777777" w:rsidR="00017F88" w:rsidRPr="00017F88" w:rsidRDefault="00017F88" w:rsidP="00017F88">
      <w:pPr>
        <w:jc w:val="both"/>
        <w:rPr>
          <w:rFonts w:ascii="Verdana" w:hAnsi="Verdana"/>
          <w:sz w:val="22"/>
          <w:szCs w:val="22"/>
        </w:rPr>
      </w:pPr>
      <w:r w:rsidRPr="00017F88">
        <w:rPr>
          <w:rFonts w:ascii="Verdana" w:hAnsi="Verdana"/>
          <w:i/>
          <w:iCs/>
          <w:sz w:val="22"/>
          <w:szCs w:val="22"/>
        </w:rPr>
        <w:t>¿La Cruz Roja Colombiana requiere de licencia de funcionamiento y de personería jurídica otorgada por el ICBF, para operar en el Sistema de Responsabilidad Penal para adolescentes?</w:t>
      </w:r>
    </w:p>
    <w:p w14:paraId="1F820987"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II. ANÁLISIS DE LOS PROBLEMAS JURÍDICOS</w:t>
      </w:r>
    </w:p>
    <w:p w14:paraId="5AB433AB" w14:textId="77777777" w:rsidR="00017F88" w:rsidRPr="00017F88" w:rsidRDefault="00017F88" w:rsidP="00017F88">
      <w:pPr>
        <w:jc w:val="both"/>
        <w:rPr>
          <w:rFonts w:ascii="Verdana" w:hAnsi="Verdana"/>
          <w:sz w:val="22"/>
          <w:szCs w:val="22"/>
        </w:rPr>
      </w:pPr>
      <w:r w:rsidRPr="00017F88">
        <w:rPr>
          <w:rFonts w:ascii="Verdana" w:hAnsi="Verdana"/>
          <w:sz w:val="22"/>
          <w:szCs w:val="22"/>
        </w:rPr>
        <w:t>Para dar respuesta al problema jurídico se abordará el asunto analizando los siguientes temas: </w:t>
      </w:r>
      <w:bookmarkStart w:id="0" w:name="_Hlk48664834"/>
      <w:r w:rsidRPr="00017F88">
        <w:rPr>
          <w:rFonts w:ascii="Verdana" w:hAnsi="Verdana"/>
          <w:sz w:val="22"/>
          <w:szCs w:val="22"/>
        </w:rPr>
        <w:t>2.1. Competencia del ICBF en la expedición de licencias de funcionamiento y personerías jurídicas a las personas que pretenden prestar servicios de protección a los niños, las niñas y los adolescentes. 2.2. Exigencia de la Licencia de Funcionamiento para contratar a los operadores de protección del ICBF. 2.3. Otorgamiento de la personería jurídica por parte del ICBF y 2.4. La Sociedad Nacional de la Cruz Roja Colombiana (SNCC).</w:t>
      </w:r>
    </w:p>
    <w:p w14:paraId="4E2F06BB"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2.1 Competencia del ICBF en la expedición de licencias de funcionamiento y personerías jurídicas a los operadores</w:t>
      </w:r>
    </w:p>
    <w:p w14:paraId="7D220514" w14:textId="2E070374" w:rsidR="00017F88" w:rsidRPr="00017F88" w:rsidRDefault="00017F88" w:rsidP="00017F88">
      <w:pPr>
        <w:jc w:val="both"/>
        <w:rPr>
          <w:rFonts w:ascii="Verdana" w:hAnsi="Verdana"/>
          <w:sz w:val="22"/>
          <w:szCs w:val="22"/>
        </w:rPr>
      </w:pPr>
      <w:r w:rsidRPr="00017F88">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las niñas y los adolescentes y garantizarles sus derechos.</w:t>
      </w:r>
    </w:p>
    <w:p w14:paraId="1D29C59B" w14:textId="47F6E26D" w:rsidR="00017F88" w:rsidRPr="00017F88" w:rsidRDefault="00017F88" w:rsidP="00017F88">
      <w:pPr>
        <w:jc w:val="both"/>
        <w:rPr>
          <w:rFonts w:ascii="Verdana" w:hAnsi="Verdana"/>
          <w:sz w:val="22"/>
          <w:szCs w:val="22"/>
        </w:rPr>
      </w:pPr>
      <w:r w:rsidRPr="00017F88">
        <w:rPr>
          <w:rFonts w:ascii="Verdana" w:hAnsi="Verdana"/>
          <w:sz w:val="22"/>
          <w:szCs w:val="22"/>
        </w:rPr>
        <w:t>El artículo 21 de la Ley 7</w:t>
      </w:r>
      <w:r w:rsidRPr="00017F88">
        <w:rPr>
          <w:rFonts w:ascii="Verdana" w:hAnsi="Verdana"/>
          <w:sz w:val="22"/>
          <w:szCs w:val="22"/>
          <w:vertAlign w:val="subscript"/>
        </w:rPr>
        <w:t> </w:t>
      </w:r>
      <w:r w:rsidRPr="00017F88">
        <w:rPr>
          <w:rFonts w:ascii="Verdana" w:hAnsi="Verdana"/>
          <w:sz w:val="22"/>
          <w:szCs w:val="22"/>
        </w:rPr>
        <w:t>de 1979</w:t>
      </w:r>
      <w:r w:rsidRPr="00017F88">
        <w:rPr>
          <w:rFonts w:ascii="Verdana" w:hAnsi="Verdana"/>
          <w:b/>
          <w:bCs/>
          <w:sz w:val="22"/>
          <w:szCs w:val="22"/>
          <w:vertAlign w:val="superscript"/>
        </w:rPr>
        <w:t>(1)</w:t>
      </w:r>
      <w:r w:rsidRPr="00017F88">
        <w:rPr>
          <w:rFonts w:ascii="Verdana" w:hAnsi="Verdana"/>
          <w:sz w:val="22"/>
          <w:szCs w:val="22"/>
        </w:rPr>
        <w:t>, al señalar las funciones asignadas al ICBF, incluyó en el numeral 6 la de asistir al presidente de la República </w:t>
      </w:r>
      <w:r w:rsidRPr="00017F88">
        <w:rPr>
          <w:rFonts w:ascii="Verdana" w:hAnsi="Verdana"/>
          <w:i/>
          <w:iCs/>
          <w:sz w:val="22"/>
          <w:szCs w:val="22"/>
        </w:rPr>
        <w:t>“en la inspección y vigilancia sobre las instituciones de utilidad común que tengan como objetivo la protección de la familia, los niños, las niñas y los adolescentes.</w:t>
      </w:r>
      <w:r w:rsidRPr="00017F88">
        <w:rPr>
          <w:rFonts w:ascii="Verdana" w:hAnsi="Verdana"/>
          <w:sz w:val="22"/>
          <w:szCs w:val="22"/>
        </w:rPr>
        <w:t> Dicha función fue fortalecida en el artículo 16 de la Ley 1098 de 2006 al señalar que: </w:t>
      </w:r>
      <w:r w:rsidRPr="00017F88">
        <w:rPr>
          <w:rFonts w:ascii="Verdana" w:hAnsi="Verdana"/>
          <w:i/>
          <w:iCs/>
          <w:sz w:val="22"/>
          <w:szCs w:val="22"/>
        </w:rPr>
        <w:t xml:space="preserve">“todas las personas naturales o jurídicas, con personería jurídica expedida </w:t>
      </w:r>
      <w:r w:rsidRPr="00017F88">
        <w:rPr>
          <w:rFonts w:ascii="Verdana" w:hAnsi="Verdana"/>
          <w:i/>
          <w:iCs/>
          <w:sz w:val="22"/>
          <w:szCs w:val="22"/>
        </w:rPr>
        <w:lastRenderedPageBreak/>
        <w:t>por el Instituto Colombiano de Bienestar Familiar o sin ella, que aún con autorización de los padres o representantes legales alberguen o cuiden a los niños, niñas y adolescentes son sujetos de la vigilancia del Estado".</w:t>
      </w:r>
    </w:p>
    <w:p w14:paraId="668E902A" w14:textId="60E03C68" w:rsidR="00017F88" w:rsidRPr="00017F88" w:rsidRDefault="00017F88" w:rsidP="00017F88">
      <w:pPr>
        <w:jc w:val="both"/>
        <w:rPr>
          <w:rFonts w:ascii="Verdana" w:hAnsi="Verdana"/>
          <w:sz w:val="22"/>
          <w:szCs w:val="22"/>
        </w:rPr>
      </w:pPr>
      <w:r w:rsidRPr="00017F88">
        <w:rPr>
          <w:rFonts w:ascii="Verdana" w:hAnsi="Verdana"/>
          <w:sz w:val="22"/>
          <w:szCs w:val="22"/>
        </w:rPr>
        <w:t>En cumplimiento de lo anterior el numeral 8 del artículo 21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063D98B1" w14:textId="7AA78CB5" w:rsidR="00017F88" w:rsidRPr="00017F88" w:rsidRDefault="00017F88" w:rsidP="00017F88">
      <w:pPr>
        <w:jc w:val="both"/>
        <w:rPr>
          <w:rFonts w:ascii="Verdana" w:hAnsi="Verdana"/>
          <w:sz w:val="22"/>
          <w:szCs w:val="22"/>
        </w:rPr>
      </w:pPr>
      <w:r w:rsidRPr="00017F88">
        <w:rPr>
          <w:rFonts w:ascii="Verdana" w:hAnsi="Verdana"/>
          <w:sz w:val="22"/>
          <w:szCs w:val="22"/>
        </w:rPr>
        <w:t>Igualmente, el Decreto 276 de 1988</w:t>
      </w:r>
      <w:r w:rsidRPr="00017F88">
        <w:rPr>
          <w:rFonts w:ascii="Verdana" w:hAnsi="Verdana"/>
          <w:b/>
          <w:bCs/>
          <w:sz w:val="22"/>
          <w:szCs w:val="22"/>
          <w:vertAlign w:val="superscript"/>
        </w:rPr>
        <w:t>(2)</w:t>
      </w:r>
      <w:r w:rsidRPr="00017F88">
        <w:rPr>
          <w:rFonts w:ascii="Verdana" w:hAnsi="Verdana"/>
          <w:sz w:val="22"/>
          <w:szCs w:val="22"/>
        </w:rPr>
        <w:t>, estableció en su artículo 2 como una de las funciones del ICBF </w:t>
      </w:r>
      <w:r w:rsidRPr="00017F88">
        <w:rPr>
          <w:rFonts w:ascii="Verdana" w:hAnsi="Verdana"/>
          <w:i/>
          <w:iCs/>
          <w:sz w:val="22"/>
          <w:szCs w:val="22"/>
        </w:rPr>
        <w:t>(…) n) Otorgar, conceder y suspender, personerías jurídicas y licencias de funcionamiento a las Instituciones de utilidad común, que presten el servicio de Bienestar Familiar.</w:t>
      </w:r>
    </w:p>
    <w:p w14:paraId="04177454" w14:textId="77777777" w:rsidR="00017F88" w:rsidRPr="00017F88" w:rsidRDefault="00017F88" w:rsidP="00017F88">
      <w:pPr>
        <w:jc w:val="both"/>
        <w:rPr>
          <w:rFonts w:ascii="Verdana" w:hAnsi="Verdana"/>
          <w:sz w:val="22"/>
          <w:szCs w:val="22"/>
        </w:rPr>
      </w:pPr>
      <w:r w:rsidRPr="00017F88">
        <w:rPr>
          <w:rFonts w:ascii="Verdana" w:hAnsi="Verdana"/>
          <w:sz w:val="22"/>
          <w:szCs w:val="22"/>
        </w:rPr>
        <w:t xml:space="preserve">Así las cosas, de acuerdo con la normatividad vigente, el Instituto colombiano de Bienestar Familiar, con el fin de desarrollar el objeto para el que fue creado, cuenta con las competencias para otorgar las </w:t>
      </w:r>
      <w:proofErr w:type="gramStart"/>
      <w:r w:rsidRPr="00017F88">
        <w:rPr>
          <w:rFonts w:ascii="Verdana" w:hAnsi="Verdana"/>
          <w:sz w:val="22"/>
          <w:szCs w:val="22"/>
        </w:rPr>
        <w:t>personería jurídicas</w:t>
      </w:r>
      <w:proofErr w:type="gramEnd"/>
      <w:r w:rsidRPr="00017F88">
        <w:rPr>
          <w:rFonts w:ascii="Verdana" w:hAnsi="Verdana"/>
          <w:sz w:val="22"/>
          <w:szCs w:val="22"/>
        </w:rPr>
        <w:t xml:space="preserve"> y las licencias de funcionamiento a quienes pretendan hacer parte del Sistema Nacional de Bienestar Familiar.</w:t>
      </w:r>
    </w:p>
    <w:p w14:paraId="12D66C92" w14:textId="77777777" w:rsidR="00017F88" w:rsidRPr="00017F88" w:rsidRDefault="00017F88" w:rsidP="00017F88">
      <w:pPr>
        <w:jc w:val="both"/>
        <w:rPr>
          <w:rFonts w:ascii="Verdana" w:hAnsi="Verdana"/>
          <w:sz w:val="22"/>
          <w:szCs w:val="22"/>
        </w:rPr>
      </w:pPr>
      <w:r w:rsidRPr="00017F88">
        <w:rPr>
          <w:rFonts w:ascii="Verdana" w:hAnsi="Verdana"/>
          <w:b/>
          <w:bCs/>
          <w:sz w:val="22"/>
          <w:szCs w:val="22"/>
          <w:u w:val="single"/>
        </w:rPr>
        <w:t>2.2. Exigencia de la Licencia de funcionamiento para contratar a los operadores de los servicios misionales del ICBF</w:t>
      </w:r>
    </w:p>
    <w:p w14:paraId="470FDD67" w14:textId="77777777" w:rsidR="00017F88" w:rsidRPr="00017F88" w:rsidRDefault="00017F88" w:rsidP="00017F88">
      <w:pPr>
        <w:jc w:val="both"/>
        <w:rPr>
          <w:rFonts w:ascii="Verdana" w:hAnsi="Verdana"/>
          <w:sz w:val="22"/>
          <w:szCs w:val="22"/>
        </w:rPr>
      </w:pPr>
      <w:r w:rsidRPr="00017F88">
        <w:rPr>
          <w:rFonts w:ascii="Verdana" w:hAnsi="Verdana"/>
          <w:sz w:val="22"/>
          <w:szCs w:val="22"/>
        </w:rPr>
        <w:t xml:space="preserve">El ICBF mediante la Resolución </w:t>
      </w:r>
      <w:proofErr w:type="spellStart"/>
      <w:r w:rsidRPr="00017F88">
        <w:rPr>
          <w:rFonts w:ascii="Verdana" w:hAnsi="Verdana"/>
          <w:sz w:val="22"/>
          <w:szCs w:val="22"/>
        </w:rPr>
        <w:t>N°</w:t>
      </w:r>
      <w:proofErr w:type="spellEnd"/>
      <w:r w:rsidRPr="00017F88">
        <w:rPr>
          <w:rFonts w:ascii="Verdana" w:hAnsi="Verdana"/>
          <w:sz w:val="22"/>
          <w:szCs w:val="22"/>
        </w:rPr>
        <w:t xml:space="preserve"> 3899 de 2010 y las resoluciones que la modifican, ha establecido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las niñas, los adolescentes y a sus familias.</w:t>
      </w:r>
    </w:p>
    <w:p w14:paraId="46AD9361" w14:textId="77777777" w:rsidR="00017F88" w:rsidRPr="00017F88" w:rsidRDefault="00017F88" w:rsidP="00017F88">
      <w:pPr>
        <w:jc w:val="both"/>
        <w:rPr>
          <w:rFonts w:ascii="Verdana" w:hAnsi="Verdana"/>
          <w:sz w:val="22"/>
          <w:szCs w:val="22"/>
        </w:rPr>
      </w:pPr>
      <w:r w:rsidRPr="00017F88">
        <w:rPr>
          <w:rFonts w:ascii="Verdana" w:hAnsi="Verdana"/>
          <w:sz w:val="22"/>
          <w:szCs w:val="22"/>
        </w:rPr>
        <w:t>El artículo 2 de la citada resolución, dispone que sus disposiciones se aplican a "(...) las personas jurídicas nacionales o internacionales que presten servicios de protección integral dirigidos a niños, 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0BFBDDB6" w14:textId="17E1C70C" w:rsidR="00017F88" w:rsidRPr="00017F88" w:rsidRDefault="00017F88" w:rsidP="00017F88">
      <w:pPr>
        <w:jc w:val="both"/>
        <w:rPr>
          <w:rFonts w:ascii="Verdana" w:hAnsi="Verdana"/>
          <w:sz w:val="22"/>
          <w:szCs w:val="22"/>
        </w:rPr>
      </w:pPr>
      <w:r w:rsidRPr="00017F88">
        <w:rPr>
          <w:rFonts w:ascii="Verdana" w:hAnsi="Verdana"/>
          <w:sz w:val="22"/>
          <w:szCs w:val="22"/>
        </w:rPr>
        <w:t>A su vez el artículo 12 de la misma, establece que para prestar servicios de protección integral a los niños las niñas, los adolescentes y a sus familias, toda persona jurídica requiere de la correspondiente licencia de funcionamiento otorgada por el ICBF.</w:t>
      </w:r>
    </w:p>
    <w:p w14:paraId="5875510E" w14:textId="77777777" w:rsidR="00017F88" w:rsidRPr="00017F88" w:rsidRDefault="00017F88" w:rsidP="00017F88">
      <w:pPr>
        <w:jc w:val="both"/>
        <w:rPr>
          <w:rFonts w:ascii="Verdana" w:hAnsi="Verdana"/>
          <w:sz w:val="22"/>
          <w:szCs w:val="22"/>
        </w:rPr>
      </w:pPr>
      <w:r w:rsidRPr="00017F88">
        <w:rPr>
          <w:rFonts w:ascii="Verdana" w:hAnsi="Verdana"/>
          <w:sz w:val="22"/>
          <w:szCs w:val="22"/>
        </w:rPr>
        <w:lastRenderedPageBreak/>
        <w:t>Para la obtención de la licencia de funcionamiento, será necesario acreditar mediante la solicitud suscrita por el representante legal ante la Subdirección General, la Oficina de Aseguramiento a la Calidad o la Dirección Regional, según sea el caso, los requisitos legales, técnico-administrativos y financieros comunes y de carácter específico, dependiendo de cada programa o modalidad para el Sistema de Responsabilidad Penal y en conflicto con la ley, adicionalmente se exige que las modalidades y poblaciones estén de acuerdo con los lineamientos vigentes o con aquellos que la modifique, sustituyan o adicionen</w:t>
      </w:r>
      <w:bookmarkStart w:id="1" w:name="NF1"/>
    </w:p>
    <w:p w14:paraId="27B359EF" w14:textId="77777777" w:rsidR="00017F88" w:rsidRPr="00017F88" w:rsidRDefault="00017F88" w:rsidP="00017F88">
      <w:pPr>
        <w:jc w:val="both"/>
        <w:rPr>
          <w:rFonts w:ascii="Verdana" w:hAnsi="Verdana"/>
          <w:sz w:val="22"/>
          <w:szCs w:val="22"/>
        </w:rPr>
      </w:pPr>
      <w:r w:rsidRPr="00017F88">
        <w:rPr>
          <w:rFonts w:ascii="Verdana" w:hAnsi="Verdana"/>
          <w:sz w:val="22"/>
          <w:szCs w:val="22"/>
        </w:rPr>
        <w:t>Quiere decir lo anterior que todas las instituciones del Sistema Nacional de Bienestar Familiar que presten servicios de protección integral a los niños, niñas y adolescentes deberán contar con licencia de funcionamiento expedida por el ICBF.</w:t>
      </w:r>
    </w:p>
    <w:p w14:paraId="268DE31E"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2.3. Otorgamiento de la personería jurídica por parte del ICBF</w:t>
      </w:r>
    </w:p>
    <w:p w14:paraId="2C4EBFB4"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El Decreto 2388 de 1979 en sus artículos 8y 27establece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641D3301"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Por su parte, la Resolución No. 3899 del 8 de septiembre de 2010 y sus modificaciones, en su artículo 7 establece los requisitos que se deben tener en cuenta para el otorgamiento o reconocimiento de la personería jurídica por el ICBF, específicamente en lo relacionado a contar la persona jurídica con estatutos vigentes y en los cuales se incluya dentro de su objeto social una enunciación clara y completa de las actividades principales incluyendo el desarrollo de los programas y proyectos de protección integral para niños, niñas, adolescentes y sus familias.</w:t>
      </w:r>
    </w:p>
    <w:p w14:paraId="4F3AACAA"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La Ley contempla unas excepciones para el reconocimiento de personería jurídica por parte del ICBF, así:</w:t>
      </w:r>
    </w:p>
    <w:p w14:paraId="18FEE6E7"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(i) Dentro de la transición de la derogatoria del Decreto 427 de 1996 y la vigencia del Decreto 1422 de 1996, durante el periodo del 5 de marzo de 1996 al 14 de agosto de 1996, se registraron en las cámaras de comercio, instituciones de utilidad común o sin ánimo de lucro, sin que existiera de por medio técnicamente el otorgamiento o reconocimiento de personería jurídica, motivo por el cual a estas instituciones no se les exige este requisito.</w:t>
      </w:r>
    </w:p>
    <w:p w14:paraId="05ECEA0A" w14:textId="77777777" w:rsidR="00017F88" w:rsidRPr="00017F88" w:rsidRDefault="00017F88" w:rsidP="00017F88">
      <w:pPr>
        <w:jc w:val="both"/>
        <w:rPr>
          <w:rFonts w:ascii="Verdana" w:hAnsi="Verdana"/>
          <w:sz w:val="22"/>
          <w:szCs w:val="22"/>
        </w:rPr>
      </w:pPr>
      <w:r w:rsidRPr="00017F88">
        <w:rPr>
          <w:rFonts w:ascii="Verdana" w:hAnsi="Verdana"/>
          <w:sz w:val="22"/>
          <w:szCs w:val="22"/>
        </w:rPr>
        <w:lastRenderedPageBreak/>
        <w:t>(</w:t>
      </w:r>
      <w:proofErr w:type="spellStart"/>
      <w:r w:rsidRPr="00017F88">
        <w:rPr>
          <w:rFonts w:ascii="Verdana" w:hAnsi="Verdana"/>
          <w:sz w:val="22"/>
          <w:szCs w:val="22"/>
        </w:rPr>
        <w:t>iii</w:t>
      </w:r>
      <w:proofErr w:type="spellEnd"/>
      <w:r w:rsidRPr="00017F88">
        <w:rPr>
          <w:rFonts w:ascii="Verdana" w:hAnsi="Verdana"/>
          <w:sz w:val="22"/>
          <w:szCs w:val="22"/>
        </w:rPr>
        <w:t>) Finalmente, las personerías, jurídicas que les fueron reconocidas a las instituciones por Ministerios y entes territoriales con anterioridad al Decreto 2150 de 199</w:t>
      </w:r>
      <w:bookmarkStart w:id="2" w:name="NF2"/>
      <w:r w:rsidRPr="00017F88">
        <w:rPr>
          <w:rFonts w:ascii="Verdana" w:hAnsi="Verdana"/>
          <w:sz w:val="22"/>
          <w:szCs w:val="22"/>
        </w:rPr>
        <w:t>, son jurídicamente válidas.</w:t>
      </w:r>
    </w:p>
    <w:p w14:paraId="6CDB24FF" w14:textId="77777777" w:rsidR="00017F88" w:rsidRPr="00017F88" w:rsidRDefault="00017F88" w:rsidP="00017F88">
      <w:pPr>
        <w:jc w:val="both"/>
        <w:rPr>
          <w:rFonts w:ascii="Verdana" w:hAnsi="Verdana"/>
          <w:sz w:val="22"/>
          <w:szCs w:val="22"/>
        </w:rPr>
      </w:pPr>
      <w:r w:rsidRPr="00017F88">
        <w:rPr>
          <w:rFonts w:ascii="Verdana" w:hAnsi="Verdana"/>
          <w:b/>
          <w:bCs/>
          <w:sz w:val="22"/>
          <w:szCs w:val="22"/>
          <w:u w:val="single"/>
        </w:rPr>
        <w:t xml:space="preserve">2.4. La Sociedad Nacional de la Cruz Roja Colombiana </w:t>
      </w:r>
      <w:proofErr w:type="gramStart"/>
      <w:r w:rsidRPr="00017F88">
        <w:rPr>
          <w:rFonts w:ascii="Verdana" w:hAnsi="Verdana"/>
          <w:b/>
          <w:bCs/>
          <w:sz w:val="22"/>
          <w:szCs w:val="22"/>
          <w:u w:val="single"/>
        </w:rPr>
        <w:t>( SNCRC</w:t>
      </w:r>
      <w:proofErr w:type="gramEnd"/>
      <w:r w:rsidRPr="00017F88">
        <w:rPr>
          <w:rFonts w:ascii="Verdana" w:hAnsi="Verdana"/>
          <w:b/>
          <w:bCs/>
          <w:sz w:val="22"/>
          <w:szCs w:val="22"/>
          <w:u w:val="single"/>
        </w:rPr>
        <w:t>)</w:t>
      </w:r>
      <w:bookmarkEnd w:id="0"/>
    </w:p>
    <w:p w14:paraId="2E2740A6" w14:textId="77777777" w:rsidR="00017F88" w:rsidRPr="00017F88" w:rsidRDefault="00017F88" w:rsidP="00017F88">
      <w:pPr>
        <w:jc w:val="both"/>
        <w:rPr>
          <w:rFonts w:ascii="Verdana" w:hAnsi="Verdana"/>
          <w:sz w:val="22"/>
          <w:szCs w:val="22"/>
        </w:rPr>
      </w:pPr>
      <w:r w:rsidRPr="00017F88">
        <w:rPr>
          <w:rFonts w:ascii="Verdana" w:hAnsi="Verdana"/>
          <w:sz w:val="22"/>
          <w:szCs w:val="22"/>
        </w:rPr>
        <w:t>La Sociedad Nacional de la Cruz Roja Colombiana, es una persona jurídica de derecho privado que por su naturaleza jurídica y objetivos es una institución de utilidad común, sin ánimo de lucro, con patrimonio propio e independiente. Está organizada mediante un sistema federal, y constituida de acuerdo con las Leyes de la República de Colombia, con fundamento en los tratados internacionales que reconocen al movimiento internacional de la Cruz Roja y de la media Luna roja como entidad de Derecho Internacional, a los cuales se ha adherido el Estado Colombiano.</w:t>
      </w:r>
    </w:p>
    <w:p w14:paraId="32E7FD71" w14:textId="77777777" w:rsidR="00017F88" w:rsidRPr="00017F88" w:rsidRDefault="00017F88" w:rsidP="00017F88">
      <w:pPr>
        <w:jc w:val="both"/>
        <w:rPr>
          <w:rFonts w:ascii="Verdana" w:hAnsi="Verdana"/>
          <w:sz w:val="22"/>
          <w:szCs w:val="22"/>
        </w:rPr>
      </w:pPr>
      <w:r w:rsidRPr="00017F88">
        <w:rPr>
          <w:rFonts w:ascii="Verdana" w:hAnsi="Verdana"/>
          <w:sz w:val="22"/>
          <w:szCs w:val="22"/>
        </w:rPr>
        <w:t>La Sociedad Nacional de la Cruz Roja Colombiana fue fundada en 1915, reconocida en 1916 por parte del Gobierno de Colombia, quien le confirió personería jurídica mediante las Resoluciones del 22 de febrero de 1916 y noviembre 6 de 1928, emanadas del Ministerio de Gobierno.</w:t>
      </w:r>
    </w:p>
    <w:p w14:paraId="08F2A96D" w14:textId="7EA2076E" w:rsidR="00017F88" w:rsidRPr="00017F88" w:rsidRDefault="00017F88" w:rsidP="00017F88">
      <w:pPr>
        <w:jc w:val="both"/>
        <w:rPr>
          <w:rFonts w:ascii="Verdana" w:hAnsi="Verdana"/>
          <w:sz w:val="22"/>
          <w:szCs w:val="22"/>
        </w:rPr>
      </w:pPr>
      <w:r w:rsidRPr="00017F88">
        <w:rPr>
          <w:rFonts w:ascii="Verdana" w:hAnsi="Verdana"/>
          <w:sz w:val="22"/>
          <w:szCs w:val="22"/>
        </w:rPr>
        <w:t>Posteriormente mediante la Ley 142 de 1937&lt;sic, es 1994&gt;, se confirmó el reconocimiento hecho por el poder ejecutivo en la Sociedad Nacional de la Cruz Roja como institución de asistencia pública y como auxiliar del Ejército de Colombia.</w:t>
      </w:r>
    </w:p>
    <w:p w14:paraId="605A781D" w14:textId="4A74D4C6" w:rsidR="00017F88" w:rsidRPr="00017F88" w:rsidRDefault="00017F88" w:rsidP="00017F88">
      <w:pPr>
        <w:jc w:val="both"/>
        <w:rPr>
          <w:rFonts w:ascii="Verdana" w:hAnsi="Verdana"/>
          <w:sz w:val="22"/>
          <w:szCs w:val="22"/>
        </w:rPr>
      </w:pPr>
      <w:r w:rsidRPr="00017F88">
        <w:rPr>
          <w:rFonts w:ascii="Verdana" w:hAnsi="Verdana"/>
          <w:sz w:val="22"/>
          <w:szCs w:val="22"/>
        </w:rPr>
        <w:t xml:space="preserve">Así las cosas y a pesar de la independencia y autonomía para actuar </w:t>
      </w:r>
      <w:proofErr w:type="gramStart"/>
      <w:r w:rsidRPr="00017F88">
        <w:rPr>
          <w:rFonts w:ascii="Verdana" w:hAnsi="Verdana"/>
          <w:sz w:val="22"/>
          <w:szCs w:val="22"/>
        </w:rPr>
        <w:t>de acuerdo a</w:t>
      </w:r>
      <w:proofErr w:type="gramEnd"/>
      <w:r w:rsidRPr="00017F88">
        <w:rPr>
          <w:rFonts w:ascii="Verdana" w:hAnsi="Verdana"/>
          <w:sz w:val="22"/>
          <w:szCs w:val="22"/>
        </w:rPr>
        <w:t xml:space="preserve"> sus principios en el territorio nacional de que goza la Cruz Roja, se encuentra sometida a </w:t>
      </w:r>
      <w:r w:rsidRPr="00017F88">
        <w:rPr>
          <w:rFonts w:ascii="Verdana" w:hAnsi="Verdana"/>
          <w:sz w:val="22"/>
          <w:szCs w:val="22"/>
        </w:rPr>
        <w:t>las leyes</w:t>
      </w:r>
      <w:r w:rsidRPr="00017F88">
        <w:rPr>
          <w:rFonts w:ascii="Verdana" w:hAnsi="Verdana"/>
          <w:sz w:val="22"/>
          <w:szCs w:val="22"/>
        </w:rPr>
        <w:t xml:space="preserve"> que rigen a Colombia, por lo </w:t>
      </w:r>
      <w:r w:rsidRPr="00017F88">
        <w:rPr>
          <w:rFonts w:ascii="Verdana" w:hAnsi="Verdana"/>
          <w:sz w:val="22"/>
          <w:szCs w:val="22"/>
        </w:rPr>
        <w:t>que,</w:t>
      </w:r>
      <w:r w:rsidRPr="00017F88">
        <w:rPr>
          <w:rFonts w:ascii="Verdana" w:hAnsi="Verdana"/>
          <w:sz w:val="22"/>
          <w:szCs w:val="22"/>
        </w:rPr>
        <w:t xml:space="preserve"> si va a suscribir contrato de aporte con el ICBF para prestar servicios en el SRPA, deberá contar con licencia de funcionamiento y cumplir con los requisitos establecidos para desarrollar la modalidad correspondiente.</w:t>
      </w:r>
    </w:p>
    <w:p w14:paraId="09BECF40" w14:textId="3A4DA8F2" w:rsidR="00017F88" w:rsidRPr="00017F88" w:rsidRDefault="00017F88" w:rsidP="00017F88">
      <w:pPr>
        <w:jc w:val="both"/>
        <w:rPr>
          <w:rFonts w:ascii="Verdana" w:hAnsi="Verdana"/>
          <w:sz w:val="22"/>
          <w:szCs w:val="22"/>
        </w:rPr>
      </w:pPr>
      <w:bookmarkStart w:id="3" w:name="_Hlk58595612"/>
      <w:bookmarkEnd w:id="3"/>
      <w:r w:rsidRPr="00017F88">
        <w:rPr>
          <w:rFonts w:ascii="Verdana" w:hAnsi="Verdana"/>
          <w:sz w:val="22"/>
          <w:szCs w:val="22"/>
        </w:rPr>
        <w:t xml:space="preserve">No </w:t>
      </w:r>
      <w:r w:rsidRPr="00017F88">
        <w:rPr>
          <w:rFonts w:ascii="Verdana" w:hAnsi="Verdana"/>
          <w:sz w:val="22"/>
          <w:szCs w:val="22"/>
        </w:rPr>
        <w:t>obstante,</w:t>
      </w:r>
      <w:r w:rsidRPr="00017F88">
        <w:rPr>
          <w:rFonts w:ascii="Verdana" w:hAnsi="Verdana"/>
          <w:sz w:val="22"/>
          <w:szCs w:val="22"/>
        </w:rPr>
        <w:t xml:space="preserve"> lo anterior, debe aclararse que la Cruz Roja Colombiana, al ser una Entidad con personería jurídica reconocida por el Gobierno Nacional, con anterioridad al Decreto 2150 de 1995, no requiere de reconocimiento de la personería jurídica por parte del ICBF, por encontrarse dentro de las excepciones contempladas por la Le. Sin embargo, se debe verificar que sus estatutos se ajusten a lo exigido en el numeral 2 del artículo 7 de la Resolución No. 3899 de 2010, esto es que en su objeto se indique claramente dentro de su actividad principal el desarrollo de programas y proyectos de protección integral para los niños, niñas y adolescentes.</w:t>
      </w:r>
    </w:p>
    <w:p w14:paraId="78216E23"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III.</w:t>
      </w:r>
      <w:r w:rsidRPr="00017F88">
        <w:rPr>
          <w:rFonts w:ascii="Verdana" w:hAnsi="Verdana"/>
          <w:sz w:val="22"/>
          <w:szCs w:val="22"/>
        </w:rPr>
        <w:t> </w:t>
      </w:r>
      <w:r w:rsidRPr="00017F88">
        <w:rPr>
          <w:rFonts w:ascii="Verdana" w:hAnsi="Verdana"/>
          <w:b/>
          <w:bCs/>
          <w:sz w:val="22"/>
          <w:szCs w:val="22"/>
        </w:rPr>
        <w:t>Conclusiones y respuesta de la consulta</w:t>
      </w:r>
    </w:p>
    <w:p w14:paraId="358B3525" w14:textId="77777777" w:rsidR="00017F88" w:rsidRPr="00017F88" w:rsidRDefault="00017F88" w:rsidP="00017F88">
      <w:pPr>
        <w:jc w:val="both"/>
        <w:rPr>
          <w:rFonts w:ascii="Verdana" w:hAnsi="Verdana"/>
          <w:sz w:val="22"/>
          <w:szCs w:val="22"/>
        </w:rPr>
      </w:pPr>
      <w:r w:rsidRPr="00017F88">
        <w:rPr>
          <w:rFonts w:ascii="Verdana" w:hAnsi="Verdana"/>
          <w:sz w:val="22"/>
          <w:szCs w:val="22"/>
        </w:rPr>
        <w:lastRenderedPageBreak/>
        <w:t>Teniendo en cuenta las consideraciones de orden legal expuestas se puede concluir lo siguiente:</w:t>
      </w:r>
    </w:p>
    <w:p w14:paraId="38828CCE"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Primera</w:t>
      </w:r>
      <w:r w:rsidRPr="00017F88">
        <w:rPr>
          <w:rFonts w:ascii="Verdana" w:hAnsi="Verdana"/>
          <w:sz w:val="22"/>
          <w:szCs w:val="22"/>
        </w:rPr>
        <w:t>: El ICBF con el fin de atender el objeto que le ha sido otorgado por la ley, tiene la competencia y la obligación legal de expedir licencias de funcionamiento y otorgar las respectivas personerías jurídicas a las personas jurídicas que pretendan prestar servicios de protección de los niños, las niñas y los adolescentes.</w:t>
      </w:r>
    </w:p>
    <w:p w14:paraId="036095CE" w14:textId="77777777" w:rsidR="00017F88" w:rsidRPr="00017F88" w:rsidRDefault="00017F88" w:rsidP="00017F88">
      <w:pPr>
        <w:jc w:val="both"/>
        <w:rPr>
          <w:rFonts w:ascii="Verdana" w:hAnsi="Verdana"/>
          <w:sz w:val="22"/>
          <w:szCs w:val="22"/>
        </w:rPr>
      </w:pPr>
      <w:r w:rsidRPr="00017F88">
        <w:rPr>
          <w:rFonts w:ascii="Verdana" w:hAnsi="Verdana"/>
          <w:b/>
          <w:bCs/>
          <w:sz w:val="22"/>
          <w:szCs w:val="22"/>
        </w:rPr>
        <w:t>Segunda.</w:t>
      </w:r>
      <w:r w:rsidRPr="00017F88">
        <w:rPr>
          <w:rFonts w:ascii="Verdana" w:hAnsi="Verdana"/>
          <w:sz w:val="22"/>
          <w:szCs w:val="22"/>
        </w:rPr>
        <w:t> De acuerdo con la normatividad relacionada, en el evento en que la Sociedad Nacional de la Cruz Roja Colombiana, pretenda prestar servicios dentro del Sistema de Responsabilidad Penal para Adolescentes, deberá contar con la correspondiente Licencia de Funcionamiento expedida por el ICBF.</w:t>
      </w:r>
    </w:p>
    <w:p w14:paraId="2B5FA095" w14:textId="1E386E6D" w:rsidR="00017F88" w:rsidRPr="00017F88" w:rsidRDefault="00017F88" w:rsidP="00017F88">
      <w:pPr>
        <w:jc w:val="both"/>
        <w:rPr>
          <w:rFonts w:ascii="Verdana" w:hAnsi="Verdana"/>
          <w:sz w:val="22"/>
          <w:szCs w:val="22"/>
        </w:rPr>
      </w:pPr>
      <w:r w:rsidRPr="00017F88">
        <w:rPr>
          <w:rFonts w:ascii="Verdana" w:hAnsi="Verdana"/>
          <w:b/>
          <w:bCs/>
          <w:sz w:val="22"/>
          <w:szCs w:val="22"/>
        </w:rPr>
        <w:t>Tercer</w:t>
      </w:r>
      <w:r w:rsidRPr="00017F88">
        <w:rPr>
          <w:rFonts w:ascii="Verdana" w:hAnsi="Verdana"/>
          <w:sz w:val="22"/>
          <w:szCs w:val="22"/>
        </w:rPr>
        <w:t>a. La Cruz Roja Colombiana, al ser una entidad con personería jurídica reconocida por el Gobierno Nacional con anterioridad al Decreto 2150 de 1995, no requiere de reconocimiento de la personería jurídica por parte del ICBF, ya que se encuentra dentro de las excepciones contempladas por la Ley. Sin embargo, se debe verificar que sus estatutos se ajusten a lo exigido en el numeral 2 del artículo 7 de la Resolución No. 3899 de 2010.</w:t>
      </w:r>
    </w:p>
    <w:p w14:paraId="0EA03612" w14:textId="489A9866" w:rsidR="00017F88" w:rsidRPr="00017F88" w:rsidRDefault="00017F88" w:rsidP="00017F88">
      <w:pPr>
        <w:jc w:val="both"/>
        <w:rPr>
          <w:rFonts w:ascii="Verdana" w:hAnsi="Verdana"/>
          <w:sz w:val="22"/>
          <w:szCs w:val="22"/>
        </w:rPr>
      </w:pPr>
      <w:r w:rsidRPr="00017F88">
        <w:rPr>
          <w:rFonts w:ascii="Verdana" w:hAnsi="Verdana"/>
          <w:sz w:val="22"/>
          <w:szCs w:val="22"/>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3346FE06" w14:textId="1866F012" w:rsidR="00017F88" w:rsidRPr="00017F88" w:rsidRDefault="00017F88" w:rsidP="00017F88">
      <w:pPr>
        <w:jc w:val="center"/>
        <w:rPr>
          <w:rFonts w:ascii="Verdana" w:hAnsi="Verdana"/>
          <w:sz w:val="22"/>
          <w:szCs w:val="22"/>
        </w:rPr>
      </w:pPr>
      <w:r w:rsidRPr="00017F88">
        <w:rPr>
          <w:rFonts w:ascii="Verdana" w:hAnsi="Verdana"/>
          <w:sz w:val="22"/>
          <w:szCs w:val="22"/>
        </w:rPr>
        <w:t>Atentamente,</w:t>
      </w:r>
    </w:p>
    <w:p w14:paraId="458BE979" w14:textId="38001D31" w:rsidR="00017F88" w:rsidRPr="00017F88" w:rsidRDefault="00017F88" w:rsidP="00017F88">
      <w:pPr>
        <w:jc w:val="center"/>
        <w:rPr>
          <w:rFonts w:ascii="Verdana" w:hAnsi="Verdana"/>
          <w:sz w:val="22"/>
          <w:szCs w:val="22"/>
        </w:rPr>
      </w:pPr>
      <w:r w:rsidRPr="00017F88">
        <w:rPr>
          <w:rFonts w:ascii="Verdana" w:hAnsi="Verdana"/>
          <w:b/>
          <w:bCs/>
          <w:sz w:val="22"/>
          <w:szCs w:val="22"/>
        </w:rPr>
        <w:t>EDGAR LEONARDO BOJACÁ CASTRO</w:t>
      </w:r>
    </w:p>
    <w:p w14:paraId="238890C3" w14:textId="213857A4" w:rsidR="00017F88" w:rsidRDefault="00017F88" w:rsidP="00017F88">
      <w:pPr>
        <w:jc w:val="center"/>
        <w:rPr>
          <w:rFonts w:ascii="Verdana" w:hAnsi="Verdana"/>
          <w:sz w:val="22"/>
          <w:szCs w:val="22"/>
        </w:rPr>
      </w:pPr>
      <w:r w:rsidRPr="00017F88">
        <w:rPr>
          <w:rFonts w:ascii="Verdana" w:hAnsi="Verdana"/>
          <w:sz w:val="22"/>
          <w:szCs w:val="22"/>
        </w:rPr>
        <w:t>JEFE OFICINA ASESORA JURÍDICA</w:t>
      </w:r>
    </w:p>
    <w:p w14:paraId="6FA6B650" w14:textId="77777777" w:rsidR="00017F88" w:rsidRPr="00017F88" w:rsidRDefault="00017F88" w:rsidP="00017F88">
      <w:pPr>
        <w:jc w:val="center"/>
        <w:rPr>
          <w:rFonts w:ascii="Verdana" w:hAnsi="Verdana"/>
          <w:sz w:val="22"/>
          <w:szCs w:val="22"/>
        </w:rPr>
      </w:pPr>
    </w:p>
    <w:p w14:paraId="49265F75" w14:textId="77777777" w:rsidR="00017F88" w:rsidRPr="00017F88" w:rsidRDefault="00017F88" w:rsidP="00017F88">
      <w:pPr>
        <w:jc w:val="center"/>
        <w:rPr>
          <w:rFonts w:ascii="Verdana" w:hAnsi="Verdana"/>
          <w:b/>
          <w:bCs/>
          <w:sz w:val="22"/>
          <w:szCs w:val="22"/>
        </w:rPr>
      </w:pPr>
      <w:bookmarkStart w:id="4" w:name="NF"/>
      <w:r w:rsidRPr="00017F88">
        <w:rPr>
          <w:rFonts w:ascii="Verdana" w:hAnsi="Verdana"/>
          <w:b/>
          <w:bCs/>
          <w:sz w:val="22"/>
          <w:szCs w:val="22"/>
        </w:rPr>
        <w:t>&lt;NOTAS DE PIE DE PÁGINA&gt;</w:t>
      </w:r>
      <w:bookmarkEnd w:id="4"/>
    </w:p>
    <w:bookmarkEnd w:id="1"/>
    <w:p w14:paraId="6028E471" w14:textId="55BC3C37" w:rsidR="00017F88" w:rsidRPr="00017F88" w:rsidRDefault="00017F88" w:rsidP="00017F88">
      <w:pPr>
        <w:pStyle w:val="Prrafodelista"/>
        <w:numPr>
          <w:ilvl w:val="0"/>
          <w:numId w:val="2"/>
        </w:numPr>
        <w:jc w:val="both"/>
        <w:rPr>
          <w:rFonts w:ascii="Verdana" w:hAnsi="Verdana"/>
          <w:b/>
          <w:bCs/>
          <w:sz w:val="22"/>
          <w:szCs w:val="22"/>
        </w:rPr>
      </w:pPr>
      <w:r w:rsidRPr="00017F88">
        <w:rPr>
          <w:rFonts w:ascii="Verdana" w:hAnsi="Verdana"/>
          <w:b/>
          <w:bCs/>
          <w:sz w:val="22"/>
          <w:szCs w:val="22"/>
        </w:rPr>
        <w:t>Por la cual se dictan normas para la protección de la niñez, se establece el Sistema Nacional de Bienestar Familiar, se reorganiza el Instituto Colombiano de Bienestar Familiar y se dictan otras disposiciones.</w:t>
      </w:r>
    </w:p>
    <w:bookmarkEnd w:id="2"/>
    <w:p w14:paraId="1BD0B432" w14:textId="54277721" w:rsidR="00017F88" w:rsidRPr="00017F88" w:rsidRDefault="00017F88" w:rsidP="00017F88">
      <w:pPr>
        <w:pStyle w:val="Prrafodelista"/>
        <w:numPr>
          <w:ilvl w:val="0"/>
          <w:numId w:val="2"/>
        </w:numPr>
        <w:jc w:val="both"/>
        <w:rPr>
          <w:rFonts w:ascii="Verdana" w:hAnsi="Verdana"/>
          <w:b/>
          <w:bCs/>
          <w:sz w:val="22"/>
          <w:szCs w:val="22"/>
        </w:rPr>
      </w:pPr>
      <w:r w:rsidRPr="00017F88">
        <w:rPr>
          <w:rFonts w:ascii="Verdana" w:hAnsi="Verdana"/>
          <w:b/>
          <w:bCs/>
          <w:sz w:val="22"/>
          <w:szCs w:val="22"/>
        </w:rPr>
        <w:lastRenderedPageBreak/>
        <w:t>Por el cual se modifica parcialmente los estatutos del “Instituto Colombiano de Bienestar Familiar”</w:t>
      </w:r>
    </w:p>
    <w:p w14:paraId="309DA048" w14:textId="3E27A1E7" w:rsidR="00017F88" w:rsidRPr="00017F88" w:rsidRDefault="00017F88" w:rsidP="00017F88">
      <w:pPr>
        <w:pStyle w:val="Prrafodelista"/>
        <w:numPr>
          <w:ilvl w:val="0"/>
          <w:numId w:val="2"/>
        </w:numPr>
        <w:jc w:val="both"/>
        <w:rPr>
          <w:rFonts w:ascii="Verdana" w:hAnsi="Verdana"/>
          <w:b/>
          <w:bCs/>
          <w:sz w:val="22"/>
          <w:szCs w:val="22"/>
        </w:rPr>
      </w:pPr>
      <w:r w:rsidRPr="00017F88">
        <w:rPr>
          <w:rFonts w:ascii="Verdana" w:hAnsi="Verdana"/>
          <w:b/>
          <w:bCs/>
          <w:sz w:val="22"/>
          <w:szCs w:val="22"/>
        </w:rPr>
        <w:t>Parágrafo 2 del artículo 12 de la Resolución No. 3899 de 2010</w:t>
      </w:r>
    </w:p>
    <w:p w14:paraId="2A1AB3E3" w14:textId="3227EE62" w:rsidR="00017F88" w:rsidRPr="00017F88" w:rsidRDefault="00017F88" w:rsidP="00017F88">
      <w:pPr>
        <w:pStyle w:val="Prrafodelista"/>
        <w:numPr>
          <w:ilvl w:val="0"/>
          <w:numId w:val="2"/>
        </w:numPr>
        <w:jc w:val="both"/>
        <w:rPr>
          <w:rFonts w:ascii="Verdana" w:hAnsi="Verdana"/>
          <w:b/>
          <w:bCs/>
          <w:sz w:val="22"/>
          <w:szCs w:val="22"/>
        </w:rPr>
      </w:pPr>
      <w:r w:rsidRPr="00017F88">
        <w:rPr>
          <w:rFonts w:ascii="Verdana" w:hAnsi="Verdana"/>
          <w:b/>
          <w:bCs/>
          <w:sz w:val="22"/>
          <w:szCs w:val="22"/>
        </w:rPr>
        <w:t>Por el cual se suprimen y reforman regulaciones, procedimientos o trámites innecesarios existentes en la Administración Pública.</w:t>
      </w:r>
    </w:p>
    <w:p w14:paraId="5D73DB1D" w14:textId="2BC3BC16" w:rsidR="00017F88" w:rsidRPr="00017F88" w:rsidRDefault="00017F88" w:rsidP="00017F88">
      <w:pPr>
        <w:pStyle w:val="Prrafodelista"/>
        <w:numPr>
          <w:ilvl w:val="0"/>
          <w:numId w:val="2"/>
        </w:numPr>
        <w:jc w:val="both"/>
        <w:rPr>
          <w:rFonts w:ascii="Verdana" w:hAnsi="Verdana"/>
          <w:b/>
          <w:bCs/>
          <w:sz w:val="22"/>
          <w:szCs w:val="22"/>
        </w:rPr>
      </w:pPr>
      <w:r w:rsidRPr="00017F88">
        <w:rPr>
          <w:rFonts w:ascii="Verdana" w:hAnsi="Verdana"/>
          <w:b/>
          <w:bCs/>
          <w:sz w:val="22"/>
          <w:szCs w:val="22"/>
        </w:rPr>
        <w:t xml:space="preserve">Conceptos 76 de 2017 y 50 de 2018, Oficina Asesora Jurídica ICBF “…sobre el reconocimiento de la personería jurídica, la ley contempla unas excepciones para dicho trámite, </w:t>
      </w:r>
      <w:proofErr w:type="gramStart"/>
      <w:r w:rsidRPr="00017F88">
        <w:rPr>
          <w:rFonts w:ascii="Verdana" w:hAnsi="Verdana"/>
          <w:b/>
          <w:bCs/>
          <w:sz w:val="22"/>
          <w:szCs w:val="22"/>
        </w:rPr>
        <w:t>así:…</w:t>
      </w:r>
      <w:proofErr w:type="spellStart"/>
      <w:proofErr w:type="gramEnd"/>
      <w:r w:rsidRPr="00017F88">
        <w:rPr>
          <w:rFonts w:ascii="Verdana" w:hAnsi="Verdana"/>
          <w:b/>
          <w:bCs/>
          <w:sz w:val="22"/>
          <w:szCs w:val="22"/>
        </w:rPr>
        <w:t>iii</w:t>
      </w:r>
      <w:proofErr w:type="spellEnd"/>
      <w:r w:rsidRPr="00017F88">
        <w:rPr>
          <w:rFonts w:ascii="Verdana" w:hAnsi="Verdana"/>
          <w:b/>
          <w:bCs/>
          <w:sz w:val="22"/>
          <w:szCs w:val="22"/>
        </w:rPr>
        <w:t xml:space="preserve">) Las Instituciones a las cuales les fueron reconocidas personerías jurídicas por Ministerios y entes territoriales con anterioridad al Decreto 2150 de </w:t>
      </w:r>
      <w:proofErr w:type="gramStart"/>
      <w:r w:rsidRPr="00017F88">
        <w:rPr>
          <w:rFonts w:ascii="Verdana" w:hAnsi="Verdana"/>
          <w:b/>
          <w:bCs/>
          <w:sz w:val="22"/>
          <w:szCs w:val="22"/>
        </w:rPr>
        <w:t>1995….</w:t>
      </w:r>
      <w:proofErr w:type="gramEnd"/>
      <w:r w:rsidRPr="00017F88">
        <w:rPr>
          <w:rFonts w:ascii="Verdana" w:hAnsi="Verdana"/>
          <w:b/>
          <w:bCs/>
          <w:sz w:val="22"/>
          <w:szCs w:val="22"/>
        </w:rPr>
        <w:t>”</w:t>
      </w:r>
    </w:p>
    <w:p w14:paraId="38FC0AD1" w14:textId="77777777" w:rsidR="00A724C4" w:rsidRPr="00017F88" w:rsidRDefault="00A724C4" w:rsidP="00017F88">
      <w:pPr>
        <w:jc w:val="both"/>
        <w:rPr>
          <w:rFonts w:ascii="Verdana" w:hAnsi="Verdana"/>
          <w:sz w:val="22"/>
          <w:szCs w:val="22"/>
        </w:rPr>
      </w:pPr>
    </w:p>
    <w:sectPr w:rsidR="00A724C4" w:rsidRPr="00017F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0F8"/>
    <w:multiLevelType w:val="hybridMultilevel"/>
    <w:tmpl w:val="07DA96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6062B3"/>
    <w:multiLevelType w:val="hybridMultilevel"/>
    <w:tmpl w:val="81B0A9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7758489">
    <w:abstractNumId w:val="1"/>
  </w:num>
  <w:num w:numId="2" w16cid:durableId="18317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47"/>
    <w:rsid w:val="00017F88"/>
    <w:rsid w:val="00243CB4"/>
    <w:rsid w:val="00374E47"/>
    <w:rsid w:val="00A724C4"/>
    <w:rsid w:val="00F55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88AF"/>
  <w15:chartTrackingRefBased/>
  <w15:docId w15:val="{883A9657-8585-4FBA-BC62-9940C247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4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4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4E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4E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4E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4E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4E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4E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4E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4E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4E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4E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4E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4E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4E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4E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4E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4E47"/>
    <w:rPr>
      <w:rFonts w:eastAsiaTheme="majorEastAsia" w:cstheme="majorBidi"/>
      <w:color w:val="272727" w:themeColor="text1" w:themeTint="D8"/>
    </w:rPr>
  </w:style>
  <w:style w:type="paragraph" w:styleId="Ttulo">
    <w:name w:val="Title"/>
    <w:basedOn w:val="Normal"/>
    <w:next w:val="Normal"/>
    <w:link w:val="TtuloCar"/>
    <w:uiPriority w:val="10"/>
    <w:qFormat/>
    <w:rsid w:val="00374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4E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4E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4E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4E47"/>
    <w:pPr>
      <w:spacing w:before="160"/>
      <w:jc w:val="center"/>
    </w:pPr>
    <w:rPr>
      <w:i/>
      <w:iCs/>
      <w:color w:val="404040" w:themeColor="text1" w:themeTint="BF"/>
    </w:rPr>
  </w:style>
  <w:style w:type="character" w:customStyle="1" w:styleId="CitaCar">
    <w:name w:val="Cita Car"/>
    <w:basedOn w:val="Fuentedeprrafopredeter"/>
    <w:link w:val="Cita"/>
    <w:uiPriority w:val="29"/>
    <w:rsid w:val="00374E47"/>
    <w:rPr>
      <w:i/>
      <w:iCs/>
      <w:color w:val="404040" w:themeColor="text1" w:themeTint="BF"/>
    </w:rPr>
  </w:style>
  <w:style w:type="paragraph" w:styleId="Prrafodelista">
    <w:name w:val="List Paragraph"/>
    <w:basedOn w:val="Normal"/>
    <w:uiPriority w:val="34"/>
    <w:qFormat/>
    <w:rsid w:val="00374E47"/>
    <w:pPr>
      <w:ind w:left="720"/>
      <w:contextualSpacing/>
    </w:pPr>
  </w:style>
  <w:style w:type="character" w:styleId="nfasisintenso">
    <w:name w:val="Intense Emphasis"/>
    <w:basedOn w:val="Fuentedeprrafopredeter"/>
    <w:uiPriority w:val="21"/>
    <w:qFormat/>
    <w:rsid w:val="00374E47"/>
    <w:rPr>
      <w:i/>
      <w:iCs/>
      <w:color w:val="0F4761" w:themeColor="accent1" w:themeShade="BF"/>
    </w:rPr>
  </w:style>
  <w:style w:type="paragraph" w:styleId="Citadestacada">
    <w:name w:val="Intense Quote"/>
    <w:basedOn w:val="Normal"/>
    <w:next w:val="Normal"/>
    <w:link w:val="CitadestacadaCar"/>
    <w:uiPriority w:val="30"/>
    <w:qFormat/>
    <w:rsid w:val="00374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4E47"/>
    <w:rPr>
      <w:i/>
      <w:iCs/>
      <w:color w:val="0F4761" w:themeColor="accent1" w:themeShade="BF"/>
    </w:rPr>
  </w:style>
  <w:style w:type="character" w:styleId="Referenciaintensa">
    <w:name w:val="Intense Reference"/>
    <w:basedOn w:val="Fuentedeprrafopredeter"/>
    <w:uiPriority w:val="32"/>
    <w:qFormat/>
    <w:rsid w:val="00374E47"/>
    <w:rPr>
      <w:b/>
      <w:bCs/>
      <w:smallCaps/>
      <w:color w:val="0F4761" w:themeColor="accent1" w:themeShade="BF"/>
      <w:spacing w:val="5"/>
    </w:rPr>
  </w:style>
  <w:style w:type="character" w:styleId="Hipervnculo">
    <w:name w:val="Hyperlink"/>
    <w:basedOn w:val="Fuentedeprrafopredeter"/>
    <w:uiPriority w:val="99"/>
    <w:unhideWhenUsed/>
    <w:rsid w:val="00017F88"/>
    <w:rPr>
      <w:color w:val="467886" w:themeColor="hyperlink"/>
      <w:u w:val="single"/>
    </w:rPr>
  </w:style>
  <w:style w:type="character" w:styleId="Mencinsinresolver">
    <w:name w:val="Unresolved Mention"/>
    <w:basedOn w:val="Fuentedeprrafopredeter"/>
    <w:uiPriority w:val="99"/>
    <w:semiHidden/>
    <w:unhideWhenUsed/>
    <w:rsid w:val="0001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D02A5-1D3D-430C-A295-5F68E890A8FA}"/>
</file>

<file path=customXml/itemProps2.xml><?xml version="1.0" encoding="utf-8"?>
<ds:datastoreItem xmlns:ds="http://schemas.openxmlformats.org/officeDocument/2006/customXml" ds:itemID="{31D6DE25-A2C7-4689-8ECD-7FF19F457064}"/>
</file>

<file path=customXml/itemProps3.xml><?xml version="1.0" encoding="utf-8"?>
<ds:datastoreItem xmlns:ds="http://schemas.openxmlformats.org/officeDocument/2006/customXml" ds:itemID="{A05C25E4-B36A-4E36-8720-4EC471986A6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1922</Words>
  <Characters>10572</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2026-04-20T15:38:00Z</dcterms:created>
  <dcterms:modified xsi:type="dcterms:W3CDTF">2026-04-20T15:40:00Z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