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7F73" w14:textId="35CDCA31" w:rsidR="00486282" w:rsidRPr="00486282" w:rsidRDefault="00486282" w:rsidP="00486282">
      <w:pPr>
        <w:jc w:val="center"/>
        <w:rPr>
          <w:rFonts w:ascii="Verdana" w:hAnsi="Verdana"/>
          <w:b/>
          <w:bCs/>
        </w:rPr>
      </w:pPr>
      <w:r w:rsidRPr="00486282">
        <w:rPr>
          <w:rFonts w:ascii="Verdana" w:hAnsi="Verdana"/>
          <w:b/>
          <w:bCs/>
        </w:rPr>
        <w:t>CONCEPTO 37 DE 2016</w:t>
      </w:r>
    </w:p>
    <w:p w14:paraId="3F39B652" w14:textId="32D27E23" w:rsidR="00486282" w:rsidRPr="00486282" w:rsidRDefault="00486282" w:rsidP="00486282">
      <w:pPr>
        <w:jc w:val="center"/>
        <w:rPr>
          <w:rFonts w:ascii="Verdana" w:hAnsi="Verdana"/>
        </w:rPr>
      </w:pPr>
      <w:r w:rsidRPr="00486282">
        <w:rPr>
          <w:rFonts w:ascii="Verdana" w:hAnsi="Verdana"/>
        </w:rPr>
        <w:t>(abril 28)</w:t>
      </w:r>
    </w:p>
    <w:p w14:paraId="5646A020" w14:textId="503DD15E" w:rsidR="000B4793" w:rsidRDefault="00486282" w:rsidP="00486282">
      <w:pPr>
        <w:jc w:val="center"/>
        <w:rPr>
          <w:rFonts w:ascii="Verdana" w:hAnsi="Verdana"/>
          <w:b/>
          <w:bCs/>
        </w:rPr>
      </w:pPr>
      <w:r w:rsidRPr="00486282">
        <w:rPr>
          <w:rFonts w:ascii="Verdana" w:hAnsi="Verdana"/>
          <w:b/>
          <w:bCs/>
        </w:rPr>
        <w:t>INSTITUTO COLOMBIANO DE BIENESTAR FAMILIAR – ICBF</w:t>
      </w:r>
    </w:p>
    <w:p w14:paraId="2586E7D3" w14:textId="076BCA1B" w:rsidR="00486282" w:rsidRPr="00486282" w:rsidRDefault="00486282" w:rsidP="00486282">
      <w:pPr>
        <w:jc w:val="both"/>
        <w:rPr>
          <w:rFonts w:ascii="Verdana" w:hAnsi="Verdana"/>
        </w:rPr>
      </w:pPr>
      <w:r w:rsidRPr="00486282">
        <w:rPr>
          <w:rFonts w:ascii="Verdana" w:hAnsi="Verdana"/>
          <w:b/>
          <w:bCs/>
        </w:rPr>
        <w:t>ASUNTO:</w:t>
      </w:r>
      <w:r w:rsidRPr="00486282">
        <w:rPr>
          <w:rFonts w:ascii="Verdana" w:hAnsi="Verdana"/>
        </w:rPr>
        <w:t xml:space="preserve"> Solicitud de Concepto Jurídico. Rad. ICBF </w:t>
      </w:r>
      <w:proofErr w:type="gramStart"/>
      <w:r w:rsidRPr="00486282">
        <w:rPr>
          <w:rFonts w:ascii="Verdana" w:hAnsi="Verdana"/>
        </w:rPr>
        <w:t>No.  178738</w:t>
      </w:r>
      <w:proofErr w:type="gramEnd"/>
      <w:r w:rsidRPr="00486282">
        <w:rPr>
          <w:rFonts w:ascii="Verdana" w:hAnsi="Verdana"/>
        </w:rPr>
        <w:t xml:space="preserve"> del 20/04/2016.</w:t>
      </w:r>
    </w:p>
    <w:p w14:paraId="7B573869" w14:textId="4D35197E" w:rsidR="00486282" w:rsidRPr="00486282" w:rsidRDefault="00486282" w:rsidP="00486282">
      <w:pPr>
        <w:jc w:val="both"/>
        <w:rPr>
          <w:rFonts w:ascii="Verdana" w:hAnsi="Verdana"/>
        </w:rPr>
      </w:pPr>
      <w:r w:rsidRPr="00486282">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39E9C73D" w14:textId="091FCCA5" w:rsidR="00486282" w:rsidRPr="00486282" w:rsidRDefault="00486282" w:rsidP="00486282">
      <w:pPr>
        <w:jc w:val="both"/>
        <w:rPr>
          <w:rFonts w:ascii="Verdana" w:hAnsi="Verdana"/>
          <w:b/>
          <w:bCs/>
        </w:rPr>
      </w:pPr>
      <w:r w:rsidRPr="00486282">
        <w:rPr>
          <w:rFonts w:ascii="Verdana" w:hAnsi="Verdana"/>
          <w:b/>
          <w:bCs/>
        </w:rPr>
        <w:t>1. PROBLEMA JURÍDICO</w:t>
      </w:r>
    </w:p>
    <w:p w14:paraId="3DA6C8A6" w14:textId="23FA8F90" w:rsidR="00486282" w:rsidRPr="00486282" w:rsidRDefault="00486282" w:rsidP="00486282">
      <w:pPr>
        <w:jc w:val="both"/>
        <w:rPr>
          <w:rFonts w:ascii="Verdana" w:hAnsi="Verdana"/>
        </w:rPr>
      </w:pPr>
      <w:r w:rsidRPr="00486282">
        <w:rPr>
          <w:rFonts w:ascii="Verdana" w:hAnsi="Verdana"/>
        </w:rPr>
        <w:t>¿Cuál es el procedimiento que debe llevar a cabo la Policía de Infancia y Adolescencia cuándo la Autoridad Administrativa solicita la conducción, traslado de un adolescente?</w:t>
      </w:r>
    </w:p>
    <w:p w14:paraId="52881C6A" w14:textId="5E6254F0" w:rsidR="00486282" w:rsidRPr="00486282" w:rsidRDefault="00486282" w:rsidP="00486282">
      <w:pPr>
        <w:jc w:val="both"/>
        <w:rPr>
          <w:rFonts w:ascii="Verdana" w:hAnsi="Verdana"/>
          <w:b/>
          <w:bCs/>
        </w:rPr>
      </w:pPr>
      <w:r w:rsidRPr="00486282">
        <w:rPr>
          <w:rFonts w:ascii="Verdana" w:hAnsi="Verdana"/>
          <w:b/>
          <w:bCs/>
        </w:rPr>
        <w:t>2. ANÁLISIS DEL PROBLEMA JURÍDICO</w:t>
      </w:r>
    </w:p>
    <w:p w14:paraId="683E3602" w14:textId="7D615BEB" w:rsidR="00486282" w:rsidRPr="00486282" w:rsidRDefault="00486282" w:rsidP="00486282">
      <w:pPr>
        <w:jc w:val="both"/>
        <w:rPr>
          <w:rFonts w:ascii="Verdana" w:hAnsi="Verdana"/>
        </w:rPr>
      </w:pPr>
      <w:r w:rsidRPr="00486282">
        <w:rPr>
          <w:rFonts w:ascii="Verdana" w:hAnsi="Verdana"/>
        </w:rPr>
        <w:t xml:space="preserve">Se </w:t>
      </w:r>
      <w:proofErr w:type="gramStart"/>
      <w:r w:rsidRPr="00486282">
        <w:rPr>
          <w:rFonts w:ascii="Verdana" w:hAnsi="Verdana"/>
        </w:rPr>
        <w:t>abordara</w:t>
      </w:r>
      <w:proofErr w:type="gramEnd"/>
      <w:r w:rsidRPr="00486282">
        <w:rPr>
          <w:rFonts w:ascii="Verdana" w:hAnsi="Verdana"/>
        </w:rPr>
        <w:t xml:space="preserve"> el tema analizando: 2.1. El Interés Superior de los niños, niñas y los adolescentes. 2.2. Las funciones de la Policía de Infancia y Adolescencia en el traslado de niños, niñas y adolescentes: 2.3. El caso concreto.</w:t>
      </w:r>
    </w:p>
    <w:p w14:paraId="758B4617" w14:textId="1B103352" w:rsidR="00486282" w:rsidRPr="00486282" w:rsidRDefault="00486282" w:rsidP="00486282">
      <w:pPr>
        <w:jc w:val="both"/>
        <w:rPr>
          <w:rFonts w:ascii="Verdana" w:hAnsi="Verdana"/>
        </w:rPr>
      </w:pPr>
      <w:r w:rsidRPr="00486282">
        <w:rPr>
          <w:rFonts w:ascii="Verdana" w:hAnsi="Verdana"/>
        </w:rPr>
        <w:t>2.1. El Interés Superior de los niños, niñas y adolescentes</w:t>
      </w:r>
    </w:p>
    <w:p w14:paraId="391AF398" w14:textId="578D8876" w:rsidR="00486282" w:rsidRPr="00486282" w:rsidRDefault="00486282" w:rsidP="00486282">
      <w:pPr>
        <w:jc w:val="both"/>
        <w:rPr>
          <w:rFonts w:ascii="Verdana" w:hAnsi="Verdana"/>
        </w:rPr>
      </w:pPr>
      <w:r w:rsidRPr="00486282">
        <w:rPr>
          <w:rFonts w:ascii="Verdana" w:hAnsi="Verdana"/>
        </w:rPr>
        <w:t>La Convención sobre los Derechos del Niño en el numeral primero del artículo tercero establece que:</w:t>
      </w:r>
    </w:p>
    <w:p w14:paraId="4976591F" w14:textId="6BB8EF21" w:rsidR="00486282" w:rsidRPr="00486282" w:rsidRDefault="00486282" w:rsidP="00486282">
      <w:pPr>
        <w:jc w:val="both"/>
        <w:rPr>
          <w:rFonts w:ascii="Verdana" w:hAnsi="Verdana"/>
        </w:rPr>
      </w:pPr>
      <w:r w:rsidRPr="00486282">
        <w:rPr>
          <w:rFonts w:ascii="Verdana" w:hAnsi="Verdana"/>
        </w:rPr>
        <w:t>“(...)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7DD57BE4" w14:textId="30BAC425" w:rsidR="00486282" w:rsidRPr="00486282" w:rsidRDefault="00486282" w:rsidP="00486282">
      <w:pPr>
        <w:jc w:val="both"/>
        <w:rPr>
          <w:rFonts w:ascii="Verdana" w:hAnsi="Verdana"/>
        </w:rPr>
      </w:pPr>
      <w:r w:rsidRPr="00486282">
        <w:rPr>
          <w:rFonts w:ascii="Verdana" w:hAnsi="Verdana"/>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26E2CEF8" w14:textId="08037C5D" w:rsidR="00486282" w:rsidRPr="00486282" w:rsidRDefault="00486282" w:rsidP="00486282">
      <w:pPr>
        <w:jc w:val="both"/>
        <w:rPr>
          <w:rFonts w:ascii="Verdana" w:hAnsi="Verdana"/>
        </w:rPr>
      </w:pPr>
      <w:r w:rsidRPr="00486282">
        <w:rPr>
          <w:rFonts w:ascii="Verdana" w:hAnsi="Verdana"/>
        </w:rPr>
        <w:t>Por su parte, en el artículo 8 del Código de la Infancia y la Adolescencia se define el interés superior de los niños, las niñas y los adolescentes:</w:t>
      </w:r>
    </w:p>
    <w:p w14:paraId="11515888" w14:textId="08C6A2C0" w:rsidR="00486282" w:rsidRPr="00486282" w:rsidRDefault="00486282" w:rsidP="00486282">
      <w:pPr>
        <w:jc w:val="both"/>
        <w:rPr>
          <w:rFonts w:ascii="Verdana" w:hAnsi="Verdana"/>
        </w:rPr>
      </w:pPr>
      <w:r w:rsidRPr="00486282">
        <w:rPr>
          <w:rFonts w:ascii="Verdana" w:hAnsi="Verdana"/>
        </w:rPr>
        <w:t>"(...) como el imperativo que obliga a todas las personas a garantizar la satisfacción integral y simultánea de todos sus derechos humanos, que son universales, prevalentes e interdependientes".</w:t>
      </w:r>
    </w:p>
    <w:p w14:paraId="31D25FCE" w14:textId="475E649C" w:rsidR="00486282" w:rsidRPr="00486282" w:rsidRDefault="00486282" w:rsidP="00486282">
      <w:pPr>
        <w:jc w:val="both"/>
        <w:rPr>
          <w:rFonts w:ascii="Verdana" w:hAnsi="Verdana"/>
        </w:rPr>
      </w:pPr>
      <w:r w:rsidRPr="00486282">
        <w:rPr>
          <w:rFonts w:ascii="Verdana" w:hAnsi="Verdana"/>
        </w:rPr>
        <w:t xml:space="preserve">En ese sentido, la Corte Constitucional ha precisado que todas las actuaciones que realicen las autoridades públicas en las que se encuentren involucrados </w:t>
      </w:r>
      <w:r w:rsidRPr="00486282">
        <w:rPr>
          <w:rFonts w:ascii="Verdana" w:hAnsi="Verdana"/>
        </w:rPr>
        <w:lastRenderedPageBreak/>
        <w:t>niños, niñas o adolescentes deben estar orientadas por el principio del interés superior.</w:t>
      </w:r>
    </w:p>
    <w:p w14:paraId="439A50B2" w14:textId="0B468BBE" w:rsidR="00486282" w:rsidRPr="00486282" w:rsidRDefault="00486282" w:rsidP="00486282">
      <w:pPr>
        <w:jc w:val="both"/>
        <w:rPr>
          <w:rFonts w:ascii="Verdana" w:hAnsi="Verdana"/>
        </w:rPr>
      </w:pPr>
      <w:r w:rsidRPr="00486282">
        <w:rPr>
          <w:rFonts w:ascii="Verdana" w:hAnsi="Verdana"/>
        </w:rPr>
        <w:t>En efecto, la Corte ha afirmado que:</w:t>
      </w:r>
    </w:p>
    <w:p w14:paraId="08CF1692" w14:textId="2C6BAE0C" w:rsidR="00486282" w:rsidRPr="00486282" w:rsidRDefault="00486282" w:rsidP="00486282">
      <w:pPr>
        <w:jc w:val="both"/>
        <w:rPr>
          <w:rFonts w:ascii="Verdana" w:hAnsi="Verdana"/>
        </w:rPr>
      </w:pPr>
      <w:r w:rsidRPr="00486282">
        <w:rPr>
          <w:rFonts w:ascii="Verdana" w:hAnsi="Verdana"/>
        </w:rPr>
        <w:t xml:space="preserve">"El interés superior del menor no constituye un ente abstracto, desprovisto de vínculos con la realidad concreta, sobre el cual se puedan formular reglas generales de aplicación mecánico. Al contrario: el contenido de dicho interés, que es de naturaleza real y relacional, sólo se puede establecer prestando la debida consideración a las circunstancias individuales, únicas e irrepetibles de cada menor de edad, </w:t>
      </w:r>
      <w:proofErr w:type="gramStart"/>
      <w:r w:rsidRPr="00486282">
        <w:rPr>
          <w:rFonts w:ascii="Verdana" w:hAnsi="Verdana"/>
        </w:rPr>
        <w:t>que</w:t>
      </w:r>
      <w:proofErr w:type="gramEnd"/>
      <w:r w:rsidRPr="00486282">
        <w:rPr>
          <w:rFonts w:ascii="Verdana" w:hAnsi="Verdana"/>
        </w:rPr>
        <w:t xml:space="preserve"> en tanto sujeto digno, debe ser atendido por la familia, la sociedad y el Estado con todo el cuidado que requiere su situación personal".</w:t>
      </w:r>
    </w:p>
    <w:p w14:paraId="52B7CA05" w14:textId="3A00DAC7" w:rsidR="00486282" w:rsidRPr="00486282" w:rsidRDefault="00486282" w:rsidP="00486282">
      <w:pPr>
        <w:jc w:val="both"/>
        <w:rPr>
          <w:rFonts w:ascii="Verdana" w:hAnsi="Verdana"/>
        </w:rPr>
      </w:pPr>
      <w:r w:rsidRPr="00486282">
        <w:rPr>
          <w:rFonts w:ascii="Verdana" w:hAnsi="Verdana"/>
        </w:rPr>
        <w:t>Así mismo, sostuvo que:</w:t>
      </w:r>
    </w:p>
    <w:p w14:paraId="4A9E4053" w14:textId="4DD5C4A8" w:rsidR="00486282" w:rsidRPr="00486282" w:rsidRDefault="00486282" w:rsidP="00486282">
      <w:pPr>
        <w:jc w:val="both"/>
        <w:rPr>
          <w:rFonts w:ascii="Verdana" w:hAnsi="Verdana"/>
        </w:rPr>
      </w:pPr>
      <w:r w:rsidRPr="00486282">
        <w:rPr>
          <w:rFonts w:ascii="Verdana" w:hAnsi="Verdana"/>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traía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625F086C" w14:textId="1CE63BFF" w:rsidR="00486282" w:rsidRPr="00486282" w:rsidRDefault="00486282" w:rsidP="00486282">
      <w:pPr>
        <w:jc w:val="both"/>
        <w:rPr>
          <w:rFonts w:ascii="Verdana" w:hAnsi="Verdana"/>
        </w:rPr>
      </w:pPr>
      <w:r w:rsidRPr="00486282">
        <w:rPr>
          <w:rFonts w:ascii="Verdana" w:hAnsi="Verdana"/>
        </w:rPr>
        <w:t>2.2. Las funciones de la Policía de Infancia y Adolescencia en el traslado de niños, niñas y adolescentes.</w:t>
      </w:r>
    </w:p>
    <w:p w14:paraId="25204D6A" w14:textId="47986CBE" w:rsidR="00486282" w:rsidRPr="00486282" w:rsidRDefault="00486282" w:rsidP="00486282">
      <w:pPr>
        <w:jc w:val="both"/>
        <w:rPr>
          <w:rFonts w:ascii="Verdana" w:hAnsi="Verdana"/>
        </w:rPr>
      </w:pPr>
      <w:r w:rsidRPr="00486282">
        <w:rPr>
          <w:rFonts w:ascii="Verdana" w:hAnsi="Verdana"/>
        </w:rPr>
        <w:t>La Ley 1098 de 2006, "Por medio de la cual se expide la Ley de Infancia y Adolescencia", en su artículo 88 establece la “Misión de la Policía Nacional"[1] y determina que tendrá un cuerpo especializado denominado “Policía de infancia y Adolescencia" quien deberá asumir funciones de policía judicial cuando se trate de la participación de adolescentes entre 14 y 18 años en procesos penales por comisión de delitos y cuando se trate de niños, niñas o adolescentes víctimas de delitos en los procesos judiciales, en virtud de lo anterior, es indispensable que los funcionarios que se encuentre en este cuerpo especializado, se encuentren “capacitados en derechos de la infancia y la adolescencia, desarrollo infantil, normas nacionales e internacionales relacionadas y procedimientos de atención y protección integral a los niños, las niñas y los adolescentes".[2]</w:t>
      </w:r>
    </w:p>
    <w:p w14:paraId="2A79EB13" w14:textId="3D909D53" w:rsidR="00486282" w:rsidRPr="00486282" w:rsidRDefault="00486282" w:rsidP="00486282">
      <w:pPr>
        <w:jc w:val="both"/>
        <w:rPr>
          <w:rFonts w:ascii="Verdana" w:hAnsi="Verdana"/>
        </w:rPr>
      </w:pPr>
      <w:r w:rsidRPr="00486282">
        <w:rPr>
          <w:rFonts w:ascii="Verdana" w:hAnsi="Verdana"/>
        </w:rPr>
        <w:t xml:space="preserve">Esta capacitación deberá ser realizada en coordinación entre la Policía Nacional y el Instituto Colombiano de Bienestar Familiar - ICBF, sin embargo, es deber </w:t>
      </w:r>
      <w:r w:rsidRPr="00486282">
        <w:rPr>
          <w:rFonts w:ascii="Verdana" w:hAnsi="Verdana"/>
        </w:rPr>
        <w:lastRenderedPageBreak/>
        <w:t>de la Policía Nacional capacitar a la Policía de Infancia y Adolescencia en Policía Judicial.</w:t>
      </w:r>
    </w:p>
    <w:p w14:paraId="73D24B17" w14:textId="6FF04CFF" w:rsidR="00486282" w:rsidRPr="00486282" w:rsidRDefault="00486282" w:rsidP="00486282">
      <w:pPr>
        <w:jc w:val="both"/>
        <w:rPr>
          <w:rFonts w:ascii="Verdana" w:hAnsi="Verdana"/>
        </w:rPr>
      </w:pPr>
      <w:r w:rsidRPr="00486282">
        <w:rPr>
          <w:rFonts w:ascii="Verdana" w:hAnsi="Verdana"/>
        </w:rPr>
        <w:t>La Policía Nacional para garantizar los derechos de niños, niñas y adolescentes, y para el caso concreto, le corresponde:</w:t>
      </w:r>
    </w:p>
    <w:p w14:paraId="081905FA" w14:textId="70C6B64A" w:rsidR="00486282" w:rsidRPr="00486282" w:rsidRDefault="00486282" w:rsidP="00486282">
      <w:pPr>
        <w:jc w:val="both"/>
        <w:rPr>
          <w:rFonts w:ascii="Verdana" w:hAnsi="Verdana"/>
        </w:rPr>
      </w:pPr>
      <w:r w:rsidRPr="00486282">
        <w:rPr>
          <w:rFonts w:ascii="Verdana" w:hAnsi="Verdana"/>
        </w:rPr>
        <w:t>“Artículo 89. Sin perjuicio de las funciones atribuidas en otras leyes en relación con los derechos de les niños, las niñas y los adolescentes, la Policía Nacional y en especial la Policía de Infancia y Adolescencia, tendrán las siguientes funciones:</w:t>
      </w:r>
    </w:p>
    <w:p w14:paraId="7B7F1FD3" w14:textId="0E3BFA29" w:rsidR="00486282" w:rsidRPr="00486282" w:rsidRDefault="00486282" w:rsidP="00486282">
      <w:pPr>
        <w:jc w:val="both"/>
        <w:rPr>
          <w:rFonts w:ascii="Verdana" w:hAnsi="Verdana"/>
        </w:rPr>
      </w:pPr>
      <w:r w:rsidRPr="00486282">
        <w:rPr>
          <w:rFonts w:ascii="Verdana" w:hAnsi="Verdana"/>
        </w:rPr>
        <w:t>(...) 10. Brindar apoyo a las autoridades judiciales, los Defensores y Comisarios de Familia, Personeros Municipales e Inspectores de Policía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 (...)".[3] Subrayado y negrilla fuera de texto</w:t>
      </w:r>
    </w:p>
    <w:p w14:paraId="0AC8C8E6" w14:textId="2DF8A833" w:rsidR="00486282" w:rsidRPr="00486282" w:rsidRDefault="00486282" w:rsidP="00486282">
      <w:pPr>
        <w:jc w:val="both"/>
        <w:rPr>
          <w:rFonts w:ascii="Verdana" w:hAnsi="Verdana"/>
        </w:rPr>
      </w:pPr>
      <w:r w:rsidRPr="00486282">
        <w:rPr>
          <w:rFonts w:ascii="Verdana" w:hAnsi="Verdana"/>
        </w:rPr>
        <w:t>Conforme lo anterior, la Policía de Infancia y Adolescencia debe trasladar a los niños, las niñas y los adolescentes cuando lo soliciten las autoridades judiciales y administrativas, con la finalidad de garantizar la protección de los derechos de los menores de edad.</w:t>
      </w:r>
    </w:p>
    <w:p w14:paraId="67F0BF4A" w14:textId="375973EF" w:rsidR="00486282" w:rsidRPr="00486282" w:rsidRDefault="00486282" w:rsidP="00486282">
      <w:pPr>
        <w:jc w:val="both"/>
        <w:rPr>
          <w:rFonts w:ascii="Verdana" w:hAnsi="Verdana"/>
        </w:rPr>
      </w:pPr>
      <w:r w:rsidRPr="00486282">
        <w:rPr>
          <w:rFonts w:ascii="Verdana" w:hAnsi="Verdana"/>
        </w:rPr>
        <w:t xml:space="preserve">No </w:t>
      </w:r>
      <w:proofErr w:type="gramStart"/>
      <w:r w:rsidRPr="00486282">
        <w:rPr>
          <w:rFonts w:ascii="Verdana" w:hAnsi="Verdana"/>
        </w:rPr>
        <w:t>obstante</w:t>
      </w:r>
      <w:proofErr w:type="gramEnd"/>
      <w:r w:rsidRPr="00486282">
        <w:rPr>
          <w:rFonts w:ascii="Verdana" w:hAnsi="Verdana"/>
        </w:rPr>
        <w:t xml:space="preserve"> lo anterior, la Ley 1098 de 2006, prevé unas condiciones que deben cumplir las autoridades de policía cuando realicen el traslado de menores de edad, así las </w:t>
      </w:r>
      <w:proofErr w:type="gramStart"/>
      <w:r w:rsidRPr="00486282">
        <w:rPr>
          <w:rFonts w:ascii="Verdana" w:hAnsi="Verdana"/>
        </w:rPr>
        <w:t>cosas</w:t>
      </w:r>
      <w:proofErr w:type="gramEnd"/>
      <w:r w:rsidRPr="00486282">
        <w:rPr>
          <w:rFonts w:ascii="Verdana" w:hAnsi="Verdana"/>
        </w:rPr>
        <w:t xml:space="preserve"> dispone:</w:t>
      </w:r>
    </w:p>
    <w:p w14:paraId="5F045E05" w14:textId="7DC175A2" w:rsidR="00486282" w:rsidRPr="00486282" w:rsidRDefault="00486282" w:rsidP="00486282">
      <w:pPr>
        <w:jc w:val="both"/>
        <w:rPr>
          <w:rFonts w:ascii="Verdana" w:hAnsi="Verdana"/>
        </w:rPr>
      </w:pPr>
      <w:r w:rsidRPr="00486282">
        <w:rPr>
          <w:rFonts w:ascii="Verdana" w:hAnsi="Verdana"/>
        </w:rPr>
        <w:t>"Artículo 94 PROHIBICIONES ESPECIALES. Se prohíbe la conducción de niños, niñas y adolescentes mediante la utilización de esposas o cualquier otro medio que atente contra su dignidad.</w:t>
      </w:r>
    </w:p>
    <w:p w14:paraId="691F0785" w14:textId="580B39A1" w:rsidR="00486282" w:rsidRPr="00486282" w:rsidRDefault="00486282" w:rsidP="00486282">
      <w:pPr>
        <w:jc w:val="both"/>
        <w:rPr>
          <w:rFonts w:ascii="Verdana" w:hAnsi="Verdana"/>
        </w:rPr>
      </w:pPr>
      <w:r w:rsidRPr="00486282">
        <w:rPr>
          <w:rFonts w:ascii="Verdana" w:hAnsi="Verdana"/>
        </w:rPr>
        <w:t>Igualmente se prohíbe el uso de armas para impedir o conjurar la evasión del niño, niña o adolescente que es conducido ante autoridad competente, salvo que sea necesario para proteger la integridad física del encargado de su conducción ante la amenaza de un peligro grave e inminente. Subrayado fuera de text</w:t>
      </w:r>
    </w:p>
    <w:p w14:paraId="02ED20C3" w14:textId="41AEBE8A" w:rsidR="00486282" w:rsidRPr="00486282" w:rsidRDefault="00486282" w:rsidP="00486282">
      <w:pPr>
        <w:jc w:val="both"/>
        <w:rPr>
          <w:rFonts w:ascii="Verdana" w:hAnsi="Verdana"/>
        </w:rPr>
      </w:pPr>
      <w:r w:rsidRPr="00486282">
        <w:rPr>
          <w:rFonts w:ascii="Verdana" w:hAnsi="Verdana"/>
        </w:rPr>
        <w:t>La infracción a esta disposición seré causal de mala conducta."</w:t>
      </w:r>
    </w:p>
    <w:p w14:paraId="6DCE00BF" w14:textId="67D097EF" w:rsidR="00486282" w:rsidRPr="00486282" w:rsidRDefault="00486282" w:rsidP="00486282">
      <w:pPr>
        <w:jc w:val="both"/>
        <w:rPr>
          <w:rFonts w:ascii="Verdana" w:hAnsi="Verdana"/>
        </w:rPr>
      </w:pPr>
      <w:r w:rsidRPr="00486282">
        <w:rPr>
          <w:rFonts w:ascii="Verdana" w:hAnsi="Verdana"/>
        </w:rPr>
        <w:t>Ahora bien, cuando se trata de un allanamiento o rescate de un niño, niña o adolescente, la Corte Constitucional en la Sentencia C-256/08 ha manifestado:</w:t>
      </w:r>
    </w:p>
    <w:p w14:paraId="7138D104" w14:textId="4861A9EE" w:rsidR="00486282" w:rsidRPr="00486282" w:rsidRDefault="00486282" w:rsidP="00486282">
      <w:pPr>
        <w:jc w:val="both"/>
        <w:rPr>
          <w:rFonts w:ascii="Verdana" w:hAnsi="Verdana"/>
        </w:rPr>
      </w:pPr>
      <w:r w:rsidRPr="00486282">
        <w:rPr>
          <w:rFonts w:ascii="Verdana" w:hAnsi="Verdana"/>
        </w:rPr>
        <w:t>"Con el fin de evitar abusos y asegurar un control efectivo sobre las decisiones de allanamiento que realicen los comisarios y defensores de familia, es preciso que antes de proceder al allanamiento con fines de rescate haya una valoración juiciosa de la situación de peligro, e indicios serios sobre la existencia y gravedad del peligro, a la luz de las reglas civiles. También es indispensable que dicha valoración sea plasmada por escrito, con el fin de facilitar el control posterior de esa valoración y del procedimiento seguido durante el allanamiento."</w:t>
      </w:r>
    </w:p>
    <w:p w14:paraId="3A62509B" w14:textId="65C0DDD5" w:rsidR="00486282" w:rsidRPr="00486282" w:rsidRDefault="00486282" w:rsidP="00486282">
      <w:pPr>
        <w:jc w:val="both"/>
        <w:rPr>
          <w:rFonts w:ascii="Verdana" w:hAnsi="Verdana"/>
        </w:rPr>
      </w:pPr>
      <w:r w:rsidRPr="00486282">
        <w:rPr>
          <w:rFonts w:ascii="Verdana" w:hAnsi="Verdana"/>
        </w:rPr>
        <w:lastRenderedPageBreak/>
        <w:t>2.3. El caso concreto.</w:t>
      </w:r>
    </w:p>
    <w:p w14:paraId="6B55DAC8" w14:textId="330B346F" w:rsidR="00486282" w:rsidRPr="00486282" w:rsidRDefault="00486282" w:rsidP="00486282">
      <w:pPr>
        <w:jc w:val="both"/>
        <w:rPr>
          <w:rFonts w:ascii="Verdana" w:hAnsi="Verdana"/>
        </w:rPr>
      </w:pPr>
      <w:r w:rsidRPr="00486282">
        <w:rPr>
          <w:rFonts w:ascii="Verdana" w:hAnsi="Verdana"/>
        </w:rPr>
        <w:t>Teniendo en cuenta las consideraciones anteriores se puede concluir:</w:t>
      </w:r>
    </w:p>
    <w:p w14:paraId="250318FD" w14:textId="4FE74A0F" w:rsidR="00486282" w:rsidRPr="00486282" w:rsidRDefault="00486282" w:rsidP="00486282">
      <w:pPr>
        <w:jc w:val="both"/>
        <w:rPr>
          <w:rFonts w:ascii="Verdana" w:hAnsi="Verdana"/>
        </w:rPr>
      </w:pPr>
      <w:r w:rsidRPr="00486282">
        <w:rPr>
          <w:rFonts w:ascii="Verdana" w:hAnsi="Verdana"/>
        </w:rPr>
        <w:t>1. La Policía de Infancia y Adolescencia debe trasladar a los niños, las niñas y los adolescentes cuando lo soliciten las autoridades judiciales y administrativas, con la finalidad de garantizar la protección de los derechos de los menores de edad.</w:t>
      </w:r>
    </w:p>
    <w:p w14:paraId="43EEFABA" w14:textId="77110314" w:rsidR="00486282" w:rsidRPr="00486282" w:rsidRDefault="00486282" w:rsidP="00486282">
      <w:pPr>
        <w:jc w:val="both"/>
        <w:rPr>
          <w:rFonts w:ascii="Verdana" w:hAnsi="Verdana"/>
        </w:rPr>
      </w:pPr>
      <w:r w:rsidRPr="00486282">
        <w:rPr>
          <w:rFonts w:ascii="Verdana" w:hAnsi="Verdana"/>
        </w:rPr>
        <w:t>2. Los miembros de la Policía de Infancia y Adolescencia deberán cumplir con lo establecido en el artículo 94 de la Ley 1098 de 2006, ahora bien, el mismo artículo establece que si durante el traslado o conducción del adolescente surgen circunstancias que ponen en riesgo la vida e integridad de quien conduce al adolescente y del adolescente mismo, se podría disponer de estas medidas en aras de la garantía de los derechos de los niños, niñas y adolescentes.</w:t>
      </w:r>
    </w:p>
    <w:p w14:paraId="4EBA8D85" w14:textId="62B00A1A" w:rsidR="00486282" w:rsidRPr="00486282" w:rsidRDefault="00486282" w:rsidP="00486282">
      <w:pPr>
        <w:jc w:val="both"/>
        <w:rPr>
          <w:rFonts w:ascii="Verdana" w:hAnsi="Verdana"/>
        </w:rPr>
      </w:pPr>
      <w:r w:rsidRPr="00486282">
        <w:rPr>
          <w:rFonts w:ascii="Verdana" w:hAnsi="Verdana"/>
        </w:rPr>
        <w:t>3. La práctica de la diligencia de allanamiento y rescate, que en virtud del artículo 106 de la Ley 1098 de 2006, faculta al Defensor de Familia y Comisario de Familia, debe entenderse sin perjuicio de la responsabilidad penal y disciplinaria, en que pueden incurrir los funcionarios que con ocasión del allanamiento violen la ley, abusen de su autoridad o adelanten la diligencia pese a que las circunstancias objetivamente consideradas no lo permitan.</w:t>
      </w:r>
    </w:p>
    <w:p w14:paraId="102379E1" w14:textId="168080C2" w:rsidR="00486282" w:rsidRPr="00486282" w:rsidRDefault="00486282" w:rsidP="00486282">
      <w:pPr>
        <w:jc w:val="both"/>
        <w:rPr>
          <w:rFonts w:ascii="Verdana" w:hAnsi="Verdana"/>
        </w:rPr>
      </w:pPr>
      <w:r w:rsidRPr="00486282">
        <w:rPr>
          <w:rFonts w:ascii="Verdana" w:hAnsi="Verdana"/>
        </w:rPr>
        <w:t>El presente concepto[4]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4F9CD84" w14:textId="5AD848E0" w:rsidR="00486282" w:rsidRDefault="00486282" w:rsidP="00486282">
      <w:pPr>
        <w:jc w:val="both"/>
        <w:rPr>
          <w:rFonts w:ascii="Verdana" w:hAnsi="Verdana"/>
        </w:rPr>
      </w:pPr>
      <w:r w:rsidRPr="00486282">
        <w:rPr>
          <w:rFonts w:ascii="Verdana" w:hAnsi="Verdana"/>
        </w:rPr>
        <w:t>Atentamente,</w:t>
      </w:r>
    </w:p>
    <w:p w14:paraId="70D34442" w14:textId="77777777" w:rsidR="001E4C73" w:rsidRPr="00486282" w:rsidRDefault="001E4C73" w:rsidP="00486282">
      <w:pPr>
        <w:jc w:val="both"/>
        <w:rPr>
          <w:rFonts w:ascii="Verdana" w:hAnsi="Verdana"/>
        </w:rPr>
      </w:pPr>
    </w:p>
    <w:p w14:paraId="0D84CA35" w14:textId="36708E45" w:rsidR="00486282" w:rsidRPr="00486282" w:rsidRDefault="00486282" w:rsidP="00486282">
      <w:pPr>
        <w:jc w:val="both"/>
        <w:rPr>
          <w:rFonts w:ascii="Verdana" w:hAnsi="Verdana"/>
          <w:b/>
          <w:bCs/>
        </w:rPr>
      </w:pPr>
      <w:r w:rsidRPr="00486282">
        <w:rPr>
          <w:rFonts w:ascii="Verdana" w:hAnsi="Verdana"/>
          <w:b/>
          <w:bCs/>
        </w:rPr>
        <w:t>LUZ KARIME FERNANDEZ CASTILLO</w:t>
      </w:r>
    </w:p>
    <w:p w14:paraId="3A4E1604" w14:textId="77777777" w:rsidR="00486282" w:rsidRPr="00486282" w:rsidRDefault="00486282" w:rsidP="00486282">
      <w:pPr>
        <w:jc w:val="both"/>
        <w:rPr>
          <w:rFonts w:ascii="Verdana" w:hAnsi="Verdana"/>
        </w:rPr>
      </w:pPr>
      <w:r w:rsidRPr="00486282">
        <w:rPr>
          <w:rFonts w:ascii="Verdana" w:hAnsi="Verdana"/>
        </w:rPr>
        <w:t>Jefe Oficina Asesora Jurídica</w:t>
      </w:r>
    </w:p>
    <w:p w14:paraId="5FE65E9D" w14:textId="77777777" w:rsidR="00486282" w:rsidRDefault="00486282" w:rsidP="00486282">
      <w:pPr>
        <w:jc w:val="both"/>
        <w:rPr>
          <w:rFonts w:ascii="Verdana" w:hAnsi="Verdana"/>
        </w:rPr>
      </w:pPr>
    </w:p>
    <w:p w14:paraId="2395EB5B" w14:textId="3337F87C" w:rsidR="001E4C73" w:rsidRPr="001E4C73" w:rsidRDefault="001E4C73" w:rsidP="00486282">
      <w:pPr>
        <w:jc w:val="both"/>
        <w:rPr>
          <w:rFonts w:ascii="Verdana" w:hAnsi="Verdana"/>
          <w:b/>
          <w:bCs/>
        </w:rPr>
      </w:pPr>
      <w:r w:rsidRPr="001E4C73">
        <w:rPr>
          <w:rFonts w:ascii="Verdana" w:hAnsi="Verdana"/>
          <w:b/>
          <w:bCs/>
        </w:rPr>
        <w:t>Notas de pie de página:</w:t>
      </w:r>
    </w:p>
    <w:p w14:paraId="6420D50A" w14:textId="170EBF31" w:rsidR="00486282" w:rsidRPr="00486282" w:rsidRDefault="00486282" w:rsidP="00486282">
      <w:pPr>
        <w:jc w:val="both"/>
        <w:rPr>
          <w:rFonts w:ascii="Verdana" w:hAnsi="Verdana"/>
        </w:rPr>
      </w:pPr>
      <w:r w:rsidRPr="00486282">
        <w:rPr>
          <w:rFonts w:ascii="Verdana" w:hAnsi="Verdana"/>
        </w:rPr>
        <w:t xml:space="preserve">1. ARTÍCULO 88. MISIÓN DE LA POLICIA NACIONAL. La Policía Nacional es una entidad que integra el Sistema Nacional de Bienestar Familiar. Su misión como miembro del Sistema, es garantizar la protección integral de los niños, las niñas y los adolescentes en el marco de las competencias y funciones que le asigna la </w:t>
      </w:r>
      <w:r w:rsidRPr="00486282">
        <w:rPr>
          <w:rFonts w:ascii="Verdana" w:hAnsi="Verdana"/>
        </w:rPr>
        <w:lastRenderedPageBreak/>
        <w:t>ley. Tendrá como cuerpo especializado a la Policía de Infancia y Adolescencia que reemplazará a la Policía de Menores.</w:t>
      </w:r>
    </w:p>
    <w:p w14:paraId="57683C0F" w14:textId="2BC97146" w:rsidR="00486282" w:rsidRPr="00486282" w:rsidRDefault="00486282" w:rsidP="00486282">
      <w:pPr>
        <w:jc w:val="both"/>
        <w:rPr>
          <w:rFonts w:ascii="Verdana" w:hAnsi="Verdana"/>
        </w:rPr>
      </w:pPr>
      <w:r w:rsidRPr="00486282">
        <w:rPr>
          <w:rFonts w:ascii="Verdana" w:hAnsi="Verdana"/>
        </w:rPr>
        <w:t>2. Art 90 Ley 1098 de 2006</w:t>
      </w:r>
    </w:p>
    <w:p w14:paraId="06A696F9" w14:textId="6A0B664A" w:rsidR="00486282" w:rsidRPr="00486282" w:rsidRDefault="00486282" w:rsidP="00486282">
      <w:pPr>
        <w:jc w:val="both"/>
        <w:rPr>
          <w:rFonts w:ascii="Verdana" w:hAnsi="Verdana"/>
        </w:rPr>
      </w:pPr>
      <w:r w:rsidRPr="00486282">
        <w:rPr>
          <w:rFonts w:ascii="Verdana" w:hAnsi="Verdana"/>
        </w:rPr>
        <w:t>3. Ibídem, artículo 89.</w:t>
      </w:r>
    </w:p>
    <w:p w14:paraId="6E95D604" w14:textId="3FFA7BCA" w:rsidR="00486282" w:rsidRPr="00486282" w:rsidRDefault="00486282" w:rsidP="00486282">
      <w:pPr>
        <w:jc w:val="both"/>
        <w:rPr>
          <w:rFonts w:ascii="Verdana" w:hAnsi="Verdana"/>
        </w:rPr>
      </w:pPr>
      <w:r w:rsidRPr="00486282">
        <w:rPr>
          <w:rFonts w:ascii="Verdana" w:hAnsi="Verdana"/>
        </w:rPr>
        <w:t>4.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486282" w:rsidRPr="004862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82"/>
    <w:rsid w:val="000B4793"/>
    <w:rsid w:val="001E4C73"/>
    <w:rsid w:val="00486282"/>
    <w:rsid w:val="00A549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F48A"/>
  <w15:chartTrackingRefBased/>
  <w15:docId w15:val="{18173849-BE39-4576-8F74-E79D50FB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B26F9-82A9-4257-A540-4CB57FD12AB7}"/>
</file>

<file path=customXml/itemProps2.xml><?xml version="1.0" encoding="utf-8"?>
<ds:datastoreItem xmlns:ds="http://schemas.openxmlformats.org/officeDocument/2006/customXml" ds:itemID="{07B6A6B6-9058-4EBC-A8BC-25DCC1460790}"/>
</file>

<file path=customXml/itemProps3.xml><?xml version="1.0" encoding="utf-8"?>
<ds:datastoreItem xmlns:ds="http://schemas.openxmlformats.org/officeDocument/2006/customXml" ds:itemID="{8591EE25-8207-45A5-B0BA-5A2AACA41CC4}"/>
</file>

<file path=docProps/app.xml><?xml version="1.0" encoding="utf-8"?>
<Properties xmlns="http://schemas.openxmlformats.org/officeDocument/2006/extended-properties" xmlns:vt="http://schemas.openxmlformats.org/officeDocument/2006/docPropsVTypes">
  <Template>Normal</Template>
  <TotalTime>3</TotalTime>
  <Pages>1</Pages>
  <Words>1838</Words>
  <Characters>10110</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2026-05-13T16:29:00Z</dcterms:created>
  <dcterms:modified xsi:type="dcterms:W3CDTF">2026-05-20T20:25:00Z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