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D2B2" w14:textId="77777777" w:rsidR="00CE73CA" w:rsidRPr="00CE73CA" w:rsidRDefault="00CE73CA" w:rsidP="00CE73CA">
      <w:pPr>
        <w:jc w:val="center"/>
        <w:rPr>
          <w:rFonts w:ascii="Verdana" w:hAnsi="Verdana"/>
          <w:sz w:val="22"/>
          <w:szCs w:val="22"/>
        </w:rPr>
      </w:pPr>
      <w:r w:rsidRPr="00CE73CA">
        <w:rPr>
          <w:rFonts w:ascii="Verdana" w:hAnsi="Verdana"/>
          <w:b/>
          <w:bCs/>
          <w:sz w:val="22"/>
          <w:szCs w:val="22"/>
        </w:rPr>
        <w:t>CONCEPTO 36 DE 2017</w:t>
      </w:r>
    </w:p>
    <w:p w14:paraId="7338C736" w14:textId="77777777" w:rsidR="00CE73CA" w:rsidRPr="00CE73CA" w:rsidRDefault="00CE73CA" w:rsidP="00CE73CA">
      <w:pPr>
        <w:jc w:val="center"/>
        <w:rPr>
          <w:rFonts w:ascii="Verdana" w:hAnsi="Verdana"/>
          <w:sz w:val="22"/>
          <w:szCs w:val="22"/>
        </w:rPr>
      </w:pPr>
      <w:r w:rsidRPr="00CE73CA">
        <w:rPr>
          <w:rFonts w:ascii="Verdana" w:hAnsi="Verdana"/>
          <w:sz w:val="22"/>
          <w:szCs w:val="22"/>
        </w:rPr>
        <w:t>(abril 19)</w:t>
      </w:r>
    </w:p>
    <w:p w14:paraId="6A8334DD" w14:textId="77777777" w:rsidR="00CE73CA" w:rsidRPr="00CE73CA" w:rsidRDefault="00CE73CA" w:rsidP="00CE73CA">
      <w:pPr>
        <w:jc w:val="center"/>
        <w:rPr>
          <w:rFonts w:ascii="Verdana" w:hAnsi="Verdana"/>
          <w:sz w:val="22"/>
          <w:szCs w:val="22"/>
        </w:rPr>
      </w:pPr>
      <w:r w:rsidRPr="00CE73CA">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9"/>
        <w:gridCol w:w="7399"/>
      </w:tblGrid>
      <w:tr w:rsidR="00CE73CA" w:rsidRPr="00CE73CA" w14:paraId="19B5EEEF" w14:textId="77777777" w:rsidTr="00CE73CA">
        <w:trPr>
          <w:tblCellSpacing w:w="15" w:type="dxa"/>
        </w:trPr>
        <w:tc>
          <w:tcPr>
            <w:tcW w:w="792" w:type="pct"/>
            <w:tcBorders>
              <w:top w:val="nil"/>
              <w:left w:val="nil"/>
              <w:bottom w:val="nil"/>
              <w:right w:val="nil"/>
            </w:tcBorders>
            <w:tcMar>
              <w:top w:w="0" w:type="dxa"/>
              <w:left w:w="0" w:type="dxa"/>
              <w:bottom w:w="0" w:type="dxa"/>
              <w:right w:w="0" w:type="dxa"/>
            </w:tcMar>
            <w:hideMark/>
          </w:tcPr>
          <w:p w14:paraId="2401D06E" w14:textId="77777777" w:rsidR="00CE73CA" w:rsidRPr="00CE73CA" w:rsidRDefault="00CE73CA" w:rsidP="00CE73CA">
            <w:pPr>
              <w:jc w:val="both"/>
              <w:rPr>
                <w:rFonts w:ascii="Verdana" w:hAnsi="Verdana"/>
                <w:sz w:val="22"/>
                <w:szCs w:val="22"/>
              </w:rPr>
            </w:pPr>
            <w:r w:rsidRPr="00CE73CA">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74A5DA55" w14:textId="77777777" w:rsidR="00CE73CA" w:rsidRPr="00CE73CA" w:rsidRDefault="00CE73CA" w:rsidP="00CE73CA">
            <w:pPr>
              <w:jc w:val="both"/>
              <w:rPr>
                <w:rFonts w:ascii="Verdana" w:hAnsi="Verdana"/>
                <w:sz w:val="22"/>
                <w:szCs w:val="22"/>
              </w:rPr>
            </w:pPr>
            <w:r w:rsidRPr="00CE73CA">
              <w:rPr>
                <w:rFonts w:ascii="Verdana" w:hAnsi="Verdana"/>
                <w:sz w:val="22"/>
                <w:szCs w:val="22"/>
              </w:rPr>
              <w:t>Coordinador Jurídico</w:t>
            </w:r>
          </w:p>
        </w:tc>
      </w:tr>
      <w:tr w:rsidR="00CE73CA" w:rsidRPr="00CE73CA" w14:paraId="4450D174" w14:textId="77777777" w:rsidTr="00CE73CA">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739C0AA2" w14:textId="77777777" w:rsidR="00CE73CA" w:rsidRPr="00CE73CA" w:rsidRDefault="00CE73CA" w:rsidP="00CE73CA">
            <w:pPr>
              <w:jc w:val="both"/>
              <w:rPr>
                <w:rFonts w:ascii="Verdana" w:hAnsi="Verdana"/>
                <w:sz w:val="22"/>
                <w:szCs w:val="22"/>
              </w:rPr>
            </w:pPr>
            <w:r w:rsidRPr="00CE73CA">
              <w:rPr>
                <w:rFonts w:ascii="Verdana" w:hAnsi="Verdana"/>
                <w:sz w:val="22"/>
                <w:szCs w:val="22"/>
              </w:rPr>
              <w:t>Regional ICBF - Boyacá</w:t>
            </w:r>
          </w:p>
        </w:tc>
      </w:tr>
      <w:tr w:rsidR="00CE73CA" w:rsidRPr="00CE73CA" w14:paraId="11780928" w14:textId="77777777" w:rsidTr="00CE73CA">
        <w:trPr>
          <w:tblCellSpacing w:w="15" w:type="dxa"/>
        </w:trPr>
        <w:tc>
          <w:tcPr>
            <w:tcW w:w="792" w:type="pct"/>
            <w:tcBorders>
              <w:top w:val="nil"/>
              <w:left w:val="nil"/>
              <w:bottom w:val="nil"/>
              <w:right w:val="nil"/>
            </w:tcBorders>
            <w:tcMar>
              <w:top w:w="0" w:type="dxa"/>
              <w:left w:w="0" w:type="dxa"/>
              <w:bottom w:w="0" w:type="dxa"/>
              <w:right w:w="0" w:type="dxa"/>
            </w:tcMar>
            <w:hideMark/>
          </w:tcPr>
          <w:p w14:paraId="6B80187E" w14:textId="77777777" w:rsidR="00CE73CA" w:rsidRPr="00CE73CA" w:rsidRDefault="00CE73CA" w:rsidP="00CE73CA">
            <w:pPr>
              <w:jc w:val="both"/>
              <w:rPr>
                <w:rFonts w:ascii="Verdana" w:hAnsi="Verdana"/>
                <w:sz w:val="22"/>
                <w:szCs w:val="22"/>
              </w:rPr>
            </w:pPr>
            <w:r w:rsidRPr="00CE73CA">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2C38934F" w14:textId="77777777" w:rsidR="00CE73CA" w:rsidRPr="00CE73CA" w:rsidRDefault="00CE73CA" w:rsidP="00CE73CA">
            <w:pPr>
              <w:jc w:val="both"/>
              <w:rPr>
                <w:rFonts w:ascii="Verdana" w:hAnsi="Verdana"/>
                <w:sz w:val="22"/>
                <w:szCs w:val="22"/>
              </w:rPr>
            </w:pPr>
            <w:r w:rsidRPr="00CE73CA">
              <w:rPr>
                <w:rFonts w:ascii="Verdana" w:hAnsi="Verdana"/>
                <w:sz w:val="22"/>
                <w:szCs w:val="22"/>
              </w:rPr>
              <w:t>Consulta sobre la competencia para conocer los Procesos Administrativos de Restablecimiento de Derechos, con radicado No. 116748 del 9 de marzo de 2017.</w:t>
            </w:r>
          </w:p>
        </w:tc>
      </w:tr>
    </w:tbl>
    <w:p w14:paraId="4503F3A3" w14:textId="1160F039" w:rsidR="00CE73CA" w:rsidRPr="00CE73CA" w:rsidRDefault="00CE73CA" w:rsidP="00CE73CA">
      <w:pPr>
        <w:jc w:val="both"/>
        <w:rPr>
          <w:rFonts w:ascii="Verdana" w:hAnsi="Verdana"/>
          <w:sz w:val="22"/>
          <w:szCs w:val="22"/>
        </w:rPr>
      </w:pPr>
      <w:r w:rsidRPr="00CE73CA">
        <w:rPr>
          <w:rFonts w:ascii="Verdana" w:hAnsi="Verdana"/>
          <w:sz w:val="22"/>
          <w:szCs w:val="22"/>
        </w:rPr>
        <w:t>De manera atenta, en relación con el asunto de la referencia, en los términos previstos en los artículos 26 del Código Civil, artículos 26 del Código Civil, artículo 28 de la Ley 1755 de 2015, y numeral 4 del artículo 6 del Decreto 987 de 2012, se procede a emitir concepto en los siguientes términos.</w:t>
      </w:r>
    </w:p>
    <w:p w14:paraId="43A67F38"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1. PROBLEMA JURÍDICO</w:t>
      </w:r>
    </w:p>
    <w:p w14:paraId="656B5A5D" w14:textId="77777777" w:rsidR="00CE73CA" w:rsidRPr="00CE73CA" w:rsidRDefault="00CE73CA" w:rsidP="00CE73CA">
      <w:pPr>
        <w:jc w:val="both"/>
        <w:rPr>
          <w:rFonts w:ascii="Verdana" w:hAnsi="Verdana"/>
          <w:sz w:val="22"/>
          <w:szCs w:val="22"/>
        </w:rPr>
      </w:pPr>
      <w:r w:rsidRPr="00CE73CA">
        <w:rPr>
          <w:rFonts w:ascii="Verdana" w:hAnsi="Verdana"/>
          <w:sz w:val="22"/>
          <w:szCs w:val="22"/>
        </w:rPr>
        <w:t>¿Quién es la Autoridad Administrativa competente para conocer de un Proceso Administrativo de Restablecimiento de Derechos de unos menores de edad que fue necesario ubicarlos en un hogar sustituto en Campohermoso pero su familia reside en el Cauca?</w:t>
      </w:r>
    </w:p>
    <w:p w14:paraId="62768583"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2. ANÁLISIS DEL PROBLEMA JURÍDICO</w:t>
      </w:r>
    </w:p>
    <w:p w14:paraId="77ECE9B9" w14:textId="77777777" w:rsidR="00CE73CA" w:rsidRPr="00CE73CA" w:rsidRDefault="00CE73CA" w:rsidP="00CE73CA">
      <w:pPr>
        <w:jc w:val="both"/>
        <w:rPr>
          <w:rFonts w:ascii="Verdana" w:hAnsi="Verdana"/>
          <w:sz w:val="22"/>
          <w:szCs w:val="22"/>
        </w:rPr>
      </w:pPr>
      <w:r w:rsidRPr="00CE73CA">
        <w:rPr>
          <w:rFonts w:ascii="Verdana" w:hAnsi="Verdana"/>
          <w:sz w:val="22"/>
          <w:szCs w:val="22"/>
        </w:rPr>
        <w:t>Metodológicamente, estudiaremos 2.1 Proceso Administrativo de Restablecimiento de Derechos: 2.2 Los términos para resolver el Proceso Administrativo de Restablecimiento de Derechos, 2.3 Pronunciamiento de la Corte Constitucional sobre el término que tiene el Defensor de Familia para resolver el Proceso Administrativo de Restablecimiento de Derechos; 2.4 Una vez el Defensor de Familia pierde competencia, el Proceso Administrativo de Restablecimiento de Derechos debe ser remitido al Juez de Familia correspondiente. 2.5 La función de las autoridades administrativas en el restablecimiento de los derechos de los niños, las niñas y los adolescentes; 2.6 La competencia de la Autoridad Administrativa, 2.7 La comisión entre autoridades administrativas para la práctica de pruebas; 2.8 Los Hogares Sustitutos; 2.9 Duración de la medida de protección provisional de hogar sustituto 2.10 Prórroga de la medida provisional de Hogar Sustituto; 2.11 El caso en concreto.</w:t>
      </w:r>
    </w:p>
    <w:p w14:paraId="56CF5711" w14:textId="77777777" w:rsidR="00CE73CA" w:rsidRPr="00CE73CA" w:rsidRDefault="00CE73CA" w:rsidP="00CE73CA">
      <w:pPr>
        <w:jc w:val="both"/>
        <w:rPr>
          <w:rFonts w:ascii="Verdana" w:hAnsi="Verdana"/>
          <w:sz w:val="22"/>
          <w:szCs w:val="22"/>
        </w:rPr>
      </w:pPr>
      <w:r w:rsidRPr="00CE73CA">
        <w:rPr>
          <w:rFonts w:ascii="Verdana" w:hAnsi="Verdana"/>
          <w:b/>
          <w:bCs/>
          <w:sz w:val="22"/>
          <w:szCs w:val="22"/>
          <w:u w:val="single"/>
        </w:rPr>
        <w:t>2.1 Proceso Administrativo de Restablecimiento de Derechos</w:t>
      </w:r>
    </w:p>
    <w:p w14:paraId="6B4C0090" w14:textId="77777777" w:rsidR="00CE73CA" w:rsidRPr="00CE73CA" w:rsidRDefault="00CE73CA" w:rsidP="00CE73CA">
      <w:pPr>
        <w:jc w:val="both"/>
        <w:rPr>
          <w:rFonts w:ascii="Verdana" w:hAnsi="Verdana"/>
          <w:sz w:val="22"/>
          <w:szCs w:val="22"/>
        </w:rPr>
      </w:pPr>
      <w:r w:rsidRPr="00CE73CA">
        <w:rPr>
          <w:rFonts w:ascii="Verdana" w:hAnsi="Verdana"/>
          <w:sz w:val="22"/>
          <w:szCs w:val="22"/>
        </w:rPr>
        <w:t>El Proceso Administrativo de Restablecimiento de los Derechos de los niños, niñas y adolescentes es </w:t>
      </w:r>
      <w:r w:rsidRPr="00CE73CA">
        <w:rPr>
          <w:rFonts w:ascii="Verdana" w:hAnsi="Verdana"/>
          <w:i/>
          <w:iCs/>
          <w:sz w:val="22"/>
          <w:szCs w:val="22"/>
        </w:rPr>
        <w:t xml:space="preserve">"(...) el conjunto de actuaciones administrativas y de </w:t>
      </w:r>
      <w:r w:rsidRPr="00CE73CA">
        <w:rPr>
          <w:rFonts w:ascii="Verdana" w:hAnsi="Verdana"/>
          <w:i/>
          <w:iCs/>
          <w:sz w:val="22"/>
          <w:szCs w:val="22"/>
        </w:rPr>
        <w:lastRenderedPageBreak/>
        <w:t>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CE73CA">
        <w:rPr>
          <w:rFonts w:ascii="Verdana" w:hAnsi="Verdana"/>
          <w:i/>
          <w:iCs/>
          <w:sz w:val="22"/>
          <w:szCs w:val="22"/>
          <w:vertAlign w:val="superscript"/>
        </w:rPr>
        <w:t>[1]</w:t>
      </w:r>
    </w:p>
    <w:p w14:paraId="5DBE88E6" w14:textId="77777777" w:rsidR="00CE73CA" w:rsidRPr="00CE73CA" w:rsidRDefault="00CE73CA" w:rsidP="00CE73CA">
      <w:pPr>
        <w:jc w:val="both"/>
        <w:rPr>
          <w:rFonts w:ascii="Verdana" w:hAnsi="Verdana"/>
          <w:sz w:val="22"/>
          <w:szCs w:val="22"/>
        </w:rPr>
      </w:pPr>
      <w:r w:rsidRPr="00CE73CA">
        <w:rPr>
          <w:rFonts w:ascii="Verdana" w:hAnsi="Verdana"/>
          <w:sz w:val="22"/>
          <w:szCs w:val="22"/>
        </w:rPr>
        <w:t>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7196D1AB" w14:textId="77777777" w:rsidR="00CE73CA" w:rsidRPr="00CE73CA" w:rsidRDefault="00CE73CA" w:rsidP="00CE73CA">
      <w:pPr>
        <w:jc w:val="both"/>
        <w:rPr>
          <w:rFonts w:ascii="Verdana" w:hAnsi="Verdana"/>
          <w:sz w:val="22"/>
          <w:szCs w:val="22"/>
        </w:rPr>
      </w:pPr>
      <w:r w:rsidRPr="00CE73CA">
        <w:rPr>
          <w:rFonts w:ascii="Verdana" w:hAnsi="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w:t>
      </w:r>
    </w:p>
    <w:p w14:paraId="41F67F76" w14:textId="77777777" w:rsidR="00CE73CA" w:rsidRPr="00CE73CA" w:rsidRDefault="00CE73CA" w:rsidP="00CE73CA">
      <w:pPr>
        <w:jc w:val="both"/>
        <w:rPr>
          <w:rFonts w:ascii="Verdana" w:hAnsi="Verdana"/>
          <w:sz w:val="22"/>
          <w:szCs w:val="22"/>
        </w:rPr>
      </w:pPr>
      <w:r w:rsidRPr="00CE73CA">
        <w:rPr>
          <w:rFonts w:ascii="Verdana" w:hAnsi="Verdana"/>
          <w:sz w:val="22"/>
          <w:szCs w:val="22"/>
        </w:rPr>
        <w:t>El artículo 100 del Código de la Infancia y la Adolescencia, establece que la actuación administrativa deberá resolverse dentro de los cuatro (4) meses  siguientes a la fecha de la presentación de la solicitud o la apertura oficiosa de la investigación </w:t>
      </w:r>
      <w:r w:rsidRPr="00CE73CA">
        <w:rPr>
          <w:rFonts w:ascii="Verdana" w:hAnsi="Verdana"/>
          <w:sz w:val="22"/>
          <w:szCs w:val="22"/>
          <w:vertAlign w:val="superscript"/>
        </w:rPr>
        <w:t>[2]</w:t>
      </w:r>
      <w:r w:rsidRPr="00CE73CA">
        <w:rPr>
          <w:rFonts w:ascii="Verdana" w:hAnsi="Verdana"/>
          <w:sz w:val="22"/>
          <w:szCs w:val="22"/>
        </w:rPr>
        <w:t> y el recurso de reposición que contra el fallo se presente deberá ser resuelto dentro de los diez (10)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teniendo éste el deber de informar a la Procuraduría General de la Nación de dichas &lt;sic&gt; situación.</w:t>
      </w:r>
    </w:p>
    <w:p w14:paraId="2884B2E7" w14:textId="3CC227DA" w:rsidR="00CE73CA" w:rsidRPr="00CE73CA" w:rsidRDefault="00CE73CA" w:rsidP="00CE73CA">
      <w:pPr>
        <w:jc w:val="both"/>
        <w:rPr>
          <w:rFonts w:ascii="Verdana" w:hAnsi="Verdana"/>
          <w:sz w:val="22"/>
          <w:szCs w:val="22"/>
        </w:rPr>
      </w:pPr>
      <w:r w:rsidRPr="00CE73CA">
        <w:rPr>
          <w:rFonts w:ascii="Verdana" w:hAnsi="Verdana"/>
          <w:sz w:val="22"/>
          <w:szCs w:val="22"/>
        </w:rPr>
        <w:t>De otra parte en el parágrafo del artículo 11 de la Ley 1098 de 2006 se indica que el Instituto Colombiano de Bienestar Familiar como ente coordinador del Sistema Nacional de Bienestar Familiar definirá los lineamientos técnicos que las entidades deben cumplir para garantizar y asegurar el restablecimiento de los derechos de los niños, las niñas y los adolescentes.</w:t>
      </w:r>
    </w:p>
    <w:p w14:paraId="05D00404"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2.2 Los términos para resolver el Proceso Administrativo de Derechos</w:t>
      </w:r>
    </w:p>
    <w:p w14:paraId="1836B47E" w14:textId="3365A249" w:rsidR="00CE73CA" w:rsidRPr="00CE73CA" w:rsidRDefault="00CE73CA" w:rsidP="00CE73CA">
      <w:pPr>
        <w:jc w:val="both"/>
        <w:rPr>
          <w:rFonts w:ascii="Verdana" w:hAnsi="Verdana"/>
          <w:sz w:val="22"/>
          <w:szCs w:val="22"/>
        </w:rPr>
      </w:pPr>
      <w:r w:rsidRPr="00CE73CA">
        <w:rPr>
          <w:rFonts w:ascii="Verdana" w:hAnsi="Verdana"/>
          <w:sz w:val="22"/>
          <w:szCs w:val="22"/>
        </w:rPr>
        <w:t xml:space="preserve">El artículo 100 del Código de la Infancia y la Adolescencia establece en su parágrafo 2o que la actuación administrativa a favor de un niño, niña o adolescente deberá resolverse dentro de los cuatro (4) meses siguientes a la </w:t>
      </w:r>
      <w:r w:rsidRPr="00CE73CA">
        <w:rPr>
          <w:rFonts w:ascii="Verdana" w:hAnsi="Verdana"/>
          <w:sz w:val="22"/>
          <w:szCs w:val="22"/>
        </w:rPr>
        <w:lastRenderedPageBreak/>
        <w:t>fecha de la presentación de la solicitud o de la apertura oficiosa de la investigación</w:t>
      </w:r>
      <w:r w:rsidRPr="00CE73CA">
        <w:rPr>
          <w:rFonts w:ascii="Verdana" w:hAnsi="Verdana"/>
          <w:sz w:val="22"/>
          <w:szCs w:val="22"/>
          <w:vertAlign w:val="superscript"/>
        </w:rPr>
        <w:t>[3]</w:t>
      </w:r>
      <w:r w:rsidRPr="00CE73CA">
        <w:rPr>
          <w:rFonts w:ascii="Verdana" w:hAnsi="Verdana"/>
          <w:sz w:val="22"/>
          <w:szCs w:val="22"/>
        </w:rPr>
        <w:t> y que el recurso de reposición que se presente contra el respectivo fallo deberá ser resuelto dentro de los diez (10) días siguientes al vencimiento del término para interponerlo.</w:t>
      </w:r>
    </w:p>
    <w:p w14:paraId="05B7119B" w14:textId="77777777" w:rsidR="00CE73CA" w:rsidRPr="00CE73CA" w:rsidRDefault="00CE73CA" w:rsidP="00CE73CA">
      <w:pPr>
        <w:jc w:val="both"/>
        <w:rPr>
          <w:rFonts w:ascii="Verdana" w:hAnsi="Verdana"/>
          <w:sz w:val="22"/>
          <w:szCs w:val="22"/>
        </w:rPr>
      </w:pPr>
      <w:r w:rsidRPr="00CE73CA">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5B2B13E4" w14:textId="77777777" w:rsidR="00CE73CA" w:rsidRPr="00CE73CA" w:rsidRDefault="00CE73CA" w:rsidP="00CE73CA">
      <w:pPr>
        <w:jc w:val="both"/>
        <w:rPr>
          <w:rFonts w:ascii="Verdana" w:hAnsi="Verdana"/>
          <w:sz w:val="22"/>
          <w:szCs w:val="22"/>
        </w:rPr>
      </w:pPr>
      <w:r w:rsidRPr="00CE73CA">
        <w:rPr>
          <w:rFonts w:ascii="Verdana" w:hAnsi="Verdana"/>
          <w:sz w:val="22"/>
          <w:szCs w:val="22"/>
        </w:rPr>
        <w:t>Excepcionalmente y por solicitud razonada del Defensor o Comisario de Familia, el Director Regional podrá ampliar el término para fallar la actuación administrativa hasta por dos (2) meses más, contados a partir del vencimiento de los cuatro iniciales, sin que exista en ningún caso nueva prórroga.</w:t>
      </w:r>
    </w:p>
    <w:p w14:paraId="1EA6EE97" w14:textId="5F078314" w:rsidR="00CE73CA" w:rsidRPr="00CE73CA" w:rsidRDefault="00CE73CA" w:rsidP="00CE73CA">
      <w:pPr>
        <w:jc w:val="both"/>
        <w:rPr>
          <w:rFonts w:ascii="Verdana" w:hAnsi="Verdana"/>
          <w:sz w:val="22"/>
          <w:szCs w:val="22"/>
        </w:rPr>
      </w:pPr>
      <w:r w:rsidRPr="00CE73CA">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051BEBC1" w14:textId="77777777" w:rsidR="00CE73CA" w:rsidRPr="00CE73CA" w:rsidRDefault="00CE73CA" w:rsidP="00CE73CA">
      <w:pPr>
        <w:jc w:val="both"/>
        <w:rPr>
          <w:rFonts w:ascii="Verdana" w:hAnsi="Verdana"/>
          <w:sz w:val="22"/>
          <w:szCs w:val="22"/>
        </w:rPr>
      </w:pPr>
      <w:r w:rsidRPr="00CE73CA">
        <w:rPr>
          <w:rFonts w:ascii="Verdana" w:hAnsi="Verdana"/>
          <w:sz w:val="22"/>
          <w:szCs w:val="22"/>
        </w:rPr>
        <w:t>Debe resaltarse que la Ley no dio excepciones de ningún tipo atendiendo al principio normativo esencial de eficiencia y utilidad para garantizar a cabalidad la protección integral de los intereses y garantías de los niños, niñas y adolescentes.</w:t>
      </w:r>
    </w:p>
    <w:p w14:paraId="1B2FF6E0" w14:textId="77777777" w:rsidR="00CE73CA" w:rsidRPr="00CE73CA" w:rsidRDefault="00CE73CA" w:rsidP="00CE73CA">
      <w:pPr>
        <w:jc w:val="both"/>
        <w:rPr>
          <w:rFonts w:ascii="Verdana" w:hAnsi="Verdana"/>
          <w:sz w:val="22"/>
          <w:szCs w:val="22"/>
        </w:rPr>
      </w:pPr>
      <w:r w:rsidRPr="00CE73CA">
        <w:rPr>
          <w:rFonts w:ascii="Verdana" w:hAnsi="Verdana"/>
          <w:b/>
          <w:bCs/>
          <w:sz w:val="22"/>
          <w:szCs w:val="22"/>
          <w:u w:val="single"/>
        </w:rPr>
        <w:t>2.3. Pronunciamiento de la Corte Constitucional sobre el término que tiene el Defensor de Familia para resolver el Proceso Administrativo de Restablecimiento de Derechos</w:t>
      </w:r>
    </w:p>
    <w:p w14:paraId="1A1EA5DA" w14:textId="577F856D" w:rsidR="00CE73CA" w:rsidRPr="00CE73CA" w:rsidRDefault="00CE73CA" w:rsidP="00CE73CA">
      <w:pPr>
        <w:jc w:val="both"/>
        <w:rPr>
          <w:rFonts w:ascii="Verdana" w:hAnsi="Verdana"/>
          <w:sz w:val="22"/>
          <w:szCs w:val="22"/>
        </w:rPr>
      </w:pPr>
      <w:r w:rsidRPr="00CE73CA">
        <w:rPr>
          <w:rFonts w:ascii="Verdana" w:hAnsi="Verdana"/>
          <w:sz w:val="22"/>
          <w:szCs w:val="22"/>
        </w:rPr>
        <w:t>Sobre éste asunto, ha dicho la H. Corte Constitucional en sentencia C - 228 de 2008 que: </w:t>
      </w:r>
      <w:r w:rsidRPr="00CE73CA">
        <w:rPr>
          <w:rFonts w:ascii="Verdana" w:hAnsi="Verdana"/>
          <w:i/>
          <w:iCs/>
          <w:sz w:val="22"/>
          <w:szCs w:val="22"/>
        </w:rPr>
        <w:t>El aparte demandado estatuye que la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 Juez de Familia para que, de oficio, adelante la actuación o el proceso respectivo.</w:t>
      </w:r>
    </w:p>
    <w:p w14:paraId="24CD51B2" w14:textId="2A89945E" w:rsidR="00CE73CA" w:rsidRPr="00CE73CA" w:rsidRDefault="00CE73CA" w:rsidP="00CE73CA">
      <w:pPr>
        <w:jc w:val="both"/>
        <w:rPr>
          <w:rFonts w:ascii="Verdana" w:hAnsi="Verdana"/>
          <w:sz w:val="22"/>
          <w:szCs w:val="22"/>
        </w:rPr>
      </w:pPr>
      <w:r w:rsidRPr="00CE73CA">
        <w:rPr>
          <w:rFonts w:ascii="Verdana" w:hAnsi="Verdana"/>
          <w:i/>
          <w:iCs/>
          <w:sz w:val="22"/>
          <w:szCs w:val="22"/>
        </w:rPr>
        <w:lastRenderedPageBreak/>
        <w:t>Según lo dispuesto en el Art. 29 superior el debido proceso se aplicará a toda clase de actuaciones judiciales y administrativas y una de sus características es que no tenga dilaciones injustificadas.</w:t>
      </w:r>
    </w:p>
    <w:p w14:paraId="73C3E7A9" w14:textId="77777777" w:rsidR="00CE73CA" w:rsidRPr="00CE73CA" w:rsidRDefault="00CE73CA" w:rsidP="00CE73CA">
      <w:pPr>
        <w:jc w:val="both"/>
        <w:rPr>
          <w:rFonts w:ascii="Verdana" w:hAnsi="Verdana"/>
          <w:sz w:val="22"/>
          <w:szCs w:val="22"/>
        </w:rPr>
      </w:pPr>
      <w:r w:rsidRPr="00CE73CA">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w:t>
      </w:r>
      <w:r w:rsidRPr="00CE73CA">
        <w:rPr>
          <w:rFonts w:ascii="Verdana" w:hAnsi="Verdana"/>
          <w:sz w:val="22"/>
          <w:szCs w:val="22"/>
        </w:rPr>
        <w:t> y </w:t>
      </w:r>
      <w:r w:rsidRPr="00CE73CA">
        <w:rPr>
          <w:rFonts w:ascii="Verdana" w:hAnsi="Verdana"/>
          <w:i/>
          <w:iCs/>
          <w:sz w:val="22"/>
          <w:szCs w:val="22"/>
        </w:rPr>
        <w:t>la adopción de las decisiones correspondientes. Por ello es razonable que la expresión demandada señale los términos mencionados para resolver tanto la actuación administrativa como el recurso de reposición que procede contra dicha resolución.</w:t>
      </w:r>
    </w:p>
    <w:p w14:paraId="3D9B41F8" w14:textId="77777777" w:rsidR="00CE73CA" w:rsidRPr="00CE73CA" w:rsidRDefault="00CE73CA" w:rsidP="00CE73CA">
      <w:pPr>
        <w:jc w:val="both"/>
        <w:rPr>
          <w:rFonts w:ascii="Verdana" w:hAnsi="Verdana"/>
          <w:sz w:val="22"/>
          <w:szCs w:val="22"/>
        </w:rPr>
      </w:pPr>
      <w:r w:rsidRPr="00CE73CA">
        <w:rPr>
          <w:rFonts w:ascii="Verdana" w:hAnsi="Verdana"/>
          <w:i/>
          <w:iCs/>
          <w:sz w:val="22"/>
          <w:szCs w:val="22"/>
        </w:rPr>
        <w:t>En el mismo sentido, también es razonable que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083E9F70" w14:textId="4CFD30FB" w:rsidR="00CE73CA" w:rsidRPr="00CE73CA" w:rsidRDefault="00CE73CA" w:rsidP="00CE73CA">
      <w:pPr>
        <w:jc w:val="both"/>
        <w:rPr>
          <w:rFonts w:ascii="Verdana" w:hAnsi="Verdana"/>
          <w:sz w:val="22"/>
          <w:szCs w:val="22"/>
        </w:rPr>
      </w:pPr>
      <w:r w:rsidRPr="00CE73CA">
        <w:rPr>
          <w:rFonts w:ascii="Verdana" w:hAnsi="Verdana"/>
          <w:i/>
          <w:iCs/>
          <w:sz w:val="22"/>
          <w:szCs w:val="22"/>
        </w:rPr>
        <w:t>Por consiguiente, dicha expresión no vulnera el derecho de defensa consagrado en el Art. 29 de la Constitución y será declarada exequible, por el cargo planteado.</w:t>
      </w:r>
    </w:p>
    <w:p w14:paraId="65774515" w14:textId="77777777" w:rsidR="00CE73CA" w:rsidRPr="00CE73CA" w:rsidRDefault="00CE73CA" w:rsidP="00CE73CA">
      <w:pPr>
        <w:jc w:val="both"/>
        <w:rPr>
          <w:rFonts w:ascii="Verdana" w:hAnsi="Verdana"/>
          <w:sz w:val="22"/>
          <w:szCs w:val="22"/>
        </w:rPr>
      </w:pPr>
      <w:r w:rsidRPr="00CE73CA">
        <w:rPr>
          <w:rFonts w:ascii="Verdana" w:hAnsi="Verdana"/>
          <w:sz w:val="22"/>
          <w:szCs w:val="22"/>
        </w:rPr>
        <w:t>Así las cosas, es claro que la Autoridad Administrativa pierde competencia para continuar con el trámite del Procedimiento Administrativo de Restablecimiento de Derechos cuando se vence el término para fallar sin haberse emitido la decisión correspondiente, cuando se vence el término para resolver el recurso de reposición y cuando habiéndose otorgado prórroga se vence el nuevo término sin que se haya fallado.</w:t>
      </w:r>
    </w:p>
    <w:p w14:paraId="2BA215B7" w14:textId="77777777" w:rsidR="00CE73CA" w:rsidRPr="00CE73CA" w:rsidRDefault="00CE73CA" w:rsidP="00CE73CA">
      <w:pPr>
        <w:jc w:val="both"/>
        <w:rPr>
          <w:rFonts w:ascii="Verdana" w:hAnsi="Verdana"/>
          <w:sz w:val="22"/>
          <w:szCs w:val="22"/>
        </w:rPr>
      </w:pPr>
      <w:r w:rsidRPr="00CE73CA">
        <w:rPr>
          <w:rFonts w:ascii="Verdana" w:hAnsi="Verdana"/>
          <w:b/>
          <w:bCs/>
          <w:sz w:val="22"/>
          <w:szCs w:val="22"/>
          <w:u w:val="single"/>
        </w:rPr>
        <w:t>2.4. Una vez el Defensor de Familia pierde competencia, el Proceso Administrativo de Restablecimiento de Derechos debe ser remitido al Juez de Familia correspondiente</w:t>
      </w:r>
    </w:p>
    <w:p w14:paraId="0427D437" w14:textId="6110FF13" w:rsidR="00CE73CA" w:rsidRPr="00CE73CA" w:rsidRDefault="00CE73CA" w:rsidP="00CE73CA">
      <w:pPr>
        <w:jc w:val="both"/>
        <w:rPr>
          <w:rFonts w:ascii="Verdana" w:hAnsi="Verdana"/>
          <w:sz w:val="22"/>
          <w:szCs w:val="22"/>
        </w:rPr>
      </w:pPr>
      <w:r w:rsidRPr="00CE73CA">
        <w:rPr>
          <w:rFonts w:ascii="Verdana" w:hAnsi="Verdana"/>
          <w:sz w:val="22"/>
          <w:szCs w:val="22"/>
        </w:rPr>
        <w:t>El parágrafo 2 del artículo 100 del Código de Infancia y Adolescencia dispone que el Defensor de Familia debe remitir en forma inmediata el proceso administrativo de restablecimiento de derechos al Juez de Familia, cuando pierde la competencia, para que éste resuelva el caso y compulse copias a la Procuraduría General de la Nación para que promueva la investigación disciplinaria a que haya lugar.</w:t>
      </w:r>
    </w:p>
    <w:p w14:paraId="07050771" w14:textId="4BDA8461" w:rsidR="00CE73CA" w:rsidRPr="00CE73CA" w:rsidRDefault="00CE73CA" w:rsidP="00CE73CA">
      <w:pPr>
        <w:jc w:val="both"/>
        <w:rPr>
          <w:rFonts w:ascii="Verdana" w:hAnsi="Verdana"/>
          <w:sz w:val="22"/>
          <w:szCs w:val="22"/>
        </w:rPr>
      </w:pPr>
      <w:r w:rsidRPr="00CE73CA">
        <w:rPr>
          <w:rFonts w:ascii="Verdana" w:hAnsi="Verdana"/>
          <w:sz w:val="22"/>
          <w:szCs w:val="22"/>
        </w:rPr>
        <w:t xml:space="preserve">Es así como, la Ley 1098 de 2006 establece la competencia de los Jueces de Familia en este Proceso Administrativo y otorga de esta manera una garantía y </w:t>
      </w:r>
      <w:r w:rsidRPr="00CE73CA">
        <w:rPr>
          <w:rFonts w:ascii="Verdana" w:hAnsi="Verdana"/>
          <w:sz w:val="22"/>
          <w:szCs w:val="22"/>
        </w:rPr>
        <w:lastRenderedPageBreak/>
        <w:t>eficacia para el restablecimiento de los derechos de los menores de edad, mediante la asignación del deber de resolver el caso cuando el Defensor de Familia o el Comisario de Familia hayan perdido competencia.</w:t>
      </w:r>
      <w:r w:rsidRPr="00CE73CA">
        <w:rPr>
          <w:rFonts w:ascii="Verdana" w:hAnsi="Verdana"/>
          <w:sz w:val="22"/>
          <w:szCs w:val="22"/>
          <w:vertAlign w:val="superscript"/>
        </w:rPr>
        <w:t>[4] </w:t>
      </w:r>
      <w:r w:rsidRPr="00CE73CA">
        <w:rPr>
          <w:rFonts w:ascii="Verdana" w:hAnsi="Verdana"/>
          <w:sz w:val="22"/>
          <w:szCs w:val="22"/>
        </w:rPr>
        <w:t>Esta</w:t>
      </w:r>
      <w:r w:rsidRPr="00CE73CA">
        <w:rPr>
          <w:rFonts w:ascii="Verdana" w:hAnsi="Verdana"/>
          <w:sz w:val="22"/>
          <w:szCs w:val="22"/>
          <w:vertAlign w:val="superscript"/>
        </w:rPr>
        <w:t> </w:t>
      </w:r>
      <w:r w:rsidRPr="00CE73CA">
        <w:rPr>
          <w:rFonts w:ascii="Verdana" w:hAnsi="Verdana"/>
          <w:sz w:val="22"/>
          <w:szCs w:val="22"/>
        </w:rPr>
        <w:t>función no es discrecional o facultativa del juez, sino una obligación legal.</w:t>
      </w:r>
    </w:p>
    <w:p w14:paraId="66FB3C23"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2.5 </w:t>
      </w:r>
      <w:r w:rsidRPr="00CE73CA">
        <w:rPr>
          <w:rFonts w:ascii="Verdana" w:hAnsi="Verdana"/>
          <w:b/>
          <w:bCs/>
          <w:sz w:val="22"/>
          <w:szCs w:val="22"/>
          <w:u w:val="single"/>
        </w:rPr>
        <w:t>La función de las autoridades administrativas en el restablecimiento de los derechos de los niños, las niñas y los adolescentes</w:t>
      </w:r>
    </w:p>
    <w:p w14:paraId="4F3EEC7F" w14:textId="77777777" w:rsidR="00CE73CA" w:rsidRPr="00CE73CA" w:rsidRDefault="00CE73CA" w:rsidP="00CE73CA">
      <w:pPr>
        <w:jc w:val="both"/>
        <w:rPr>
          <w:rFonts w:ascii="Verdana" w:hAnsi="Verdana"/>
          <w:sz w:val="22"/>
          <w:szCs w:val="22"/>
        </w:rPr>
      </w:pPr>
      <w:r w:rsidRPr="00CE73CA">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3C039F8D" w14:textId="77777777" w:rsidR="00CE73CA" w:rsidRPr="00CE73CA" w:rsidRDefault="00CE73CA" w:rsidP="00CE73CA">
      <w:pPr>
        <w:jc w:val="both"/>
        <w:rPr>
          <w:rFonts w:ascii="Verdana" w:hAnsi="Verdana"/>
          <w:sz w:val="22"/>
          <w:szCs w:val="22"/>
        </w:rPr>
      </w:pPr>
      <w:r w:rsidRPr="00CE73CA">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720CAEC6" w14:textId="77777777" w:rsidR="00CE73CA" w:rsidRPr="00CE73CA" w:rsidRDefault="00CE73CA" w:rsidP="00CE73CA">
      <w:pPr>
        <w:jc w:val="both"/>
        <w:rPr>
          <w:rFonts w:ascii="Verdana" w:hAnsi="Verdana"/>
          <w:sz w:val="22"/>
          <w:szCs w:val="22"/>
        </w:rPr>
      </w:pPr>
      <w:r w:rsidRPr="00CE73CA">
        <w:rPr>
          <w:rFonts w:ascii="Verdana" w:hAnsi="Verdana"/>
          <w:sz w:val="22"/>
          <w:szCs w:val="22"/>
        </w:rPr>
        <w:t>La normatividad establecida en el Código de la Infancia y la Adolescencia aplica para todos los niños, niñas y adolescentes nacionales o extranjeros que se encuentren en el país, a los nacionales que se encuentren fuera del país y a aquellos con doble nacionalidad cuando una de ellas sea colombiana.</w:t>
      </w:r>
      <w:r w:rsidRPr="00CE73CA">
        <w:rPr>
          <w:rFonts w:ascii="Verdana" w:hAnsi="Verdana"/>
          <w:sz w:val="22"/>
          <w:szCs w:val="22"/>
          <w:vertAlign w:val="superscript"/>
        </w:rPr>
        <w:t>[5]</w:t>
      </w:r>
    </w:p>
    <w:p w14:paraId="6B99D7DD" w14:textId="77777777" w:rsidR="00CE73CA" w:rsidRPr="00CE73CA" w:rsidRDefault="00CE73CA" w:rsidP="00CE73CA">
      <w:pPr>
        <w:jc w:val="both"/>
        <w:rPr>
          <w:rFonts w:ascii="Verdana" w:hAnsi="Verdana"/>
          <w:sz w:val="22"/>
          <w:szCs w:val="22"/>
        </w:rPr>
      </w:pPr>
      <w:r w:rsidRPr="00CE73CA">
        <w:rPr>
          <w:rFonts w:ascii="Verdana" w:hAnsi="Verdana"/>
          <w:sz w:val="22"/>
          <w:szCs w:val="22"/>
        </w:rPr>
        <w:t>Al respecto, la Corte Constitucional precisó con relación al Código de la Infancia y la Adolescencia que:</w:t>
      </w:r>
    </w:p>
    <w:p w14:paraId="07FB35E5" w14:textId="5DCFC634" w:rsidR="00CE73CA" w:rsidRPr="00CE73CA" w:rsidRDefault="00CE73CA" w:rsidP="00CE73CA">
      <w:pPr>
        <w:jc w:val="both"/>
        <w:rPr>
          <w:rFonts w:ascii="Verdana" w:hAnsi="Verdana"/>
          <w:sz w:val="22"/>
          <w:szCs w:val="22"/>
        </w:rPr>
      </w:pPr>
      <w:r w:rsidRPr="00CE73CA">
        <w:rPr>
          <w:rFonts w:ascii="Verdana" w:hAnsi="Verdana"/>
          <w:i/>
          <w:iCs/>
          <w:sz w:val="22"/>
          <w:szCs w:val="22"/>
        </w:rPr>
        <w:t>"El propio ordenamiento establece que sus normas son de orden público, de carácter irrenunciable y preferente, las cuales a su vez deben ser interpretadas y aplicadas de acuerdo con la Constitución Política y los Tratados de Derechos Humanos ratificados por Colombia</w:t>
      </w:r>
      <w:r w:rsidRPr="00CE73CA">
        <w:rPr>
          <w:rFonts w:ascii="Verdana" w:hAnsi="Verdana"/>
          <w:b/>
          <w:bCs/>
          <w:sz w:val="22"/>
          <w:szCs w:val="22"/>
        </w:rPr>
        <w:t>, </w:t>
      </w:r>
      <w:r w:rsidRPr="00CE73CA">
        <w:rPr>
          <w:rFonts w:ascii="Verdana" w:hAnsi="Verdana"/>
          <w:i/>
          <w:iCs/>
          <w:sz w:val="22"/>
          <w:szCs w:val="22"/>
        </w:rPr>
        <w:t>en especial, por la Convención sobre los Derechos del Niño, ordenamientos que se entienden además integrados al citado código (arts. 5 y 6)".</w:t>
      </w:r>
      <w:r w:rsidRPr="00CE73CA">
        <w:rPr>
          <w:rFonts w:ascii="Verdana" w:hAnsi="Verdana"/>
          <w:i/>
          <w:iCs/>
          <w:sz w:val="22"/>
          <w:szCs w:val="22"/>
          <w:vertAlign w:val="superscript"/>
        </w:rPr>
        <w:t>[6]</w:t>
      </w:r>
    </w:p>
    <w:p w14:paraId="4B4F485D" w14:textId="77777777" w:rsidR="00CE73CA" w:rsidRPr="00CE73CA" w:rsidRDefault="00CE73CA" w:rsidP="00CE73CA">
      <w:pPr>
        <w:jc w:val="both"/>
        <w:rPr>
          <w:rFonts w:ascii="Verdana" w:hAnsi="Verdana"/>
          <w:sz w:val="22"/>
          <w:szCs w:val="22"/>
        </w:rPr>
      </w:pPr>
      <w:r w:rsidRPr="00CE73CA">
        <w:rPr>
          <w:rFonts w:ascii="Verdana" w:hAnsi="Verdana"/>
          <w:sz w:val="22"/>
          <w:szCs w:val="22"/>
        </w:rPr>
        <w:t>En el capítulo III de dicho Código se establece cuáles son las autoridades competentes para el restablecimiento de los derechos de los niños, las niñas y los adolescentes, cuya función primordial es prevenir, garantizar y restablecer los derechos de los menores de edad.</w:t>
      </w:r>
    </w:p>
    <w:p w14:paraId="3B97FE23" w14:textId="3E7DBF71" w:rsidR="00CE73CA" w:rsidRPr="00CE73CA" w:rsidRDefault="00CE73CA" w:rsidP="00CE73CA">
      <w:pPr>
        <w:jc w:val="both"/>
        <w:rPr>
          <w:rFonts w:ascii="Verdana" w:hAnsi="Verdana"/>
          <w:sz w:val="22"/>
          <w:szCs w:val="22"/>
        </w:rPr>
      </w:pPr>
      <w:r w:rsidRPr="00CE73CA">
        <w:rPr>
          <w:rFonts w:ascii="Verdana" w:hAnsi="Verdana"/>
          <w:sz w:val="22"/>
          <w:szCs w:val="22"/>
        </w:rPr>
        <w:t>En efecto, en el artículo 96 de la Ley 1098 de 2006 se contempla que</w:t>
      </w:r>
    </w:p>
    <w:p w14:paraId="50FD6333" w14:textId="77777777" w:rsidR="00CE73CA" w:rsidRPr="00CE73CA" w:rsidRDefault="00CE73CA" w:rsidP="00CE73CA">
      <w:pPr>
        <w:jc w:val="both"/>
        <w:rPr>
          <w:rFonts w:ascii="Verdana" w:hAnsi="Verdana"/>
          <w:sz w:val="22"/>
          <w:szCs w:val="22"/>
        </w:rPr>
      </w:pPr>
      <w:r w:rsidRPr="00CE73CA">
        <w:rPr>
          <w:rFonts w:ascii="Verdana" w:hAnsi="Verdana"/>
          <w:i/>
          <w:iCs/>
          <w:sz w:val="22"/>
          <w:szCs w:val="22"/>
        </w:rPr>
        <w:t>"Corresponde a los defensores de familia y comisarios de familia procurar y promover la realización y restablecimiento de los derechos reconocidos en los tratados internacionales, en la Constitución Política y en el presente Código".</w:t>
      </w:r>
    </w:p>
    <w:p w14:paraId="23D3773E" w14:textId="77777777" w:rsidR="00CE73CA" w:rsidRPr="00CE73CA" w:rsidRDefault="00CE73CA" w:rsidP="00CE73CA">
      <w:pPr>
        <w:jc w:val="both"/>
        <w:rPr>
          <w:rFonts w:ascii="Verdana" w:hAnsi="Verdana"/>
          <w:sz w:val="22"/>
          <w:szCs w:val="22"/>
        </w:rPr>
      </w:pPr>
      <w:r w:rsidRPr="00CE73CA">
        <w:rPr>
          <w:rFonts w:ascii="Verdana" w:hAnsi="Verdana"/>
          <w:b/>
          <w:bCs/>
          <w:sz w:val="22"/>
          <w:szCs w:val="22"/>
          <w:u w:val="single"/>
        </w:rPr>
        <w:t>2.6 La competencia de la Autoridad Administrativa</w:t>
      </w:r>
    </w:p>
    <w:p w14:paraId="02924597" w14:textId="77777777" w:rsidR="00CE73CA" w:rsidRPr="00CE73CA" w:rsidRDefault="00CE73CA" w:rsidP="00CE73CA">
      <w:pPr>
        <w:jc w:val="both"/>
        <w:rPr>
          <w:rFonts w:ascii="Verdana" w:hAnsi="Verdana"/>
          <w:sz w:val="22"/>
          <w:szCs w:val="22"/>
        </w:rPr>
      </w:pPr>
      <w:r w:rsidRPr="00CE73CA">
        <w:rPr>
          <w:rFonts w:ascii="Verdana" w:hAnsi="Verdana"/>
          <w:sz w:val="22"/>
          <w:szCs w:val="22"/>
        </w:rPr>
        <w:lastRenderedPageBreak/>
        <w:t>En este punto es importante iniciar precisando que la competencia administrativa es la atribución que la ley le otorga a algunas personas u órganos del Estado para conocer y decidir determinados asuntos de la administración pública.</w:t>
      </w:r>
    </w:p>
    <w:p w14:paraId="408470F2" w14:textId="77777777" w:rsidR="00CE73CA" w:rsidRPr="00CE73CA" w:rsidRDefault="00CE73CA" w:rsidP="00CE73CA">
      <w:pPr>
        <w:jc w:val="both"/>
        <w:rPr>
          <w:rFonts w:ascii="Verdana" w:hAnsi="Verdana"/>
          <w:sz w:val="22"/>
          <w:szCs w:val="22"/>
        </w:rPr>
      </w:pPr>
      <w:r w:rsidRPr="00CE73CA">
        <w:rPr>
          <w:rFonts w:ascii="Verdana" w:hAnsi="Verdana"/>
          <w:sz w:val="22"/>
          <w:szCs w:val="22"/>
        </w:rPr>
        <w:t>Generalmente, la actividad que desarrollan las autoridades administrativas está determinada por la ley, sin embargo, en algunos casos puede presentarse en su ejercicio conflicto entre ellas bien porque consideren de su competencia el conocimiento de un asunto determinado o porque estiman lo contrario.</w:t>
      </w:r>
    </w:p>
    <w:p w14:paraId="33EDCB82" w14:textId="4E253839" w:rsidR="00CE73CA" w:rsidRPr="00CE73CA" w:rsidRDefault="00CE73CA" w:rsidP="00CE73CA">
      <w:pPr>
        <w:jc w:val="both"/>
        <w:rPr>
          <w:rFonts w:ascii="Verdana" w:hAnsi="Verdana"/>
          <w:sz w:val="22"/>
          <w:szCs w:val="22"/>
        </w:rPr>
      </w:pPr>
      <w:r w:rsidRPr="00CE73CA">
        <w:rPr>
          <w:rFonts w:ascii="Verdana" w:hAnsi="Verdana"/>
          <w:sz w:val="22"/>
          <w:szCs w:val="22"/>
        </w:rPr>
        <w:t>Ahora, específicamente respecto a la competencia de las autoridades administrativas, el artículo 96 de la Ley 1098 de 2006, dispone que:</w:t>
      </w:r>
    </w:p>
    <w:p w14:paraId="44A511AB" w14:textId="77777777" w:rsidR="00CE73CA" w:rsidRPr="00CE73CA" w:rsidRDefault="00CE73CA" w:rsidP="00CE73CA">
      <w:pPr>
        <w:jc w:val="both"/>
        <w:rPr>
          <w:rFonts w:ascii="Verdana" w:hAnsi="Verdana"/>
          <w:sz w:val="22"/>
          <w:szCs w:val="22"/>
        </w:rPr>
      </w:pPr>
      <w:r w:rsidRPr="00CE73CA">
        <w:rPr>
          <w:rFonts w:ascii="Verdana" w:hAnsi="Verdana"/>
          <w:i/>
          <w:iCs/>
          <w:sz w:val="22"/>
          <w:szCs w:val="22"/>
        </w:rPr>
        <w:t>Corresponde a los Defensores de Familia y Comisarios de Familia procurar y promover la realización y restablecimiento de los derechos reconocidos en los tratados internacionales</w:t>
      </w:r>
      <w:r w:rsidRPr="00CE73CA">
        <w:rPr>
          <w:rFonts w:ascii="Verdana" w:hAnsi="Verdana"/>
          <w:b/>
          <w:bCs/>
          <w:i/>
          <w:iCs/>
          <w:sz w:val="22"/>
          <w:szCs w:val="22"/>
        </w:rPr>
        <w:t>, </w:t>
      </w:r>
      <w:r w:rsidRPr="00CE73CA">
        <w:rPr>
          <w:rFonts w:ascii="Verdana" w:hAnsi="Verdana"/>
          <w:i/>
          <w:iCs/>
          <w:sz w:val="22"/>
          <w:szCs w:val="22"/>
        </w:rPr>
        <w:t>en la Constitución Política y en el presente Código.</w:t>
      </w:r>
    </w:p>
    <w:p w14:paraId="0BA3A5FD" w14:textId="77777777" w:rsidR="00CE73CA" w:rsidRPr="00CE73CA" w:rsidRDefault="00CE73CA" w:rsidP="00CE73CA">
      <w:pPr>
        <w:jc w:val="both"/>
        <w:rPr>
          <w:rFonts w:ascii="Verdana" w:hAnsi="Verdana"/>
          <w:sz w:val="22"/>
          <w:szCs w:val="22"/>
        </w:rPr>
      </w:pPr>
      <w:r w:rsidRPr="00CE73CA">
        <w:rPr>
          <w:rFonts w:ascii="Verdana" w:hAnsi="Verdana"/>
          <w:i/>
          <w:iCs/>
          <w:sz w:val="22"/>
          <w:szCs w:val="22"/>
        </w:rPr>
        <w:t>El seguimiento de las medidas de protección o de restablecimiento adoptadas por los Defensores y Comisarios de Familia estará a cargo del respectivo coordinador del centro zonal del Instituto Colombiano de Bienestar Familiar.</w:t>
      </w:r>
    </w:p>
    <w:p w14:paraId="20239EB9" w14:textId="11D8E342" w:rsidR="00CE73CA" w:rsidRPr="00CE73CA" w:rsidRDefault="00CE73CA" w:rsidP="00CE73CA">
      <w:pPr>
        <w:jc w:val="both"/>
        <w:rPr>
          <w:rFonts w:ascii="Verdana" w:hAnsi="Verdana"/>
          <w:sz w:val="22"/>
          <w:szCs w:val="22"/>
        </w:rPr>
      </w:pPr>
      <w:r w:rsidRPr="00CE73CA">
        <w:rPr>
          <w:rFonts w:ascii="Verdana" w:hAnsi="Verdana"/>
          <w:sz w:val="22"/>
          <w:szCs w:val="22"/>
        </w:rPr>
        <w:t>Por su parte, el artículo 97 ibídem establece la competencia de éstos funcionarios así:</w:t>
      </w:r>
    </w:p>
    <w:p w14:paraId="118CE172" w14:textId="77777777" w:rsidR="00CE73CA" w:rsidRPr="00CE73CA" w:rsidRDefault="00CE73CA" w:rsidP="00CE73CA">
      <w:pPr>
        <w:jc w:val="both"/>
        <w:rPr>
          <w:rFonts w:ascii="Verdana" w:hAnsi="Verdana"/>
          <w:sz w:val="22"/>
          <w:szCs w:val="22"/>
        </w:rPr>
      </w:pPr>
      <w:r w:rsidRPr="00CE73CA">
        <w:rPr>
          <w:rFonts w:ascii="Verdana" w:hAnsi="Verdana"/>
          <w:i/>
          <w:iCs/>
          <w:sz w:val="22"/>
          <w:szCs w:val="22"/>
        </w:rPr>
        <w:t>Será competente la autoridad del lugar donde se encuentre el niño, la niña o el adolescente, pero cuando se encuentre fuera del país, será competente la autoridad del lugar en donde se haya tenido su última residencia dentro del territorio nacional.</w:t>
      </w:r>
    </w:p>
    <w:p w14:paraId="64B19BC4" w14:textId="77777777" w:rsidR="00CE73CA" w:rsidRPr="00CE73CA" w:rsidRDefault="00CE73CA" w:rsidP="00CE73CA">
      <w:pPr>
        <w:jc w:val="both"/>
        <w:rPr>
          <w:rFonts w:ascii="Verdana" w:hAnsi="Verdana"/>
          <w:sz w:val="22"/>
          <w:szCs w:val="22"/>
        </w:rPr>
      </w:pPr>
      <w:r w:rsidRPr="00CE73CA">
        <w:rPr>
          <w:rFonts w:ascii="Verdana" w:hAnsi="Verdana"/>
          <w:sz w:val="22"/>
          <w:szCs w:val="22"/>
        </w:rPr>
        <w:t>De acuerdo con las anteriores disposiciones, es claro que en materia de infancia y  adolescencia, la autoridad administrativa competente para conocer del proceso Administrativo de Restablecimiento de Derechos es la del</w:t>
      </w:r>
      <w:r w:rsidRPr="00CE73CA">
        <w:rPr>
          <w:rFonts w:ascii="Verdana" w:hAnsi="Verdana"/>
          <w:b/>
          <w:bCs/>
          <w:sz w:val="22"/>
          <w:szCs w:val="22"/>
        </w:rPr>
        <w:t> </w:t>
      </w:r>
      <w:r w:rsidRPr="00CE73CA">
        <w:rPr>
          <w:rFonts w:ascii="Verdana" w:hAnsi="Verdana"/>
          <w:b/>
          <w:bCs/>
          <w:sz w:val="22"/>
          <w:szCs w:val="22"/>
          <w:u w:val="single"/>
        </w:rPr>
        <w:t>lugar donde se encuentre el niño, niña o adolescente.</w:t>
      </w:r>
    </w:p>
    <w:p w14:paraId="0CB1A7BE"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2.7 </w:t>
      </w:r>
      <w:r w:rsidRPr="00CE73CA">
        <w:rPr>
          <w:rFonts w:ascii="Verdana" w:hAnsi="Verdana"/>
          <w:b/>
          <w:bCs/>
          <w:sz w:val="22"/>
          <w:szCs w:val="22"/>
          <w:u w:val="single"/>
        </w:rPr>
        <w:t>La comisión entre autoridades administrativas para la práctica de pruebas</w:t>
      </w:r>
    </w:p>
    <w:p w14:paraId="167CC8F7" w14:textId="77777777" w:rsidR="00CE73CA" w:rsidRPr="00CE73CA" w:rsidRDefault="00CE73CA" w:rsidP="00CE73CA">
      <w:pPr>
        <w:jc w:val="both"/>
        <w:rPr>
          <w:rFonts w:ascii="Verdana" w:hAnsi="Verdana"/>
          <w:sz w:val="22"/>
          <w:szCs w:val="22"/>
        </w:rPr>
      </w:pPr>
      <w:r w:rsidRPr="00CE73CA">
        <w:rPr>
          <w:rFonts w:ascii="Verdana" w:hAnsi="Verdana"/>
          <w:sz w:val="22"/>
          <w:szCs w:val="22"/>
        </w:rPr>
        <w:t>La Corte Constitucional </w:t>
      </w:r>
      <w:r w:rsidRPr="00CE73CA">
        <w:rPr>
          <w:rFonts w:ascii="Verdana" w:hAnsi="Verdana"/>
          <w:sz w:val="22"/>
          <w:szCs w:val="22"/>
          <w:vertAlign w:val="superscript"/>
        </w:rPr>
        <w:t>[7]</w:t>
      </w:r>
      <w:r w:rsidRPr="00CE73CA">
        <w:rPr>
          <w:rFonts w:ascii="Verdana" w:hAnsi="Verdana"/>
          <w:sz w:val="22"/>
          <w:szCs w:val="22"/>
        </w:rPr>
        <w:t> define la comisión, como una delegación de competencia de carácter temporal, que se circunscribe únicamente al cumplimiento de la diligencia delegada se origina por razones de economía procesal y auxilio judicial, y su objeto es la realización de algunos de los actos que no pueden efectuarse directamente por los titulares de la jurisdicción y de la  competencia ya definidas.</w:t>
      </w:r>
    </w:p>
    <w:p w14:paraId="4C367443" w14:textId="77777777" w:rsidR="00CE73CA" w:rsidRPr="00CE73CA" w:rsidRDefault="00CE73CA" w:rsidP="00CE73CA">
      <w:pPr>
        <w:jc w:val="both"/>
        <w:rPr>
          <w:rFonts w:ascii="Verdana" w:hAnsi="Verdana"/>
          <w:sz w:val="22"/>
          <w:szCs w:val="22"/>
        </w:rPr>
      </w:pPr>
      <w:r w:rsidRPr="00CE73CA">
        <w:rPr>
          <w:rFonts w:ascii="Verdana" w:hAnsi="Verdana"/>
          <w:sz w:val="22"/>
          <w:szCs w:val="22"/>
        </w:rPr>
        <w:lastRenderedPageBreak/>
        <w:t>En la misma jurisprudencia, la alta Corporación respecto de la comisión manifestó que: </w:t>
      </w:r>
      <w:r w:rsidRPr="00CE73CA">
        <w:rPr>
          <w:rFonts w:ascii="Verdana" w:hAnsi="Verdana"/>
          <w:i/>
          <w:iCs/>
          <w:sz w:val="22"/>
          <w:szCs w:val="22"/>
        </w:rPr>
        <w:t>“Se establece entonces dicha figura, para actos y diligencias que no impliquen juzgamiento y para la práctica de pruebas."</w:t>
      </w:r>
    </w:p>
    <w:p w14:paraId="60170195" w14:textId="43B20D40" w:rsidR="00CE73CA" w:rsidRPr="00CE73CA" w:rsidRDefault="00CE73CA" w:rsidP="00CE73CA">
      <w:pPr>
        <w:jc w:val="both"/>
        <w:rPr>
          <w:rFonts w:ascii="Verdana" w:hAnsi="Verdana"/>
          <w:sz w:val="22"/>
          <w:szCs w:val="22"/>
        </w:rPr>
      </w:pPr>
      <w:r w:rsidRPr="00CE73CA">
        <w:rPr>
          <w:rFonts w:ascii="Verdana" w:hAnsi="Verdana"/>
          <w:sz w:val="22"/>
          <w:szCs w:val="22"/>
        </w:rPr>
        <w:t>Sobre la práctica de la comisión entre autoridades la Corte Constitucional </w:t>
      </w:r>
      <w:r w:rsidRPr="00CE73CA">
        <w:rPr>
          <w:rFonts w:ascii="Verdana" w:hAnsi="Verdana"/>
          <w:sz w:val="22"/>
          <w:szCs w:val="22"/>
          <w:vertAlign w:val="superscript"/>
        </w:rPr>
        <w:t>[8]</w:t>
      </w:r>
      <w:r w:rsidRPr="00CE73CA">
        <w:rPr>
          <w:rFonts w:ascii="Verdana" w:hAnsi="Verdana"/>
          <w:sz w:val="22"/>
          <w:szCs w:val="22"/>
        </w:rPr>
        <w:t> ha manifestado que la misma constituye un mecanismo de colaboración entre las ramas del poder público (Constitución Política artículo 113).</w:t>
      </w:r>
    </w:p>
    <w:p w14:paraId="6DA4A9C3" w14:textId="062DF196" w:rsidR="00CE73CA" w:rsidRPr="00CE73CA" w:rsidRDefault="00CE73CA" w:rsidP="00CE73CA">
      <w:pPr>
        <w:jc w:val="both"/>
        <w:rPr>
          <w:rFonts w:ascii="Verdana" w:hAnsi="Verdana"/>
          <w:sz w:val="22"/>
          <w:szCs w:val="22"/>
        </w:rPr>
      </w:pPr>
      <w:r w:rsidRPr="00CE73CA">
        <w:rPr>
          <w:rFonts w:ascii="Verdana" w:hAnsi="Verdana"/>
          <w:sz w:val="22"/>
          <w:szCs w:val="22"/>
        </w:rPr>
        <w:t>En el análisis realizado por la corporación en la Sentencia C-733 del 2000, se indica que la ley ha instituido un mecanismo concreto de colaboración entre las ramas del poder público, para la realización de ciertas tareas. En cumplimiento de lo dispuesto por el artículo 113 de la Constitución </w:t>
      </w:r>
      <w:r w:rsidRPr="00CE73CA">
        <w:rPr>
          <w:rFonts w:ascii="Verdana" w:hAnsi="Verdana"/>
          <w:i/>
          <w:iCs/>
          <w:sz w:val="22"/>
          <w:szCs w:val="22"/>
        </w:rPr>
        <w:t>"Los órganos del Estado tienen funciones separadas pero colaboran armónicamente para la realización de sus fines".</w:t>
      </w:r>
      <w:r w:rsidRPr="00CE73CA">
        <w:rPr>
          <w:rFonts w:ascii="Verdana" w:hAnsi="Verdana"/>
          <w:sz w:val="22"/>
          <w:szCs w:val="22"/>
        </w:rPr>
        <w:t> Así mismo, el artículo 201 de nuestra Carta Política, incorpora el principio de: </w:t>
      </w:r>
      <w:r w:rsidRPr="00CE73CA">
        <w:rPr>
          <w:rFonts w:ascii="Verdana" w:hAnsi="Verdana"/>
          <w:i/>
          <w:iCs/>
          <w:sz w:val="22"/>
          <w:szCs w:val="22"/>
        </w:rPr>
        <w:t>"Prestar a los funcionarios judiciales, con arreglo a las leyes, los auxilios necesarios para hacer efectivas sus providencias",</w:t>
      </w:r>
      <w:r w:rsidRPr="00CE73CA">
        <w:rPr>
          <w:rFonts w:ascii="Verdana" w:hAnsi="Verdana"/>
          <w:sz w:val="22"/>
          <w:szCs w:val="22"/>
        </w:rPr>
        <w:t> el cual se extiende a toda la administración pública, y debe ser tenido en cuenta por los órganos estatales.</w:t>
      </w:r>
    </w:p>
    <w:p w14:paraId="6111889C" w14:textId="5436E712" w:rsidR="00CE73CA" w:rsidRPr="00CE73CA" w:rsidRDefault="00CE73CA" w:rsidP="00CE73CA">
      <w:pPr>
        <w:jc w:val="both"/>
        <w:rPr>
          <w:rFonts w:ascii="Verdana" w:hAnsi="Verdana"/>
          <w:sz w:val="22"/>
          <w:szCs w:val="22"/>
        </w:rPr>
      </w:pPr>
      <w:r w:rsidRPr="00CE73CA">
        <w:rPr>
          <w:rFonts w:ascii="Verdana" w:hAnsi="Verdana"/>
          <w:sz w:val="22"/>
          <w:szCs w:val="22"/>
        </w:rPr>
        <w:t>En ese sentido, la Ley 489 de 1998 </w:t>
      </w:r>
      <w:r w:rsidRPr="00CE73CA">
        <w:rPr>
          <w:rFonts w:ascii="Verdana" w:hAnsi="Verdana"/>
          <w:i/>
          <w:iCs/>
          <w:sz w:val="22"/>
          <w:szCs w:val="22"/>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r w:rsidRPr="00CE73CA">
        <w:rPr>
          <w:rFonts w:ascii="Verdana" w:hAnsi="Verdana"/>
          <w:sz w:val="22"/>
          <w:szCs w:val="22"/>
        </w:rPr>
        <w:t> establece en su artículo 6 uno de los principios que debe tener en cuenta la autoridad en sus actuaciones y procedimientos, al respecto dispone: </w:t>
      </w:r>
      <w:r w:rsidRPr="00CE73CA">
        <w:rPr>
          <w:rFonts w:ascii="Verdana" w:hAnsi="Verdana"/>
          <w:i/>
          <w:iCs/>
          <w:sz w:val="22"/>
          <w:szCs w:val="22"/>
        </w:rPr>
        <w:t>"Principio de coordinación. 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o estorbar su cumplimiento por los órganos, dependencias, organismos y entidades titulares.</w:t>
      </w:r>
    </w:p>
    <w:p w14:paraId="78B2C2BA" w14:textId="7BF2D44B" w:rsidR="00CE73CA" w:rsidRPr="00CE73CA" w:rsidRDefault="00CE73CA" w:rsidP="00CE73CA">
      <w:pPr>
        <w:jc w:val="both"/>
        <w:rPr>
          <w:rFonts w:ascii="Verdana" w:hAnsi="Verdana"/>
          <w:sz w:val="22"/>
          <w:szCs w:val="22"/>
        </w:rPr>
      </w:pPr>
      <w:r w:rsidRPr="00CE73CA">
        <w:rPr>
          <w:rFonts w:ascii="Verdana" w:hAnsi="Verdana"/>
          <w:sz w:val="22"/>
          <w:szCs w:val="22"/>
        </w:rPr>
        <w:t>A su turno la Ley 1437 de 2011</w:t>
      </w:r>
      <w:r w:rsidRPr="00CE73CA">
        <w:rPr>
          <w:rFonts w:ascii="Verdana" w:hAnsi="Verdana"/>
          <w:sz w:val="22"/>
          <w:szCs w:val="22"/>
          <w:vertAlign w:val="superscript"/>
        </w:rPr>
        <w:t>[9]</w:t>
      </w:r>
      <w:r w:rsidRPr="00CE73CA">
        <w:rPr>
          <w:rFonts w:ascii="Verdana" w:hAnsi="Verdana"/>
          <w:sz w:val="22"/>
          <w:szCs w:val="22"/>
        </w:rPr>
        <w:t> respecto del principio coordinación de las autoridades, establece: </w:t>
      </w:r>
      <w:r w:rsidRPr="00CE73CA">
        <w:rPr>
          <w:rFonts w:ascii="Verdana" w:hAnsi="Verdana"/>
          <w:i/>
          <w:iCs/>
          <w:sz w:val="22"/>
          <w:szCs w:val="22"/>
        </w:rPr>
        <w:t>"10 (...) las autoridades concertarán sus actividades con las de otras instancias estatales en el cumplimiento de sus cometidos y en el reconocimiento de sus derechos a los particulares".</w:t>
      </w:r>
    </w:p>
    <w:p w14:paraId="7CE555A6" w14:textId="77777777" w:rsidR="00CE73CA" w:rsidRPr="00CE73CA" w:rsidRDefault="00CE73CA" w:rsidP="00CE73CA">
      <w:pPr>
        <w:jc w:val="both"/>
        <w:rPr>
          <w:rFonts w:ascii="Verdana" w:hAnsi="Verdana"/>
          <w:sz w:val="22"/>
          <w:szCs w:val="22"/>
        </w:rPr>
      </w:pPr>
      <w:r w:rsidRPr="00CE73CA">
        <w:rPr>
          <w:rFonts w:ascii="Verdana" w:hAnsi="Verdana"/>
          <w:sz w:val="22"/>
          <w:szCs w:val="22"/>
        </w:rPr>
        <w:t>En este orden de ideas, es claro que la concurrencia y la coordinación aplican en la relación que se establece entre todos los sectores e instituciones del Estado cuando sea necesario la realización de una comisión administrativa y/o judicial, por lo cual, es deber de todas las autoridades, sea cual sea su naturaleza, prestar apoyo a las demás entidades estatales para facilitar el ejercicio de sus funciones y las mismas se abstendrán de impedir o estorbar su cumplimiento.</w:t>
      </w:r>
    </w:p>
    <w:p w14:paraId="0513B9B8" w14:textId="4CADF563" w:rsidR="00CE73CA" w:rsidRPr="00CE73CA" w:rsidRDefault="00CE73CA" w:rsidP="00CE73CA">
      <w:pPr>
        <w:jc w:val="both"/>
        <w:rPr>
          <w:rFonts w:ascii="Verdana" w:hAnsi="Verdana"/>
          <w:sz w:val="22"/>
          <w:szCs w:val="22"/>
        </w:rPr>
      </w:pPr>
      <w:r w:rsidRPr="00CE73CA">
        <w:rPr>
          <w:rFonts w:ascii="Verdana" w:hAnsi="Verdana"/>
          <w:sz w:val="22"/>
          <w:szCs w:val="22"/>
        </w:rPr>
        <w:lastRenderedPageBreak/>
        <w:t>Ahora bien, respecto a la comisión prevista en el artículo 104 del Código de la Infancia y la Adolescencia, es necesario indicar que la misma prevé que:</w:t>
      </w:r>
    </w:p>
    <w:p w14:paraId="60C8776C" w14:textId="77777777" w:rsidR="00CE73CA" w:rsidRPr="00CE73CA" w:rsidRDefault="00CE73CA" w:rsidP="00CE73CA">
      <w:pPr>
        <w:jc w:val="both"/>
        <w:rPr>
          <w:rFonts w:ascii="Verdana" w:hAnsi="Verdana"/>
          <w:sz w:val="22"/>
          <w:szCs w:val="22"/>
        </w:rPr>
      </w:pPr>
      <w:r w:rsidRPr="00CE73CA">
        <w:rPr>
          <w:rFonts w:ascii="Verdana" w:hAnsi="Verdana"/>
          <w:i/>
          <w:iCs/>
          <w:sz w:val="22"/>
          <w:szCs w:val="22"/>
        </w:rPr>
        <w:t>"con miras a la protección de los derechos reconocidos en este Código, los Defensores de Familia, el Comisario o, en su defecto, el inspector de Policía podrán comisionar a las autoridades administrativas que cumplan funciones de policía judicial, para la práctica de pruebas fuera de su sede, en la forma prevista en el Código de Procedimiento Civil".</w:t>
      </w:r>
    </w:p>
    <w:p w14:paraId="059A5131" w14:textId="77777777" w:rsidR="00CE73CA" w:rsidRPr="00CE73CA" w:rsidRDefault="00CE73CA" w:rsidP="00CE73CA">
      <w:pPr>
        <w:jc w:val="both"/>
        <w:rPr>
          <w:rFonts w:ascii="Verdana" w:hAnsi="Verdana"/>
          <w:sz w:val="22"/>
          <w:szCs w:val="22"/>
        </w:rPr>
      </w:pPr>
      <w:r w:rsidRPr="00CE73CA">
        <w:rPr>
          <w:rFonts w:ascii="Verdana" w:hAnsi="Verdana"/>
          <w:sz w:val="22"/>
          <w:szCs w:val="22"/>
        </w:rPr>
        <w:t>Si bien el artículo en mención, solo establece la comisión para autoridades administrativas que cumplan funciones de policía judicial, no puede desconocerse la naturaleza de las Defensorías de Familia y la concurrencia, y coordinación que debe existir entre todos los sectores e instituciones del Estado, tal y como se expuso en precedencia, con fundamento en la jurisprudencia de la Corte Constitucional y las normas constitucionales y legales.</w:t>
      </w:r>
    </w:p>
    <w:p w14:paraId="0C2967F2" w14:textId="75DC62F9" w:rsidR="00CE73CA" w:rsidRPr="00CE73CA" w:rsidRDefault="00CE73CA" w:rsidP="00CE73CA">
      <w:pPr>
        <w:jc w:val="both"/>
        <w:rPr>
          <w:rFonts w:ascii="Verdana" w:hAnsi="Verdana"/>
          <w:sz w:val="22"/>
          <w:szCs w:val="22"/>
        </w:rPr>
      </w:pPr>
      <w:r w:rsidRPr="00CE73CA">
        <w:rPr>
          <w:rFonts w:ascii="Verdana" w:hAnsi="Verdana"/>
          <w:sz w:val="22"/>
          <w:szCs w:val="22"/>
        </w:rPr>
        <w:t>En ese sentido no puede desconocerse que el Código de Infancia y Adolescencia consagra principios supranacionales en beneficio de los niños, las niñas y los adolescentes, a los cuales los Defensores de Familia deben dar estricto cumplimiento privilegiando el interés superior del menor de edad y el derecho sustancial sobre el procedimental, al respecto, el artículo 10 establece:</w:t>
      </w:r>
    </w:p>
    <w:p w14:paraId="2B8569A9" w14:textId="77777777" w:rsidR="00CE73CA" w:rsidRPr="00CE73CA" w:rsidRDefault="00CE73CA" w:rsidP="00CE73CA">
      <w:pPr>
        <w:jc w:val="both"/>
        <w:rPr>
          <w:rFonts w:ascii="Verdana" w:hAnsi="Verdana"/>
          <w:sz w:val="22"/>
          <w:szCs w:val="22"/>
        </w:rPr>
      </w:pPr>
      <w:r w:rsidRPr="00CE73CA">
        <w:rPr>
          <w:rFonts w:ascii="Verdana" w:hAnsi="Verdana"/>
          <w:i/>
          <w:iCs/>
          <w:sz w:val="22"/>
          <w:szCs w:val="22"/>
        </w:rPr>
        <w:t>"Corresponsabilidad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w:t>
      </w:r>
    </w:p>
    <w:p w14:paraId="38333B75" w14:textId="77777777" w:rsidR="00CE73CA" w:rsidRPr="00CE73CA" w:rsidRDefault="00CE73CA" w:rsidP="00CE73CA">
      <w:pPr>
        <w:jc w:val="both"/>
        <w:rPr>
          <w:rFonts w:ascii="Verdana" w:hAnsi="Verdana"/>
          <w:sz w:val="22"/>
          <w:szCs w:val="22"/>
        </w:rPr>
      </w:pPr>
      <w:r w:rsidRPr="00CE73CA">
        <w:rPr>
          <w:rFonts w:ascii="Verdana" w:hAnsi="Verdana"/>
          <w:sz w:val="22"/>
          <w:szCs w:val="22"/>
        </w:rPr>
        <w:t>Así las cosas, la comisión administrativa también implica una obligación de colaboración entre las Autoridades Administrativas, con el fin de llevar a cabo la práctica de diligencias o pruebas fuera de su sede con la finalidad de restablecer los derechos de niños, niñas adolescentes, tales como diligencias de notificación, entrevistas, reconocimientos de paternidad, ofrecimiento de alimentos, entre otros.</w:t>
      </w:r>
    </w:p>
    <w:p w14:paraId="207CC0C9" w14:textId="70009A0E" w:rsidR="00CE73CA" w:rsidRPr="00CE73CA" w:rsidRDefault="00CE73CA" w:rsidP="00CE73CA">
      <w:pPr>
        <w:jc w:val="both"/>
        <w:rPr>
          <w:rFonts w:ascii="Verdana" w:hAnsi="Verdana"/>
          <w:sz w:val="22"/>
          <w:szCs w:val="22"/>
        </w:rPr>
      </w:pPr>
      <w:r w:rsidRPr="00CE73CA">
        <w:rPr>
          <w:rFonts w:ascii="Verdana" w:hAnsi="Verdana"/>
          <w:sz w:val="22"/>
          <w:szCs w:val="22"/>
        </w:rPr>
        <w:t xml:space="preserve">Su finalidad intrínseca es la correcta aplicación de las medidas administrativas de restablecimiento de derechos al niño, niña o adolescente. Por lo anterior, puede decirse que la comisión no va en contravía del espíritu y la normativa del Código de Infancia y Adolescencia, sin embargo, debe llevarse a cabo de conformidad con las reglas procesales que la regulen; por lo cual, la autoridad administrativa debe ceñirse a lo establecido en la actualidad en el Código General del Proceso (artículo 37 y siguientes), que consagra que la comisión debe surtirse fuera de la sede del juez de conocimiento, mediante solicitud realizada por la vía más expedita. Así mismo es importante aclarar que es posible comisionar a una autoridad administrativa en lo que concierne a su especialidad, </w:t>
      </w:r>
      <w:r w:rsidRPr="00CE73CA">
        <w:rPr>
          <w:rFonts w:ascii="Verdana" w:hAnsi="Verdana"/>
          <w:sz w:val="22"/>
          <w:szCs w:val="22"/>
        </w:rPr>
        <w:lastRenderedPageBreak/>
        <w:t>quien debe tener competencia en el lugar donde se delegue la diligencia respectiva.</w:t>
      </w:r>
    </w:p>
    <w:p w14:paraId="6CFCAB38" w14:textId="5C3EFF81" w:rsidR="00CE73CA" w:rsidRPr="00CE73CA" w:rsidRDefault="00CE73CA" w:rsidP="00CE73CA">
      <w:pPr>
        <w:jc w:val="both"/>
        <w:rPr>
          <w:rFonts w:ascii="Verdana" w:hAnsi="Verdana"/>
          <w:sz w:val="22"/>
          <w:szCs w:val="22"/>
        </w:rPr>
      </w:pPr>
      <w:r w:rsidRPr="00CE73CA">
        <w:rPr>
          <w:rFonts w:ascii="Verdana" w:hAnsi="Verdana"/>
          <w:sz w:val="22"/>
          <w:szCs w:val="22"/>
        </w:rPr>
        <w:t>Respecto a los términos para llevar a cabo la práctica de la comisión, el párrafo 2 del artículo 39 del Código General del Proceso establece que:</w:t>
      </w:r>
    </w:p>
    <w:p w14:paraId="34417922" w14:textId="53D573D6" w:rsidR="00CE73CA" w:rsidRPr="00CE73CA" w:rsidRDefault="00CE73CA" w:rsidP="00CE73CA">
      <w:pPr>
        <w:jc w:val="both"/>
        <w:rPr>
          <w:rFonts w:ascii="Verdana" w:hAnsi="Verdana"/>
          <w:sz w:val="22"/>
          <w:szCs w:val="22"/>
        </w:rPr>
      </w:pPr>
      <w:r w:rsidRPr="00CE73CA">
        <w:rPr>
          <w:rFonts w:ascii="Verdana" w:hAnsi="Verdana"/>
          <w:i/>
          <w:iCs/>
          <w:sz w:val="22"/>
          <w:szCs w:val="22"/>
        </w:rPr>
        <w:t>“Cuando la comisión tenga por objeto la práctica de pruebas </w:t>
      </w:r>
      <w:r w:rsidRPr="00CE73CA">
        <w:rPr>
          <w:rFonts w:ascii="Verdana" w:hAnsi="Verdana"/>
          <w:b/>
          <w:bCs/>
          <w:i/>
          <w:iCs/>
          <w:sz w:val="22"/>
          <w:szCs w:val="22"/>
          <w:u w:val="single"/>
        </w:rPr>
        <w:t>el comisario señalará el término para su realización, </w:t>
      </w:r>
      <w:r w:rsidRPr="00CE73CA">
        <w:rPr>
          <w:rFonts w:ascii="Verdana" w:hAnsi="Verdana"/>
          <w:i/>
          <w:iCs/>
          <w:sz w:val="22"/>
          <w:szCs w:val="22"/>
        </w:rPr>
        <w:t>teniendo en cuenta lo dispuesto en el artículo 121. </w:t>
      </w:r>
      <w:r w:rsidRPr="00CE73CA">
        <w:rPr>
          <w:rFonts w:ascii="Verdana" w:hAnsi="Verdana"/>
          <w:b/>
          <w:bCs/>
          <w:i/>
          <w:iCs/>
          <w:sz w:val="22"/>
          <w:szCs w:val="22"/>
          <w:u w:val="single"/>
        </w:rPr>
        <w:t>En los demás casos, el comisionado fijará para el efecto el día más próximo posible y la hora para su iniciación, en auto que se notificará por estado</w:t>
      </w:r>
      <w:r w:rsidRPr="00CE73CA">
        <w:rPr>
          <w:rFonts w:ascii="Verdana" w:hAnsi="Verdana"/>
          <w:i/>
          <w:iCs/>
          <w:sz w:val="22"/>
          <w:szCs w:val="22"/>
        </w:rPr>
        <w:t>”. </w:t>
      </w:r>
      <w:r w:rsidRPr="00CE73CA">
        <w:rPr>
          <w:rFonts w:ascii="Verdana" w:hAnsi="Verdana"/>
          <w:sz w:val="22"/>
          <w:szCs w:val="22"/>
        </w:rPr>
        <w:t>(Se subraya para destacar).</w:t>
      </w:r>
    </w:p>
    <w:p w14:paraId="4ED0D582" w14:textId="579A390E" w:rsidR="00CE73CA" w:rsidRPr="00CE73CA" w:rsidRDefault="00CE73CA" w:rsidP="00CE73CA">
      <w:pPr>
        <w:jc w:val="both"/>
        <w:rPr>
          <w:rFonts w:ascii="Verdana" w:hAnsi="Verdana"/>
          <w:sz w:val="22"/>
          <w:szCs w:val="22"/>
        </w:rPr>
      </w:pPr>
      <w:r w:rsidRPr="00CE73CA">
        <w:rPr>
          <w:rFonts w:ascii="Verdana" w:hAnsi="Verdana"/>
          <w:sz w:val="22"/>
          <w:szCs w:val="22"/>
        </w:rPr>
        <w:t>De acuerdo a todo lo anteriormente expuesto, puede decirse que es procedente la comisión de diligencias administrativas entre Autoridades Administrativas, cuando por circunstancias de competencia territorial la misma sea necesaria, con la finalidad de restablecer los derechos de un niño, niña o adolescente, teniendo como principios la corresponsabilidad, la concurrencia y la coordinación entre autoridades administrativas. Ahora bien, respecto del término, la norma es clara en indicar que será el comitente quien lo determine, teniendo en cuenta, en éste caso, los términos previstos en el artículo 100 de la Ley 1098 de 2006, para fallar el Proceso Administrativo de Restablecimiento de Derechos y si no lo establece, el comisionado deberá practicar la comisión lo más pronto posible teniendo en cuenta también los términos que tiene la otra Autoridad Administrativa para definir su proceso.</w:t>
      </w:r>
    </w:p>
    <w:p w14:paraId="3C9BB2FE"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2.8 Los Hogares Sustitutos</w:t>
      </w:r>
    </w:p>
    <w:p w14:paraId="3C2EA127" w14:textId="1AFEB285" w:rsidR="00CE73CA" w:rsidRPr="00CE73CA" w:rsidRDefault="00CE73CA" w:rsidP="00CE73CA">
      <w:pPr>
        <w:jc w:val="both"/>
        <w:rPr>
          <w:rFonts w:ascii="Verdana" w:hAnsi="Verdana"/>
          <w:sz w:val="22"/>
          <w:szCs w:val="22"/>
        </w:rPr>
      </w:pPr>
      <w:r w:rsidRPr="00CE73CA">
        <w:rPr>
          <w:rFonts w:ascii="Verdana" w:hAnsi="Verdana"/>
          <w:sz w:val="22"/>
          <w:szCs w:val="22"/>
        </w:rPr>
        <w:t>En los términos del artículo 44 de la Constitución Política de Colombia </w:t>
      </w:r>
      <w:r w:rsidRPr="00CE73CA">
        <w:rPr>
          <w:rFonts w:ascii="Verdana" w:hAnsi="Verdana"/>
          <w:i/>
          <w:iCs/>
          <w:sz w:val="22"/>
          <w:szCs w:val="22"/>
        </w:rPr>
        <w:t>"La familia, la sociedad y el Estado tienen la obligación de asistir y proteger al niño para garantizar su desarrollo armónico e integral y el ejercicio pleno de sus derechos".</w:t>
      </w:r>
      <w:r w:rsidRPr="00CE73CA">
        <w:rPr>
          <w:rFonts w:ascii="Verdana" w:hAnsi="Verdana"/>
          <w:sz w:val="22"/>
          <w:szCs w:val="22"/>
        </w:rPr>
        <w:t> En tal sentido, la familia, en primer término, es la llamada a proporcionar a los niños, niñas y adolescentes la mejor protección tácticamente posible frente a cualquier forma de abuso, abandono maltrato y explotación Igualmente, el Estado deberá adoptar las medidas necesarias para evitar situaciones de desprotección y abandono, y garantizar el ejercicio pleno de los derechos fundamentales de los menores de edad.</w:t>
      </w:r>
    </w:p>
    <w:p w14:paraId="63E917B4" w14:textId="77777777" w:rsidR="00CE73CA" w:rsidRPr="00CE73CA" w:rsidRDefault="00CE73CA" w:rsidP="00CE73CA">
      <w:pPr>
        <w:jc w:val="both"/>
        <w:rPr>
          <w:rFonts w:ascii="Verdana" w:hAnsi="Verdana"/>
          <w:sz w:val="22"/>
          <w:szCs w:val="22"/>
        </w:rPr>
      </w:pPr>
      <w:r w:rsidRPr="00CE73CA">
        <w:rPr>
          <w:rFonts w:ascii="Verdana" w:hAnsi="Verdana"/>
          <w:sz w:val="22"/>
          <w:szCs w:val="22"/>
        </w:rPr>
        <w:t>Así las cosas, las medidas de restablecimiento de derechos que impliquen la separación del niño, niña o adolescente de su familia, deben ser entendidas como excepcionales, requiriendo que su aplicación esté sometida a los principios de graduación y racionalidad.</w:t>
      </w:r>
    </w:p>
    <w:p w14:paraId="003F399F" w14:textId="18A9FF1D" w:rsidR="00CE73CA" w:rsidRPr="00CE73CA" w:rsidRDefault="00CE73CA" w:rsidP="00CE73CA">
      <w:pPr>
        <w:jc w:val="both"/>
        <w:rPr>
          <w:rFonts w:ascii="Verdana" w:hAnsi="Verdana"/>
          <w:sz w:val="22"/>
          <w:szCs w:val="22"/>
        </w:rPr>
      </w:pPr>
      <w:r w:rsidRPr="00CE73CA">
        <w:rPr>
          <w:rFonts w:ascii="Verdana" w:hAnsi="Verdana"/>
          <w:sz w:val="22"/>
          <w:szCs w:val="22"/>
        </w:rPr>
        <w:t>La Ley 1098 de 2006 en su artículo 59 define la ubicación en hogar sustituto como </w:t>
      </w:r>
      <w:r w:rsidRPr="00CE73CA">
        <w:rPr>
          <w:rFonts w:ascii="Verdana" w:hAnsi="Verdana"/>
          <w:i/>
          <w:iCs/>
          <w:sz w:val="22"/>
          <w:szCs w:val="22"/>
        </w:rPr>
        <w:t>"una medida de protección </w:t>
      </w:r>
      <w:r w:rsidRPr="00CE73CA">
        <w:rPr>
          <w:rFonts w:ascii="Verdana" w:hAnsi="Verdana"/>
          <w:b/>
          <w:bCs/>
          <w:i/>
          <w:iCs/>
          <w:sz w:val="22"/>
          <w:szCs w:val="22"/>
          <w:u w:val="single"/>
        </w:rPr>
        <w:t>provisional</w:t>
      </w:r>
      <w:r w:rsidRPr="00CE73CA">
        <w:rPr>
          <w:rFonts w:ascii="Verdana" w:hAnsi="Verdana"/>
          <w:i/>
          <w:iCs/>
          <w:sz w:val="22"/>
          <w:szCs w:val="22"/>
        </w:rPr>
        <w:t xml:space="preserve"> que toma la autoridad competente y consiste en la ubicación del niño, niña o adolescente en una familia </w:t>
      </w:r>
      <w:r w:rsidRPr="00CE73CA">
        <w:rPr>
          <w:rFonts w:ascii="Verdana" w:hAnsi="Verdana"/>
          <w:i/>
          <w:iCs/>
          <w:sz w:val="22"/>
          <w:szCs w:val="22"/>
        </w:rPr>
        <w:lastRenderedPageBreak/>
        <w:t>que se compromete a brindarle el cuidado y atención necesarios en sustitución de la familia de origen " (Se</w:t>
      </w:r>
      <w:r w:rsidRPr="00CE73CA">
        <w:rPr>
          <w:rFonts w:ascii="Verdana" w:hAnsi="Verdana"/>
          <w:sz w:val="22"/>
          <w:szCs w:val="22"/>
        </w:rPr>
        <w:t> subraya para destacar)</w:t>
      </w:r>
    </w:p>
    <w:p w14:paraId="14924B73" w14:textId="77777777" w:rsidR="00CE73CA" w:rsidRPr="00CE73CA" w:rsidRDefault="00CE73CA" w:rsidP="00CE73CA">
      <w:pPr>
        <w:jc w:val="both"/>
        <w:rPr>
          <w:rFonts w:ascii="Verdana" w:hAnsi="Verdana"/>
          <w:sz w:val="22"/>
          <w:szCs w:val="22"/>
        </w:rPr>
      </w:pPr>
      <w:r w:rsidRPr="00CE73CA">
        <w:rPr>
          <w:rFonts w:ascii="Verdana" w:hAnsi="Verdana"/>
          <w:sz w:val="22"/>
          <w:szCs w:val="22"/>
        </w:rPr>
        <w:t>En concepto 37254 del 8 de septiembre de 2011, esta Oficina Asesora Jurídica sostuvo frente al programa de hogares sustitutos que:</w:t>
      </w:r>
    </w:p>
    <w:p w14:paraId="4B654794" w14:textId="4E9019F6" w:rsidR="00CE73CA" w:rsidRPr="00CE73CA" w:rsidRDefault="00CE73CA" w:rsidP="00CE73CA">
      <w:pPr>
        <w:jc w:val="both"/>
        <w:rPr>
          <w:rFonts w:ascii="Verdana" w:hAnsi="Verdana"/>
          <w:sz w:val="22"/>
          <w:szCs w:val="22"/>
        </w:rPr>
      </w:pPr>
      <w:r w:rsidRPr="00CE73CA">
        <w:rPr>
          <w:rFonts w:ascii="Verdana" w:hAnsi="Verdana"/>
          <w:i/>
          <w:iCs/>
          <w:sz w:val="22"/>
          <w:szCs w:val="22"/>
        </w:rPr>
        <w:t>"(...) es una medida provisional para el restablecimiento de los derechos de los niños</w:t>
      </w:r>
      <w:r w:rsidRPr="00CE73CA">
        <w:rPr>
          <w:rFonts w:ascii="Verdana" w:hAnsi="Verdana"/>
          <w:sz w:val="22"/>
          <w:szCs w:val="22"/>
        </w:rPr>
        <w:t>, </w:t>
      </w:r>
      <w:r w:rsidRPr="00CE73CA">
        <w:rPr>
          <w:rFonts w:ascii="Verdana" w:hAnsi="Verdana"/>
          <w:i/>
          <w:iCs/>
          <w:sz w:val="22"/>
          <w:szCs w:val="22"/>
        </w:rPr>
        <w:t>niñas y adolescentes establecida en el artículo 59 de la Ley 1098 de 2006 (Código de la Infancia y la Adolescencia), conformado por familias de la comunidad, debidamente seleccionadas, que en forma voluntaria acogen transitoriamente a un menor de edad desprotegido, para proporcionarle afecto, seguridad y todos los cuidados necesarios para su desarrollo.</w:t>
      </w:r>
    </w:p>
    <w:p w14:paraId="0777E7F2" w14:textId="18E28D9B" w:rsidR="00CE73CA" w:rsidRPr="00CE73CA" w:rsidRDefault="00CE73CA" w:rsidP="00CE73CA">
      <w:pPr>
        <w:jc w:val="both"/>
        <w:rPr>
          <w:rFonts w:ascii="Verdana" w:hAnsi="Verdana"/>
          <w:sz w:val="22"/>
          <w:szCs w:val="22"/>
        </w:rPr>
      </w:pPr>
      <w:r w:rsidRPr="00CE73CA">
        <w:rPr>
          <w:rFonts w:ascii="Verdana" w:hAnsi="Verdana"/>
          <w:i/>
          <w:iCs/>
          <w:sz w:val="22"/>
          <w:szCs w:val="22"/>
        </w:rPr>
        <w:t>Este programa debe cumplirse con estricta sujeción a las normas del servicio y a los reglamentos dictados en el Lineamiento Técnico Administrativo de Hogares Sustitutos, aprobado mediante Resolución No 5930 del 27 de diciembre de 2010".</w:t>
      </w:r>
    </w:p>
    <w:p w14:paraId="1E09D92D" w14:textId="77777777" w:rsidR="00CE73CA" w:rsidRPr="00CE73CA" w:rsidRDefault="00CE73CA" w:rsidP="00CE73CA">
      <w:pPr>
        <w:jc w:val="both"/>
        <w:rPr>
          <w:rFonts w:ascii="Verdana" w:hAnsi="Verdana"/>
          <w:sz w:val="22"/>
          <w:szCs w:val="22"/>
        </w:rPr>
      </w:pPr>
      <w:r w:rsidRPr="00CE73CA">
        <w:rPr>
          <w:rFonts w:ascii="Verdana" w:hAnsi="Verdana"/>
          <w:sz w:val="22"/>
          <w:szCs w:val="22"/>
        </w:rPr>
        <w:t>El objetivo principal de los hogares sustitutos es </w:t>
      </w:r>
      <w:r w:rsidRPr="00CE73CA">
        <w:rPr>
          <w:rFonts w:ascii="Verdana" w:hAnsi="Verdana"/>
          <w:i/>
          <w:iCs/>
          <w:sz w:val="22"/>
          <w:szCs w:val="22"/>
        </w:rPr>
        <w:t>"Garantizar a los niños, niñas y adolescentes el restablecimiento y cumplimiento de sus derechos, proporcionándoles protección integral en condiciones, favorables, mediante un ambiente familiar sustituto, que facilite su proceso de desarrollo personal, familiar y social que permita superar la situación de vulnerabilidad en que se encuentran.</w:t>
      </w:r>
      <w:r w:rsidRPr="00CE73CA">
        <w:rPr>
          <w:rFonts w:ascii="Verdana" w:hAnsi="Verdana"/>
          <w:i/>
          <w:iCs/>
          <w:sz w:val="22"/>
          <w:szCs w:val="22"/>
          <w:vertAlign w:val="superscript"/>
        </w:rPr>
        <w:t>[10]</w:t>
      </w:r>
    </w:p>
    <w:p w14:paraId="7ADD57E7"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2.9 Duración de la medida de protección provisional de hogar sustituto</w:t>
      </w:r>
    </w:p>
    <w:p w14:paraId="188240D7" w14:textId="77777777" w:rsidR="00CE73CA" w:rsidRPr="00CE73CA" w:rsidRDefault="00CE73CA" w:rsidP="00CE73CA">
      <w:pPr>
        <w:jc w:val="both"/>
        <w:rPr>
          <w:rFonts w:ascii="Verdana" w:hAnsi="Verdana"/>
          <w:sz w:val="22"/>
          <w:szCs w:val="22"/>
        </w:rPr>
      </w:pPr>
      <w:r w:rsidRPr="00CE73CA">
        <w:rPr>
          <w:rFonts w:ascii="Verdana" w:hAnsi="Verdana"/>
          <w:sz w:val="22"/>
          <w:szCs w:val="22"/>
        </w:rPr>
        <w:t>Las medidas de restablecimiento de derechos son decisiones de naturaleza administrativa que decreta la autoridad administrativa competente para garantizar y restablecer el ejercicio de los derechos de los niños, niñas y adolescentes, las cuales pueden ser provisionales o definitivas, y deberán ser proporcionales con el derecho amenazado o vulnerado, garantizando, en primer término, el derecho del menor de edad a permanecer en el medio familiar siempre y cuando éste sea garante de sus derechos.</w:t>
      </w:r>
    </w:p>
    <w:p w14:paraId="57FE3EC3" w14:textId="77777777" w:rsidR="00CE73CA" w:rsidRPr="00CE73CA" w:rsidRDefault="00CE73CA" w:rsidP="00CE73CA">
      <w:pPr>
        <w:jc w:val="both"/>
        <w:rPr>
          <w:rFonts w:ascii="Verdana" w:hAnsi="Verdana"/>
          <w:sz w:val="22"/>
          <w:szCs w:val="22"/>
        </w:rPr>
      </w:pPr>
      <w:r w:rsidRPr="00CE73CA">
        <w:rPr>
          <w:rFonts w:ascii="Verdana" w:hAnsi="Verdana"/>
          <w:sz w:val="22"/>
          <w:szCs w:val="22"/>
        </w:rPr>
        <w:t>En cuanto a la colocación de un niño, niña o adolescente en un hogar sustituto, se puede afirmar en primer lugar que es una medida de protección provisional que se adopta en caso de que la familia extensa temporalmente no pueda garantizar sus derechos.</w:t>
      </w:r>
    </w:p>
    <w:p w14:paraId="4FBAA3B1" w14:textId="77777777" w:rsidR="00CE73CA" w:rsidRPr="00CE73CA" w:rsidRDefault="00CE73CA" w:rsidP="00CE73CA">
      <w:pPr>
        <w:jc w:val="both"/>
        <w:rPr>
          <w:rFonts w:ascii="Verdana" w:hAnsi="Verdana"/>
          <w:sz w:val="22"/>
          <w:szCs w:val="22"/>
        </w:rPr>
      </w:pPr>
      <w:r w:rsidRPr="00CE73CA">
        <w:rPr>
          <w:rFonts w:ascii="Verdana" w:hAnsi="Verdana"/>
          <w:sz w:val="22"/>
          <w:szCs w:val="22"/>
        </w:rPr>
        <w:t>Igualmente es preciso señalar que los hogares sustitutos deben ser momentáneos pues la separación debe ser excepcional y, preferiblemente temporal, para evitar  lazos muy fuertes entre el menor de edad y la familia sustituta.</w:t>
      </w:r>
    </w:p>
    <w:p w14:paraId="4626A9DF" w14:textId="77777777" w:rsidR="00CE73CA" w:rsidRPr="00CE73CA" w:rsidRDefault="00CE73CA" w:rsidP="00CE73CA">
      <w:pPr>
        <w:jc w:val="both"/>
        <w:rPr>
          <w:rFonts w:ascii="Verdana" w:hAnsi="Verdana"/>
          <w:sz w:val="22"/>
          <w:szCs w:val="22"/>
        </w:rPr>
      </w:pPr>
      <w:r w:rsidRPr="00CE73CA">
        <w:rPr>
          <w:rFonts w:ascii="Verdana" w:hAnsi="Verdana"/>
          <w:sz w:val="22"/>
          <w:szCs w:val="22"/>
        </w:rPr>
        <w:lastRenderedPageBreak/>
        <w:t>Ahora bien, ésta medida por ser transitoria por regla general y en cualquier momento en el curso del proceso o con posterioridad a su terminación, puede ser suspendida o modificada por la Autoridad Administrativa, dando aplicación a lo previsto en el artículo 103 de la Ley 1098 de 2006,</w:t>
      </w:r>
    </w:p>
    <w:p w14:paraId="544FB16B"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2.10 Prórroga de la medida provisional de Hogar Sustituto</w:t>
      </w:r>
    </w:p>
    <w:p w14:paraId="105634CF" w14:textId="77777777" w:rsidR="00CE73CA" w:rsidRPr="00CE73CA" w:rsidRDefault="00CE73CA" w:rsidP="00CE73CA">
      <w:pPr>
        <w:jc w:val="both"/>
        <w:rPr>
          <w:rFonts w:ascii="Verdana" w:hAnsi="Verdana"/>
          <w:sz w:val="22"/>
          <w:szCs w:val="22"/>
        </w:rPr>
      </w:pPr>
      <w:r w:rsidRPr="00CE73CA">
        <w:rPr>
          <w:rFonts w:ascii="Verdana" w:hAnsi="Verdana"/>
          <w:sz w:val="22"/>
          <w:szCs w:val="22"/>
        </w:rPr>
        <w:t>Respecto a la prórroga de la medida de Hogar Sustituto, el artículo 59 nos indica que esta medida deberá decretarse por el menor tiempo posible de acuerdo con las circunstancias y los objetivos que se persiguen en cada caso, sin que pueda exceder de seis (6) meses.</w:t>
      </w:r>
    </w:p>
    <w:p w14:paraId="5634A1FE" w14:textId="77777777" w:rsidR="00CE73CA" w:rsidRPr="00CE73CA" w:rsidRDefault="00CE73CA" w:rsidP="00CE73CA">
      <w:pPr>
        <w:jc w:val="both"/>
        <w:rPr>
          <w:rFonts w:ascii="Verdana" w:hAnsi="Verdana"/>
          <w:sz w:val="22"/>
          <w:szCs w:val="22"/>
        </w:rPr>
      </w:pPr>
      <w:r w:rsidRPr="00CE73CA">
        <w:rPr>
          <w:rFonts w:ascii="Verdana" w:hAnsi="Verdana"/>
          <w:sz w:val="22"/>
          <w:szCs w:val="22"/>
        </w:rPr>
        <w:t>El Defensor de Familia podrá prorrogarla, por causa justificada, hasta por un término igual al inicial, previo concepto favorable del Jefe Jurídico de la Dirección Regional del Instituto Colombiano de Bienestar Familiar En ningún caso podrá otorgarse a personas residentes en el exterior ni podrá salir del país el niño, niña o adolescente sujeto a esta medida de protección, sin autorización expresa de la autoridad competente.</w:t>
      </w:r>
    </w:p>
    <w:p w14:paraId="3C378157" w14:textId="77777777" w:rsidR="00CE73CA" w:rsidRPr="00CE73CA" w:rsidRDefault="00CE73CA" w:rsidP="00CE73CA">
      <w:pPr>
        <w:jc w:val="both"/>
        <w:rPr>
          <w:rFonts w:ascii="Verdana" w:hAnsi="Verdana"/>
          <w:sz w:val="22"/>
          <w:szCs w:val="22"/>
        </w:rPr>
      </w:pPr>
      <w:r w:rsidRPr="00CE73CA">
        <w:rPr>
          <w:rFonts w:ascii="Verdana" w:hAnsi="Verdana"/>
          <w:sz w:val="22"/>
          <w:szCs w:val="22"/>
        </w:rPr>
        <w:t>Así las cosas, para decidir la conveniencia de la permanencia de un niño, niña o adolescente en ésta medida de protección provisional, la Autoridad Administrativa deberá analizar:</w:t>
      </w:r>
    </w:p>
    <w:p w14:paraId="3869A7F2" w14:textId="77777777" w:rsidR="00CE73CA" w:rsidRPr="00CE73CA" w:rsidRDefault="00CE73CA" w:rsidP="00CE73CA">
      <w:pPr>
        <w:jc w:val="both"/>
        <w:rPr>
          <w:rFonts w:ascii="Verdana" w:hAnsi="Verdana"/>
          <w:sz w:val="22"/>
          <w:szCs w:val="22"/>
        </w:rPr>
      </w:pPr>
      <w:r w:rsidRPr="00CE73CA">
        <w:rPr>
          <w:rFonts w:ascii="Verdana" w:hAnsi="Verdana"/>
          <w:sz w:val="22"/>
          <w:szCs w:val="22"/>
        </w:rPr>
        <w:t>-La extrema necesidad de prorrogar la permanencia del niño</w:t>
      </w:r>
    </w:p>
    <w:p w14:paraId="485CB160" w14:textId="77777777" w:rsidR="00CE73CA" w:rsidRPr="00CE73CA" w:rsidRDefault="00CE73CA" w:rsidP="00CE73CA">
      <w:pPr>
        <w:jc w:val="both"/>
        <w:rPr>
          <w:rFonts w:ascii="Verdana" w:hAnsi="Verdana"/>
          <w:sz w:val="22"/>
          <w:szCs w:val="22"/>
        </w:rPr>
      </w:pPr>
      <w:r w:rsidRPr="00CE73CA">
        <w:rPr>
          <w:rFonts w:ascii="Verdana" w:hAnsi="Verdana"/>
          <w:sz w:val="22"/>
          <w:szCs w:val="22"/>
        </w:rPr>
        <w:t>-El grado de afectación que pueda ocasionar el tiempo que estará separado de la familia.</w:t>
      </w:r>
    </w:p>
    <w:p w14:paraId="270D8E23" w14:textId="77777777" w:rsidR="00CE73CA" w:rsidRPr="00CE73CA" w:rsidRDefault="00CE73CA" w:rsidP="00CE73CA">
      <w:pPr>
        <w:jc w:val="both"/>
        <w:rPr>
          <w:rFonts w:ascii="Verdana" w:hAnsi="Verdana"/>
          <w:sz w:val="22"/>
          <w:szCs w:val="22"/>
        </w:rPr>
      </w:pPr>
      <w:r w:rsidRPr="00CE73CA">
        <w:rPr>
          <w:rFonts w:ascii="Verdana" w:hAnsi="Verdana"/>
          <w:sz w:val="22"/>
          <w:szCs w:val="22"/>
        </w:rPr>
        <w:t>-Evitar la permanencia prolongada e injustificada del niño, niña o adolescente en un hogar sustituto para prevenir lazos muy fuertes entre el menor de edad y la familia sustituta</w:t>
      </w:r>
    </w:p>
    <w:p w14:paraId="4E129B86" w14:textId="77777777" w:rsidR="00CE73CA" w:rsidRPr="00CE73CA" w:rsidRDefault="00CE73CA" w:rsidP="00CE73CA">
      <w:pPr>
        <w:jc w:val="both"/>
        <w:rPr>
          <w:rFonts w:ascii="Verdana" w:hAnsi="Verdana"/>
          <w:sz w:val="22"/>
          <w:szCs w:val="22"/>
        </w:rPr>
      </w:pPr>
      <w:r w:rsidRPr="00CE73CA">
        <w:rPr>
          <w:rFonts w:ascii="Verdana" w:hAnsi="Verdana"/>
          <w:sz w:val="22"/>
          <w:szCs w:val="22"/>
        </w:rPr>
        <w:t>-Tener claro que los términos para fallar el Proceso Administrativo de Restablecimiento de Derechos no se modifican con la prórroga que se otorga para la prolongación de la medida de protección provisional de hogar sustituto.</w:t>
      </w:r>
    </w:p>
    <w:p w14:paraId="3AE5301B" w14:textId="77777777" w:rsidR="00CE73CA" w:rsidRPr="00CE73CA" w:rsidRDefault="00CE73CA" w:rsidP="00CE73CA">
      <w:pPr>
        <w:jc w:val="both"/>
        <w:rPr>
          <w:rFonts w:ascii="Verdana" w:hAnsi="Verdana"/>
          <w:sz w:val="22"/>
          <w:szCs w:val="22"/>
        </w:rPr>
      </w:pPr>
      <w:r w:rsidRPr="00CE73CA">
        <w:rPr>
          <w:rFonts w:ascii="Verdana" w:hAnsi="Verdana"/>
          <w:sz w:val="22"/>
          <w:szCs w:val="22"/>
        </w:rPr>
        <w:t>Cumplido lo anterior, y ante la imperiosa necesidad de prorrogar la medida, la Autoridad Administrativa deberá elevar la solicitud debidamente motivada al Jefe Jurídico de la respectiva Regional ICBF.</w:t>
      </w:r>
      <w:r w:rsidRPr="00CE73CA">
        <w:rPr>
          <w:rFonts w:ascii="Verdana" w:hAnsi="Verdana"/>
          <w:sz w:val="22"/>
          <w:szCs w:val="22"/>
          <w:vertAlign w:val="superscript"/>
        </w:rPr>
        <w:t>[11]</w:t>
      </w:r>
    </w:p>
    <w:p w14:paraId="05736024" w14:textId="77777777" w:rsidR="00CE73CA" w:rsidRPr="00CE73CA" w:rsidRDefault="00CE73CA" w:rsidP="00CE73CA">
      <w:pPr>
        <w:jc w:val="both"/>
        <w:rPr>
          <w:rFonts w:ascii="Verdana" w:hAnsi="Verdana"/>
          <w:sz w:val="22"/>
          <w:szCs w:val="22"/>
        </w:rPr>
      </w:pPr>
      <w:r w:rsidRPr="00CE73CA">
        <w:rPr>
          <w:rFonts w:ascii="Verdana" w:hAnsi="Verdana"/>
          <w:sz w:val="22"/>
          <w:szCs w:val="22"/>
        </w:rPr>
        <w:t>Ahora bien, para la prórroga de la medida de protección provisional de hogar sustituto, el Jefe Jurídico de la Dirección Regional del ICBF, deberá resolver la petición, en la que tendrá en cuenta:</w:t>
      </w:r>
    </w:p>
    <w:p w14:paraId="363C00DF" w14:textId="77777777" w:rsidR="00CE73CA" w:rsidRPr="00CE73CA" w:rsidRDefault="00CE73CA" w:rsidP="00CE73CA">
      <w:pPr>
        <w:jc w:val="both"/>
        <w:rPr>
          <w:rFonts w:ascii="Verdana" w:hAnsi="Verdana"/>
          <w:sz w:val="22"/>
          <w:szCs w:val="22"/>
        </w:rPr>
      </w:pPr>
      <w:r w:rsidRPr="00CE73CA">
        <w:rPr>
          <w:rFonts w:ascii="Verdana" w:hAnsi="Verdana"/>
          <w:sz w:val="22"/>
          <w:szCs w:val="22"/>
        </w:rPr>
        <w:t>-Que los motivos que fundamentaron la solicitud de prórroga sean razonables</w:t>
      </w:r>
    </w:p>
    <w:p w14:paraId="36FA42E7" w14:textId="77777777" w:rsidR="00CE73CA" w:rsidRPr="00CE73CA" w:rsidRDefault="00CE73CA" w:rsidP="00CE73CA">
      <w:pPr>
        <w:jc w:val="both"/>
        <w:rPr>
          <w:rFonts w:ascii="Verdana" w:hAnsi="Verdana"/>
          <w:sz w:val="22"/>
          <w:szCs w:val="22"/>
        </w:rPr>
      </w:pPr>
      <w:r w:rsidRPr="00CE73CA">
        <w:rPr>
          <w:rFonts w:ascii="Verdana" w:hAnsi="Verdana"/>
          <w:sz w:val="22"/>
          <w:szCs w:val="22"/>
        </w:rPr>
        <w:lastRenderedPageBreak/>
        <w:t>-La proporcionalidad entre el riesgo o la vulneración del derecho y la medida de protección adoptada</w:t>
      </w:r>
    </w:p>
    <w:p w14:paraId="39E5743B" w14:textId="77777777" w:rsidR="00CE73CA" w:rsidRPr="00CE73CA" w:rsidRDefault="00CE73CA" w:rsidP="00CE73CA">
      <w:pPr>
        <w:jc w:val="both"/>
        <w:rPr>
          <w:rFonts w:ascii="Verdana" w:hAnsi="Verdana"/>
          <w:sz w:val="22"/>
          <w:szCs w:val="22"/>
        </w:rPr>
      </w:pPr>
      <w:r w:rsidRPr="00CE73CA">
        <w:rPr>
          <w:rFonts w:ascii="Verdana" w:hAnsi="Verdana"/>
          <w:sz w:val="22"/>
          <w:szCs w:val="22"/>
        </w:rPr>
        <w:t>-La valoración probatoria de las circunstancias que dieron origen a la medida de protección.</w:t>
      </w:r>
    </w:p>
    <w:p w14:paraId="32A8CCE2" w14:textId="77777777" w:rsidR="00CE73CA" w:rsidRPr="00CE73CA" w:rsidRDefault="00CE73CA" w:rsidP="00CE73CA">
      <w:pPr>
        <w:jc w:val="both"/>
        <w:rPr>
          <w:rFonts w:ascii="Verdana" w:hAnsi="Verdana"/>
          <w:sz w:val="22"/>
          <w:szCs w:val="22"/>
        </w:rPr>
      </w:pPr>
      <w:r w:rsidRPr="00CE73CA">
        <w:rPr>
          <w:rFonts w:ascii="Verdana" w:hAnsi="Verdana"/>
          <w:sz w:val="22"/>
          <w:szCs w:val="22"/>
        </w:rPr>
        <w:t>-Establecer las consecuencias positivas o negativas para la salud física mental y emocional del niño, niña o adolescente que se encuentra en un hogar sustituto</w:t>
      </w:r>
    </w:p>
    <w:p w14:paraId="10C8BE97" w14:textId="77777777" w:rsidR="00CE73CA" w:rsidRPr="00CE73CA" w:rsidRDefault="00CE73CA" w:rsidP="00CE73CA">
      <w:pPr>
        <w:jc w:val="both"/>
        <w:rPr>
          <w:rFonts w:ascii="Verdana" w:hAnsi="Verdana"/>
          <w:sz w:val="22"/>
          <w:szCs w:val="22"/>
        </w:rPr>
      </w:pPr>
      <w:r w:rsidRPr="00CE73CA">
        <w:rPr>
          <w:rFonts w:ascii="Verdana" w:hAnsi="Verdana"/>
          <w:sz w:val="22"/>
          <w:szCs w:val="22"/>
        </w:rPr>
        <w:t>-Establecer la conveniencia del tiempo de permanencia del niño, niña o adolescente en la medida de hogar sustituto</w:t>
      </w:r>
    </w:p>
    <w:p w14:paraId="00445B16" w14:textId="77777777" w:rsidR="00CE73CA" w:rsidRPr="00CE73CA" w:rsidRDefault="00CE73CA" w:rsidP="00CE73CA">
      <w:pPr>
        <w:jc w:val="both"/>
        <w:rPr>
          <w:rFonts w:ascii="Verdana" w:hAnsi="Verdana"/>
          <w:sz w:val="22"/>
          <w:szCs w:val="22"/>
        </w:rPr>
      </w:pPr>
      <w:r w:rsidRPr="00CE73CA">
        <w:rPr>
          <w:rFonts w:ascii="Verdana" w:hAnsi="Verdana"/>
          <w:sz w:val="22"/>
          <w:szCs w:val="22"/>
        </w:rPr>
        <w:t>-La valoración probatoria respecto a la superación de las dificultades que presentaba la familia extensa del menor edad para que éste permaneciera con ella, con el fin de retornarlo a su familia de origen.</w:t>
      </w:r>
    </w:p>
    <w:p w14:paraId="5966FF42" w14:textId="77777777" w:rsidR="00CE73CA" w:rsidRPr="00CE73CA" w:rsidRDefault="00CE73CA" w:rsidP="00CE73CA">
      <w:pPr>
        <w:jc w:val="both"/>
        <w:rPr>
          <w:rFonts w:ascii="Verdana" w:hAnsi="Verdana"/>
          <w:sz w:val="22"/>
          <w:szCs w:val="22"/>
        </w:rPr>
      </w:pPr>
      <w:r w:rsidRPr="00CE73CA">
        <w:rPr>
          <w:rFonts w:ascii="Verdana" w:hAnsi="Verdana"/>
          <w:b/>
          <w:bCs/>
          <w:sz w:val="22"/>
          <w:szCs w:val="22"/>
          <w:u w:val="single"/>
        </w:rPr>
        <w:t>2.11 El caso en concreto</w:t>
      </w:r>
    </w:p>
    <w:p w14:paraId="5F5B5D85" w14:textId="7D81D834" w:rsidR="00CE73CA" w:rsidRPr="00CE73CA" w:rsidRDefault="00CE73CA" w:rsidP="00CE73CA">
      <w:pPr>
        <w:jc w:val="both"/>
        <w:rPr>
          <w:rFonts w:ascii="Verdana" w:hAnsi="Verdana"/>
          <w:sz w:val="22"/>
          <w:szCs w:val="22"/>
        </w:rPr>
      </w:pPr>
      <w:r w:rsidRPr="00CE73CA">
        <w:rPr>
          <w:rFonts w:ascii="Verdana" w:hAnsi="Verdana"/>
          <w:sz w:val="22"/>
          <w:szCs w:val="22"/>
        </w:rPr>
        <w:t>Es importante señalar que los artículos 96, 97 y 98 de la Ley 1098 de 2006, normas de carácter especial y prevalente, establecen la competencia para conocer del Proceso Administrativo de Restablecimiento de Derechos. De acuerdo con dichos artículos, la competencia para conocer de este proceso la tiene el Defensor de Familia o Comisario de Familia por competencia subsidiaria, del lugar donde se encuentre el niño, niña o adolescente en el territorio nacional o si se encuentra en el exterior el del lugar donde haya tenido su última residencia.</w:t>
      </w:r>
    </w:p>
    <w:p w14:paraId="4F1F97AC" w14:textId="77777777" w:rsidR="00CE73CA" w:rsidRPr="00CE73CA" w:rsidRDefault="00CE73CA" w:rsidP="00CE73CA">
      <w:pPr>
        <w:jc w:val="both"/>
        <w:rPr>
          <w:rFonts w:ascii="Verdana" w:hAnsi="Verdana"/>
          <w:sz w:val="22"/>
          <w:szCs w:val="22"/>
        </w:rPr>
      </w:pPr>
      <w:r w:rsidRPr="00CE73CA">
        <w:rPr>
          <w:rFonts w:ascii="Verdana" w:hAnsi="Verdana"/>
          <w:sz w:val="22"/>
          <w:szCs w:val="22"/>
        </w:rPr>
        <w:t>En este punto es pertinente aclarar que la norma en mención no hace referencia al domicilio del niño, niña y adolescente ni el de su familia, sino al lugar donde este se encuentre, independientemente de si tiene o no el ánimo de permanecer allí.</w:t>
      </w:r>
    </w:p>
    <w:p w14:paraId="0A0A91F5" w14:textId="77777777" w:rsidR="00CE73CA" w:rsidRPr="00CE73CA" w:rsidRDefault="00CE73CA" w:rsidP="00CE73CA">
      <w:pPr>
        <w:jc w:val="both"/>
        <w:rPr>
          <w:rFonts w:ascii="Verdana" w:hAnsi="Verdana"/>
          <w:sz w:val="22"/>
          <w:szCs w:val="22"/>
        </w:rPr>
      </w:pPr>
      <w:r w:rsidRPr="00CE73CA">
        <w:rPr>
          <w:rFonts w:ascii="Verdana" w:hAnsi="Verdana"/>
          <w:sz w:val="22"/>
          <w:szCs w:val="22"/>
        </w:rPr>
        <w:t>En el caso que se consulta es importante recalcar que tal y como lo hemos señalado en este concepto, la competencia para conocer del Proceso Administrativo de Restablecimiento de Derechos la determina el lugar donde se encuentra el niño, niña o adolescente y no donde reside su familia o donde éste tiene su domicilio.</w:t>
      </w:r>
    </w:p>
    <w:p w14:paraId="528E09C4" w14:textId="77777777" w:rsidR="00CE73CA" w:rsidRPr="00CE73CA" w:rsidRDefault="00CE73CA" w:rsidP="00CE73CA">
      <w:pPr>
        <w:jc w:val="both"/>
        <w:rPr>
          <w:rFonts w:ascii="Verdana" w:hAnsi="Verdana"/>
          <w:sz w:val="22"/>
          <w:szCs w:val="22"/>
        </w:rPr>
      </w:pPr>
      <w:r w:rsidRPr="00CE73CA">
        <w:rPr>
          <w:rFonts w:ascii="Verdana" w:hAnsi="Verdana"/>
          <w:sz w:val="22"/>
          <w:szCs w:val="22"/>
        </w:rPr>
        <w:t>Ahora bien, teniendo en cuenta que un Juez de Familia ya emitió una decisión respecto al Proceso Administrativo de Restablecimiento de Derecho y dio la orden de continuar con las actuaciones al Centro Zonal ICBF de Miraflores, deberá darse estricto cumplimiento a la orden judicial.</w:t>
      </w:r>
    </w:p>
    <w:p w14:paraId="2E199306" w14:textId="77777777" w:rsidR="00CE73CA" w:rsidRPr="00CE73CA" w:rsidRDefault="00CE73CA" w:rsidP="00CE73CA">
      <w:pPr>
        <w:jc w:val="both"/>
        <w:rPr>
          <w:rFonts w:ascii="Verdana" w:hAnsi="Verdana"/>
          <w:sz w:val="22"/>
          <w:szCs w:val="22"/>
        </w:rPr>
      </w:pPr>
      <w:r w:rsidRPr="00CE73CA">
        <w:rPr>
          <w:rFonts w:ascii="Verdana" w:hAnsi="Verdana"/>
          <w:sz w:val="22"/>
          <w:szCs w:val="22"/>
        </w:rPr>
        <w:t xml:space="preserve">Una vez asuma competencia del caso, el Defensor de Familia de Miraflores, deberá analizar las pruebas que se encuentran en el proceso y si es necesario decretar las que de oficio considere pertinentes, con el fin de establecer si en el </w:t>
      </w:r>
      <w:r w:rsidRPr="00CE73CA">
        <w:rPr>
          <w:rFonts w:ascii="Verdana" w:hAnsi="Verdana"/>
          <w:sz w:val="22"/>
          <w:szCs w:val="22"/>
        </w:rPr>
        <w:lastRenderedPageBreak/>
        <w:t>caso en concreto procede un nuevo reintegro o si por el contrario la mejor medida de restablecimiento de derechos para ellos será declararlos en adaptabilidad, siendo competente para tomar esa decisión, atendiendo a que el Juez de Familia ya lo habilitó para ello En cuanto ante cuál autoridad judicial se deberá surtir la Homologación en caso de oposición, será el Juez de Familia o promiscuo de familia que corresponda de acuerdo a su jurisdicción.</w:t>
      </w:r>
    </w:p>
    <w:p w14:paraId="262A1975" w14:textId="77777777" w:rsidR="00CE73CA" w:rsidRPr="00CE73CA" w:rsidRDefault="00CE73CA" w:rsidP="00CE73CA">
      <w:pPr>
        <w:jc w:val="both"/>
        <w:rPr>
          <w:rFonts w:ascii="Verdana" w:hAnsi="Verdana"/>
          <w:sz w:val="22"/>
          <w:szCs w:val="22"/>
        </w:rPr>
      </w:pPr>
      <w:r w:rsidRPr="00CE73CA">
        <w:rPr>
          <w:rFonts w:ascii="Verdana" w:hAnsi="Verdana"/>
          <w:sz w:val="22"/>
          <w:szCs w:val="22"/>
        </w:rPr>
        <w:t>Debe destacarse que si el Defensor de Familia requiere practicar pruebas, seguimientos, valoraciones etc., con la familia de los menores de edad tiene la facultad de ordenar las comisiones que considere necesarias para tal fin.</w:t>
      </w:r>
    </w:p>
    <w:p w14:paraId="381F73E6" w14:textId="77777777" w:rsidR="00CE73CA" w:rsidRPr="00CE73CA" w:rsidRDefault="00CE73CA" w:rsidP="00CE73CA">
      <w:pPr>
        <w:jc w:val="both"/>
        <w:rPr>
          <w:rFonts w:ascii="Verdana" w:hAnsi="Verdana"/>
          <w:sz w:val="22"/>
          <w:szCs w:val="22"/>
        </w:rPr>
      </w:pPr>
      <w:r w:rsidRPr="00CE73CA">
        <w:rPr>
          <w:rFonts w:ascii="Verdana" w:hAnsi="Verdana"/>
          <w:sz w:val="22"/>
          <w:szCs w:val="22"/>
        </w:rPr>
        <w:t>En cuanto a la prórroga de la permanencia de los niños en hogar sustituto, la norma es clara al indicar que será el Defensor de Familia quien podrá hacerlo, por causa justificada, previo concepto favorable del Jefe Jurídico de la Dirección Regional del Instituto Colombiano de Bienestar Familiar, en éste caso la Regional ICBF - Boyacá.</w:t>
      </w:r>
    </w:p>
    <w:p w14:paraId="29AE0297"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3. CONCLUSIONES</w:t>
      </w:r>
    </w:p>
    <w:p w14:paraId="13A63200"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Primero</w:t>
      </w:r>
      <w:r w:rsidRPr="00CE73CA">
        <w:rPr>
          <w:rFonts w:ascii="Verdana" w:hAnsi="Verdana"/>
          <w:sz w:val="22"/>
          <w:szCs w:val="22"/>
        </w:rPr>
        <w:t>: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 y debe ser resuelto dentro de los cuatro (4) meses siguientes a la fecha de la presentación de la solicitud o de la apertura oficiosa de la investigación, término prorrogable por dos (2) meses más.</w:t>
      </w:r>
    </w:p>
    <w:p w14:paraId="69D8E6FD"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Segundo</w:t>
      </w:r>
      <w:r w:rsidRPr="00CE73CA">
        <w:rPr>
          <w:rFonts w:ascii="Verdana" w:hAnsi="Verdana"/>
          <w:sz w:val="22"/>
          <w:szCs w:val="22"/>
        </w:rPr>
        <w:t>: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w:t>
      </w:r>
    </w:p>
    <w:p w14:paraId="41227291"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Tercero</w:t>
      </w:r>
      <w:r w:rsidRPr="00CE73CA">
        <w:rPr>
          <w:rFonts w:ascii="Verdana" w:hAnsi="Verdana"/>
          <w:sz w:val="22"/>
          <w:szCs w:val="22"/>
        </w:rPr>
        <w:t>: Los términos perentorios para decidir el Proceso Administrativo de Restablecimiento de Derechos no sólo atienden a la Ley sino también a los convenios y tratados internacionales que hoy hacen parte de nuestro sistema jurídico, evitando la dilación injustificada de éstos procesos y la lesión del debido proceso mediante normas preestablecidas y de obligatorio cumplimiento para las autoridades competentes.</w:t>
      </w:r>
    </w:p>
    <w:p w14:paraId="61920BC6"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Cuarto</w:t>
      </w:r>
      <w:r w:rsidRPr="00CE73CA">
        <w:rPr>
          <w:rFonts w:ascii="Verdana" w:hAnsi="Verdana"/>
          <w:sz w:val="22"/>
          <w:szCs w:val="22"/>
        </w:rPr>
        <w:t>: En asuntos que tengan que ver con la infancia y adolescencia, la Autoridad Administrativa competente para conocer del proceso Administrativo de Restablecimiento de Derechos es la del lugar donde se encuentre el niño, niña o adolescente y no donde se encuentre su familia.</w:t>
      </w:r>
    </w:p>
    <w:p w14:paraId="3ADAA8BC" w14:textId="4E03A937" w:rsidR="00CE73CA" w:rsidRPr="00CE73CA" w:rsidRDefault="00CE73CA" w:rsidP="00CE73CA">
      <w:pPr>
        <w:jc w:val="both"/>
        <w:rPr>
          <w:rFonts w:ascii="Verdana" w:hAnsi="Verdana"/>
          <w:sz w:val="22"/>
          <w:szCs w:val="22"/>
        </w:rPr>
      </w:pPr>
      <w:r w:rsidRPr="00CE73CA">
        <w:rPr>
          <w:rFonts w:ascii="Verdana" w:hAnsi="Verdana"/>
          <w:b/>
          <w:bCs/>
          <w:sz w:val="22"/>
          <w:szCs w:val="22"/>
        </w:rPr>
        <w:lastRenderedPageBreak/>
        <w:t>Quinto</w:t>
      </w:r>
      <w:r w:rsidRPr="00CE73CA">
        <w:rPr>
          <w:rFonts w:ascii="Verdana" w:hAnsi="Verdana"/>
          <w:sz w:val="22"/>
          <w:szCs w:val="22"/>
        </w:rPr>
        <w:t>: Es procedente la comisión de diligencias administrativas entre Autoridades Administrativas, cuando por circunstancias de competencia territorial la misma sea necesaria, atendiendo los principios de la corresponsabilidad, la concurrencia y la coordinación entre ellas, observando los términos previstos en los artículos 37 y siguientes del Código General del Proceso, de conformidad con la remisión establecida en el artículo 104 de la Ley 1098 de 2006.</w:t>
      </w:r>
    </w:p>
    <w:p w14:paraId="71880D29"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Sexto: </w:t>
      </w:r>
      <w:r w:rsidRPr="00CE73CA">
        <w:rPr>
          <w:rFonts w:ascii="Verdana" w:hAnsi="Verdana"/>
          <w:sz w:val="22"/>
          <w:szCs w:val="22"/>
        </w:rPr>
        <w:t>El Hogar Sustituto es una medida provisional para el restablecimiento de los derechos de los niños, niñas y adolescentes, conformado por familias de la comunidad, debidamente seleccionadas, que en forma voluntaria acogen transitoriamente a un menor de edad desprotegido, para proporcionarle afecto, seguridad y todos los cuidados necesarios para su desarrollo, por un término de seis (6) meses prorrogable por causa justificada hasta por un término igual al inicial.</w:t>
      </w:r>
    </w:p>
    <w:p w14:paraId="0B6DC812" w14:textId="351E9AB2" w:rsidR="00CE73CA" w:rsidRPr="00CE73CA" w:rsidRDefault="00CE73CA" w:rsidP="00CE73CA">
      <w:pPr>
        <w:jc w:val="both"/>
        <w:rPr>
          <w:rFonts w:ascii="Verdana" w:hAnsi="Verdana"/>
          <w:sz w:val="22"/>
          <w:szCs w:val="22"/>
        </w:rPr>
      </w:pPr>
      <w:r w:rsidRPr="00CE73CA">
        <w:rPr>
          <w:rFonts w:ascii="Verdana" w:hAnsi="Verdana"/>
          <w:sz w:val="22"/>
          <w:szCs w:val="22"/>
        </w:rPr>
        <w:t>Finalmente, es preciso indicar que el presente concepto </w:t>
      </w:r>
      <w:r w:rsidRPr="00CE73CA">
        <w:rPr>
          <w:rFonts w:ascii="Verdana" w:hAnsi="Verdana"/>
          <w:sz w:val="22"/>
          <w:szCs w:val="22"/>
          <w:vertAlign w:val="superscript"/>
        </w:rPr>
        <w:t>[12]</w:t>
      </w:r>
      <w:r w:rsidRPr="00CE73CA">
        <w:rPr>
          <w:rFonts w:ascii="Verdana" w:hAnsi="Verdana"/>
          <w:sz w:val="22"/>
          <w:szCs w:val="22"/>
        </w:rPr>
        <w:t> no es de obligatorio cumplimiento o ejecución para particulares o agentes externos, de conformidad con lo establecido en el artículo 28 de la ley 1755 de 2015, Código de Procedimiento Administrativo y de lo Contencioso Administrativo No obstante lo anterior, tiene carácter vinculante para las dependencias internas del Instituto y terceros que colaboren en la prestación del servicio público o en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DA11CDB" w14:textId="7A558C79" w:rsidR="00CE73CA" w:rsidRDefault="00CE73CA" w:rsidP="00CE73CA">
      <w:pPr>
        <w:jc w:val="both"/>
        <w:rPr>
          <w:rFonts w:ascii="Verdana" w:hAnsi="Verdana"/>
          <w:sz w:val="22"/>
          <w:szCs w:val="22"/>
        </w:rPr>
      </w:pPr>
      <w:r w:rsidRPr="00CE73CA">
        <w:rPr>
          <w:rFonts w:ascii="Verdana" w:hAnsi="Verdana"/>
          <w:sz w:val="22"/>
          <w:szCs w:val="22"/>
        </w:rPr>
        <w:t>Cordialmente</w:t>
      </w:r>
      <w:r>
        <w:rPr>
          <w:rFonts w:ascii="Verdana" w:hAnsi="Verdana"/>
          <w:sz w:val="22"/>
          <w:szCs w:val="22"/>
        </w:rPr>
        <w:t>,</w:t>
      </w:r>
    </w:p>
    <w:p w14:paraId="3B155DC0" w14:textId="77777777" w:rsidR="00CE73CA" w:rsidRPr="00CE73CA" w:rsidRDefault="00CE73CA" w:rsidP="00CE73CA">
      <w:pPr>
        <w:jc w:val="both"/>
        <w:rPr>
          <w:rFonts w:ascii="Verdana" w:hAnsi="Verdana"/>
          <w:sz w:val="22"/>
          <w:szCs w:val="22"/>
        </w:rPr>
      </w:pPr>
    </w:p>
    <w:p w14:paraId="78DCA784" w14:textId="77777777" w:rsidR="00CE73CA" w:rsidRPr="00CE73CA" w:rsidRDefault="00CE73CA" w:rsidP="00CE73CA">
      <w:pPr>
        <w:jc w:val="both"/>
        <w:rPr>
          <w:rFonts w:ascii="Verdana" w:hAnsi="Verdana"/>
          <w:sz w:val="22"/>
          <w:szCs w:val="22"/>
        </w:rPr>
      </w:pPr>
      <w:r w:rsidRPr="00CE73CA">
        <w:rPr>
          <w:rFonts w:ascii="Verdana" w:hAnsi="Verdana"/>
          <w:b/>
          <w:bCs/>
          <w:sz w:val="22"/>
          <w:szCs w:val="22"/>
        </w:rPr>
        <w:t>LUZ KARIME FERNANDEZ CASTILLO</w:t>
      </w:r>
    </w:p>
    <w:p w14:paraId="4413685E" w14:textId="77777777" w:rsidR="00CE73CA" w:rsidRPr="00CE73CA" w:rsidRDefault="00CE73CA" w:rsidP="00CE73CA">
      <w:pPr>
        <w:jc w:val="both"/>
        <w:rPr>
          <w:rFonts w:ascii="Verdana" w:hAnsi="Verdana"/>
          <w:sz w:val="22"/>
          <w:szCs w:val="22"/>
        </w:rPr>
      </w:pPr>
      <w:r w:rsidRPr="00CE73CA">
        <w:rPr>
          <w:rFonts w:ascii="Verdana" w:hAnsi="Verdana"/>
          <w:sz w:val="22"/>
          <w:szCs w:val="22"/>
        </w:rPr>
        <w:t>Jefe Oficina Asesora Jurídica</w:t>
      </w:r>
    </w:p>
    <w:p w14:paraId="621A726A" w14:textId="77777777" w:rsidR="00CE73CA" w:rsidRDefault="00CE73CA" w:rsidP="00CE73CA">
      <w:pPr>
        <w:jc w:val="both"/>
        <w:rPr>
          <w:rFonts w:ascii="Verdana" w:hAnsi="Verdana"/>
          <w:sz w:val="22"/>
          <w:szCs w:val="22"/>
        </w:rPr>
      </w:pPr>
    </w:p>
    <w:p w14:paraId="54236D35" w14:textId="38F7F824" w:rsidR="00CE73CA" w:rsidRPr="00CE73CA" w:rsidRDefault="00CE73CA" w:rsidP="00CE73CA">
      <w:pPr>
        <w:jc w:val="both"/>
        <w:rPr>
          <w:rFonts w:ascii="Verdana" w:hAnsi="Verdana"/>
          <w:b/>
          <w:bCs/>
          <w:sz w:val="22"/>
          <w:szCs w:val="22"/>
        </w:rPr>
      </w:pPr>
      <w:r w:rsidRPr="00CE73CA">
        <w:rPr>
          <w:rFonts w:ascii="Verdana" w:hAnsi="Verdana"/>
          <w:b/>
          <w:bCs/>
          <w:sz w:val="22"/>
          <w:szCs w:val="22"/>
        </w:rPr>
        <w:t>Notas pie de página:</w:t>
      </w:r>
    </w:p>
    <w:p w14:paraId="505DCEE5" w14:textId="2BA42B72" w:rsidR="00CE73CA" w:rsidRPr="00CE73CA" w:rsidRDefault="00CE73CA" w:rsidP="00CE73CA">
      <w:pPr>
        <w:jc w:val="both"/>
        <w:rPr>
          <w:rFonts w:ascii="Verdana" w:hAnsi="Verdana"/>
          <w:sz w:val="22"/>
          <w:szCs w:val="22"/>
        </w:rPr>
      </w:pPr>
      <w:r w:rsidRPr="00CE73CA">
        <w:rPr>
          <w:rFonts w:ascii="Verdana" w:hAnsi="Verdana"/>
          <w:sz w:val="22"/>
          <w:szCs w:val="22"/>
        </w:rPr>
        <w:t>1. Resolución No 1526 del 23 de febrero de 2016</w:t>
      </w:r>
    </w:p>
    <w:p w14:paraId="39D70813" w14:textId="1906C930" w:rsidR="00CE73CA" w:rsidRPr="00CE73CA" w:rsidRDefault="00CE73CA" w:rsidP="00CE73CA">
      <w:pPr>
        <w:jc w:val="both"/>
        <w:rPr>
          <w:rFonts w:ascii="Verdana" w:hAnsi="Verdana"/>
          <w:sz w:val="22"/>
          <w:szCs w:val="22"/>
        </w:rPr>
      </w:pPr>
      <w:r w:rsidRPr="00CE73CA">
        <w:rPr>
          <w:rFonts w:ascii="Verdana" w:hAnsi="Verdana"/>
          <w:sz w:val="22"/>
          <w:szCs w:val="22"/>
        </w:rPr>
        <w:t>2. Ley 1098 de 2006</w:t>
      </w:r>
    </w:p>
    <w:p w14:paraId="095D956D" w14:textId="4715D3C4" w:rsidR="00CE73CA" w:rsidRPr="00CE73CA" w:rsidRDefault="00CE73CA" w:rsidP="00CE73CA">
      <w:pPr>
        <w:jc w:val="both"/>
        <w:rPr>
          <w:rFonts w:ascii="Verdana" w:hAnsi="Verdana"/>
          <w:sz w:val="22"/>
          <w:szCs w:val="22"/>
        </w:rPr>
      </w:pPr>
      <w:r w:rsidRPr="00CE73CA">
        <w:rPr>
          <w:rFonts w:ascii="Verdana" w:hAnsi="Verdana"/>
          <w:sz w:val="22"/>
          <w:szCs w:val="22"/>
        </w:rPr>
        <w:t>3. Ley 1098 de 2006</w:t>
      </w:r>
    </w:p>
    <w:p w14:paraId="663A25E0" w14:textId="14313C16" w:rsidR="00CE73CA" w:rsidRPr="00CE73CA" w:rsidRDefault="00CE73CA" w:rsidP="00CE73CA">
      <w:pPr>
        <w:jc w:val="both"/>
        <w:rPr>
          <w:rFonts w:ascii="Verdana" w:hAnsi="Verdana"/>
          <w:sz w:val="22"/>
          <w:szCs w:val="22"/>
        </w:rPr>
      </w:pPr>
      <w:r w:rsidRPr="00CE73CA">
        <w:rPr>
          <w:rFonts w:ascii="Verdana" w:hAnsi="Verdana"/>
          <w:sz w:val="22"/>
          <w:szCs w:val="22"/>
        </w:rPr>
        <w:t>4. Numeral 4 del artículo 119 Ley 1098 de 2006</w:t>
      </w:r>
    </w:p>
    <w:p w14:paraId="5FCBF3D1" w14:textId="276E45DA" w:rsidR="00CE73CA" w:rsidRPr="00CE73CA" w:rsidRDefault="00CE73CA" w:rsidP="00CE73CA">
      <w:pPr>
        <w:jc w:val="both"/>
        <w:rPr>
          <w:rFonts w:ascii="Verdana" w:hAnsi="Verdana"/>
          <w:sz w:val="22"/>
          <w:szCs w:val="22"/>
        </w:rPr>
      </w:pPr>
      <w:r w:rsidRPr="00CE73CA">
        <w:rPr>
          <w:rFonts w:ascii="Verdana" w:hAnsi="Verdana"/>
          <w:sz w:val="22"/>
          <w:szCs w:val="22"/>
        </w:rPr>
        <w:t>5. Artículo 4o de la Ley 1098 de 2006.</w:t>
      </w:r>
    </w:p>
    <w:p w14:paraId="2E5572EB" w14:textId="1588AA09" w:rsidR="00CE73CA" w:rsidRPr="00CE73CA" w:rsidRDefault="00CE73CA" w:rsidP="00CE73CA">
      <w:pPr>
        <w:jc w:val="both"/>
        <w:rPr>
          <w:rFonts w:ascii="Verdana" w:hAnsi="Verdana"/>
          <w:sz w:val="22"/>
          <w:szCs w:val="22"/>
        </w:rPr>
      </w:pPr>
      <w:r w:rsidRPr="00CE73CA">
        <w:rPr>
          <w:rFonts w:ascii="Verdana" w:hAnsi="Verdana"/>
          <w:sz w:val="22"/>
          <w:szCs w:val="22"/>
        </w:rPr>
        <w:lastRenderedPageBreak/>
        <w:t>6. Corte Constitucional C- 149 del 11 de marzo de 2009.  MP. Gabriel Eduardo Mendoza Martelo.</w:t>
      </w:r>
    </w:p>
    <w:p w14:paraId="1F265A9E" w14:textId="77777777" w:rsidR="00CE73CA" w:rsidRPr="00CE73CA" w:rsidRDefault="00CE73CA" w:rsidP="00CE73CA">
      <w:pPr>
        <w:jc w:val="both"/>
        <w:rPr>
          <w:rFonts w:ascii="Verdana" w:hAnsi="Verdana"/>
          <w:sz w:val="22"/>
          <w:szCs w:val="22"/>
        </w:rPr>
      </w:pPr>
      <w:r w:rsidRPr="00CE73CA">
        <w:rPr>
          <w:rFonts w:ascii="Verdana" w:hAnsi="Verdana"/>
          <w:sz w:val="22"/>
          <w:szCs w:val="22"/>
        </w:rPr>
        <w:t>7. Sentencia No T-458/'94 MP. Dr. Jorge Arango Mejía</w:t>
      </w:r>
    </w:p>
    <w:p w14:paraId="1D6F308C" w14:textId="77777777" w:rsidR="00CE73CA" w:rsidRPr="00CE73CA" w:rsidRDefault="00CE73CA" w:rsidP="00CE73CA">
      <w:pPr>
        <w:jc w:val="both"/>
        <w:rPr>
          <w:rFonts w:ascii="Verdana" w:hAnsi="Verdana"/>
          <w:sz w:val="22"/>
          <w:szCs w:val="22"/>
        </w:rPr>
      </w:pPr>
      <w:r w:rsidRPr="00CE73CA">
        <w:rPr>
          <w:rFonts w:ascii="Verdana" w:hAnsi="Verdana"/>
          <w:sz w:val="22"/>
          <w:szCs w:val="22"/>
        </w:rPr>
        <w:t>8. Sentencia C-733/00 M.P Dr. Eduardo Cruentes Muñoz</w:t>
      </w:r>
    </w:p>
    <w:p w14:paraId="4DA639D5" w14:textId="5FF620D6" w:rsidR="00CE73CA" w:rsidRPr="00CE73CA" w:rsidRDefault="00CE73CA" w:rsidP="00CE73CA">
      <w:pPr>
        <w:jc w:val="both"/>
        <w:rPr>
          <w:rFonts w:ascii="Verdana" w:hAnsi="Verdana"/>
          <w:sz w:val="22"/>
          <w:szCs w:val="22"/>
        </w:rPr>
      </w:pPr>
      <w:r w:rsidRPr="00CE73CA">
        <w:rPr>
          <w:rFonts w:ascii="Verdana" w:hAnsi="Verdana"/>
          <w:sz w:val="22"/>
          <w:szCs w:val="22"/>
        </w:rPr>
        <w:t>9. Artículo 3.</w:t>
      </w:r>
    </w:p>
    <w:p w14:paraId="7D058B73" w14:textId="7C07C076" w:rsidR="00CE73CA" w:rsidRPr="00CE73CA" w:rsidRDefault="00CE73CA" w:rsidP="00CE73CA">
      <w:pPr>
        <w:jc w:val="both"/>
        <w:rPr>
          <w:rFonts w:ascii="Verdana" w:hAnsi="Verdana"/>
          <w:sz w:val="22"/>
          <w:szCs w:val="22"/>
        </w:rPr>
      </w:pPr>
      <w:r w:rsidRPr="00CE73CA">
        <w:rPr>
          <w:rFonts w:ascii="Verdana" w:hAnsi="Verdana"/>
          <w:sz w:val="22"/>
          <w:szCs w:val="22"/>
        </w:rPr>
        <w:t>10. Resolución 5930 de 2010 –pág. 3</w:t>
      </w:r>
    </w:p>
    <w:p w14:paraId="58C3AA45" w14:textId="1FA5D5DD" w:rsidR="00CE73CA" w:rsidRPr="00CE73CA" w:rsidRDefault="00CE73CA" w:rsidP="00CE73CA">
      <w:pPr>
        <w:jc w:val="both"/>
        <w:rPr>
          <w:rFonts w:ascii="Verdana" w:hAnsi="Verdana"/>
          <w:sz w:val="22"/>
          <w:szCs w:val="22"/>
        </w:rPr>
      </w:pPr>
      <w:r w:rsidRPr="00CE73CA">
        <w:rPr>
          <w:rFonts w:ascii="Verdana" w:hAnsi="Verdana"/>
          <w:sz w:val="22"/>
          <w:szCs w:val="22"/>
        </w:rPr>
        <w:t>11. Art 59 Ley 1098 de 2006</w:t>
      </w:r>
    </w:p>
    <w:p w14:paraId="6567FDB1" w14:textId="29591C49" w:rsidR="00CE73CA" w:rsidRPr="00CE73CA" w:rsidRDefault="00CE73CA" w:rsidP="00CE73CA">
      <w:pPr>
        <w:jc w:val="both"/>
        <w:rPr>
          <w:rFonts w:ascii="Verdana" w:hAnsi="Verdana"/>
          <w:sz w:val="22"/>
          <w:szCs w:val="22"/>
        </w:rPr>
      </w:pPr>
      <w:r w:rsidRPr="00CE73CA">
        <w:rPr>
          <w:rFonts w:ascii="Verdana" w:hAnsi="Verdana"/>
          <w:sz w:val="22"/>
          <w:szCs w:val="22"/>
        </w:rPr>
        <w:t>12.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6DAA4894" w14:textId="77777777" w:rsidR="00CE73CA" w:rsidRPr="00CE73CA" w:rsidRDefault="00CE73CA" w:rsidP="00CE73CA">
      <w:pPr>
        <w:jc w:val="both"/>
      </w:pPr>
    </w:p>
    <w:sectPr w:rsidR="00CE73CA" w:rsidRPr="00CE73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CA"/>
    <w:rsid w:val="00B27C7E"/>
    <w:rsid w:val="00CE73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3889"/>
  <w15:chartTrackingRefBased/>
  <w15:docId w15:val="{0F0063D7-A50B-48E9-A3D3-586E5E4B7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7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7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73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73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73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73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73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73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73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3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73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73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73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73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73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73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73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73CA"/>
    <w:rPr>
      <w:rFonts w:eastAsiaTheme="majorEastAsia" w:cstheme="majorBidi"/>
      <w:color w:val="272727" w:themeColor="text1" w:themeTint="D8"/>
    </w:rPr>
  </w:style>
  <w:style w:type="paragraph" w:styleId="Ttulo">
    <w:name w:val="Title"/>
    <w:basedOn w:val="Normal"/>
    <w:next w:val="Normal"/>
    <w:link w:val="TtuloCar"/>
    <w:uiPriority w:val="10"/>
    <w:qFormat/>
    <w:rsid w:val="00CE7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73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73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73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73CA"/>
    <w:pPr>
      <w:spacing w:before="160"/>
      <w:jc w:val="center"/>
    </w:pPr>
    <w:rPr>
      <w:i/>
      <w:iCs/>
      <w:color w:val="404040" w:themeColor="text1" w:themeTint="BF"/>
    </w:rPr>
  </w:style>
  <w:style w:type="character" w:customStyle="1" w:styleId="CitaCar">
    <w:name w:val="Cita Car"/>
    <w:basedOn w:val="Fuentedeprrafopredeter"/>
    <w:link w:val="Cita"/>
    <w:uiPriority w:val="29"/>
    <w:rsid w:val="00CE73CA"/>
    <w:rPr>
      <w:i/>
      <w:iCs/>
      <w:color w:val="404040" w:themeColor="text1" w:themeTint="BF"/>
    </w:rPr>
  </w:style>
  <w:style w:type="paragraph" w:styleId="Prrafodelista">
    <w:name w:val="List Paragraph"/>
    <w:basedOn w:val="Normal"/>
    <w:uiPriority w:val="34"/>
    <w:qFormat/>
    <w:rsid w:val="00CE73CA"/>
    <w:pPr>
      <w:ind w:left="720"/>
      <w:contextualSpacing/>
    </w:pPr>
  </w:style>
  <w:style w:type="character" w:styleId="nfasisintenso">
    <w:name w:val="Intense Emphasis"/>
    <w:basedOn w:val="Fuentedeprrafopredeter"/>
    <w:uiPriority w:val="21"/>
    <w:qFormat/>
    <w:rsid w:val="00CE73CA"/>
    <w:rPr>
      <w:i/>
      <w:iCs/>
      <w:color w:val="0F4761" w:themeColor="accent1" w:themeShade="BF"/>
    </w:rPr>
  </w:style>
  <w:style w:type="paragraph" w:styleId="Citadestacada">
    <w:name w:val="Intense Quote"/>
    <w:basedOn w:val="Normal"/>
    <w:next w:val="Normal"/>
    <w:link w:val="CitadestacadaCar"/>
    <w:uiPriority w:val="30"/>
    <w:qFormat/>
    <w:rsid w:val="00CE7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73CA"/>
    <w:rPr>
      <w:i/>
      <w:iCs/>
      <w:color w:val="0F4761" w:themeColor="accent1" w:themeShade="BF"/>
    </w:rPr>
  </w:style>
  <w:style w:type="character" w:styleId="Referenciaintensa">
    <w:name w:val="Intense Reference"/>
    <w:basedOn w:val="Fuentedeprrafopredeter"/>
    <w:uiPriority w:val="32"/>
    <w:qFormat/>
    <w:rsid w:val="00CE73CA"/>
    <w:rPr>
      <w:b/>
      <w:bCs/>
      <w:smallCaps/>
      <w:color w:val="0F4761" w:themeColor="accent1" w:themeShade="BF"/>
      <w:spacing w:val="5"/>
    </w:rPr>
  </w:style>
  <w:style w:type="character" w:styleId="Hipervnculo">
    <w:name w:val="Hyperlink"/>
    <w:basedOn w:val="Fuentedeprrafopredeter"/>
    <w:uiPriority w:val="99"/>
    <w:unhideWhenUsed/>
    <w:rsid w:val="00CE73CA"/>
    <w:rPr>
      <w:color w:val="467886" w:themeColor="hyperlink"/>
      <w:u w:val="single"/>
    </w:rPr>
  </w:style>
  <w:style w:type="character" w:styleId="Mencinsinresolver">
    <w:name w:val="Unresolved Mention"/>
    <w:basedOn w:val="Fuentedeprrafopredeter"/>
    <w:uiPriority w:val="99"/>
    <w:semiHidden/>
    <w:unhideWhenUsed/>
    <w:rsid w:val="00CE7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27441-8420-44FB-A9E4-21E6B37F9429}"/>
</file>

<file path=customXml/itemProps2.xml><?xml version="1.0" encoding="utf-8"?>
<ds:datastoreItem xmlns:ds="http://schemas.openxmlformats.org/officeDocument/2006/customXml" ds:itemID="{6EC3FE52-5F49-4ED3-8207-FDBAD6A1870A}"/>
</file>

<file path=customXml/itemProps3.xml><?xml version="1.0" encoding="utf-8"?>
<ds:datastoreItem xmlns:ds="http://schemas.openxmlformats.org/officeDocument/2006/customXml" ds:itemID="{3F39D143-DA98-43EF-85A8-DD2BC8D92F8B}"/>
</file>

<file path=docProps/app.xml><?xml version="1.0" encoding="utf-8"?>
<Properties xmlns="http://schemas.openxmlformats.org/officeDocument/2006/extended-properties" xmlns:vt="http://schemas.openxmlformats.org/officeDocument/2006/docPropsVTypes">
  <Template>Normal</Template>
  <TotalTime>1</TotalTime>
  <Pages>1</Pages>
  <Words>5618</Words>
  <Characters>30905</Characters>
  <Application>Microsoft Office Word</Application>
  <DocSecurity>0</DocSecurity>
  <Lines>257</Lines>
  <Paragraphs>72</Paragraphs>
  <ScaleCrop>false</ScaleCrop>
  <Company/>
  <LinksUpToDate>false</LinksUpToDate>
  <CharactersWithSpaces>36451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2026-04-28T21:18:00Z</dcterms:created>
  <dcterms:modified xsi:type="dcterms:W3CDTF">2026-04-28T21:19:00Z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