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C16E" w14:textId="77777777" w:rsidR="00265A3F" w:rsidRPr="00265A3F" w:rsidRDefault="00265A3F" w:rsidP="0046316F">
      <w:pPr>
        <w:jc w:val="center"/>
        <w:rPr>
          <w:rFonts w:ascii="Verdana" w:hAnsi="Verdana"/>
          <w:sz w:val="22"/>
          <w:szCs w:val="22"/>
        </w:rPr>
      </w:pPr>
      <w:r w:rsidRPr="00265A3F">
        <w:rPr>
          <w:rFonts w:ascii="Verdana" w:hAnsi="Verdana"/>
          <w:b/>
          <w:bCs/>
          <w:sz w:val="22"/>
          <w:szCs w:val="22"/>
        </w:rPr>
        <w:t>CONCEPTO 35 DE 2020</w:t>
      </w:r>
    </w:p>
    <w:p w14:paraId="60466802" w14:textId="77777777" w:rsidR="00265A3F" w:rsidRPr="00265A3F" w:rsidRDefault="00265A3F" w:rsidP="0046316F">
      <w:pPr>
        <w:jc w:val="center"/>
        <w:rPr>
          <w:rFonts w:ascii="Verdana" w:hAnsi="Verdana"/>
          <w:sz w:val="22"/>
          <w:szCs w:val="22"/>
        </w:rPr>
      </w:pPr>
      <w:r w:rsidRPr="00265A3F">
        <w:rPr>
          <w:rFonts w:ascii="Verdana" w:hAnsi="Verdana"/>
          <w:sz w:val="22"/>
          <w:szCs w:val="22"/>
        </w:rPr>
        <w:t>(diciembre 4)</w:t>
      </w:r>
    </w:p>
    <w:p w14:paraId="103D7894" w14:textId="17B0EFB8" w:rsidR="00265A3F" w:rsidRDefault="00265A3F" w:rsidP="0046316F">
      <w:pPr>
        <w:jc w:val="center"/>
        <w:rPr>
          <w:rFonts w:ascii="Verdana" w:hAnsi="Verdana"/>
          <w:b/>
          <w:bCs/>
          <w:sz w:val="22"/>
          <w:szCs w:val="22"/>
        </w:rPr>
      </w:pPr>
      <w:r w:rsidRPr="00265A3F">
        <w:rPr>
          <w:rFonts w:ascii="Verdana" w:hAnsi="Verdana"/>
          <w:b/>
          <w:bCs/>
          <w:sz w:val="22"/>
          <w:szCs w:val="22"/>
        </w:rPr>
        <w:t>INSTITUTO COLOMBIANO DE BIENESTAR FAMILIAR</w:t>
      </w:r>
    </w:p>
    <w:p w14:paraId="1001E2A9" w14:textId="1CE009E2" w:rsidR="00F43EC2" w:rsidRDefault="00F43EC2" w:rsidP="00F43EC2">
      <w:pPr>
        <w:rPr>
          <w:rFonts w:ascii="Verdana" w:hAnsi="Verdana"/>
          <w:b/>
          <w:bCs/>
          <w:sz w:val="22"/>
          <w:szCs w:val="22"/>
        </w:rPr>
      </w:pPr>
    </w:p>
    <w:p w14:paraId="51E7FBB1" w14:textId="1754E187" w:rsidR="000547B0" w:rsidRDefault="00F43EC2" w:rsidP="00265A3F">
      <w:pPr>
        <w:jc w:val="both"/>
        <w:rPr>
          <w:rFonts w:ascii="Verdana" w:hAnsi="Verdana"/>
          <w:sz w:val="22"/>
          <w:szCs w:val="22"/>
        </w:rPr>
      </w:pPr>
      <w:r>
        <w:rPr>
          <w:rFonts w:ascii="Verdana" w:hAnsi="Verdana"/>
          <w:b/>
          <w:bCs/>
          <w:sz w:val="22"/>
          <w:szCs w:val="22"/>
        </w:rPr>
        <w:t xml:space="preserve">ASUNTO: </w:t>
      </w:r>
      <w:r w:rsidR="000547B0">
        <w:rPr>
          <w:rFonts w:ascii="Verdana" w:hAnsi="Verdana"/>
          <w:sz w:val="22"/>
          <w:szCs w:val="22"/>
        </w:rPr>
        <w:t>Efectos sobre publicación de e</w:t>
      </w:r>
      <w:r w:rsidR="000547B0" w:rsidRPr="00265A3F">
        <w:rPr>
          <w:rFonts w:ascii="Verdana" w:hAnsi="Verdana"/>
          <w:sz w:val="22"/>
          <w:szCs w:val="22"/>
        </w:rPr>
        <w:t>l Boletín publicado por la Corte Constitucional y que informa el sentido del fallo de constitucionalidad de la Ley 1918 de 2018</w:t>
      </w:r>
      <w:r w:rsidR="000547B0">
        <w:rPr>
          <w:rFonts w:ascii="Verdana" w:hAnsi="Verdana"/>
          <w:sz w:val="22"/>
          <w:szCs w:val="22"/>
        </w:rPr>
        <w:t xml:space="preserve">. </w:t>
      </w:r>
    </w:p>
    <w:p w14:paraId="21478468" w14:textId="0C70793E" w:rsidR="00265A3F" w:rsidRPr="00265A3F" w:rsidRDefault="00265A3F" w:rsidP="00265A3F">
      <w:pPr>
        <w:jc w:val="both"/>
        <w:rPr>
          <w:rFonts w:ascii="Verdana" w:hAnsi="Verdana"/>
          <w:sz w:val="22"/>
          <w:szCs w:val="22"/>
        </w:rPr>
      </w:pPr>
      <w:r w:rsidRPr="00265A3F">
        <w:rPr>
          <w:rFonts w:ascii="Verdana" w:hAnsi="Verdana"/>
          <w:sz w:val="22"/>
          <w:szCs w:val="22"/>
        </w:rPr>
        <w:t>De manera atenta, en relación con el asunto en referencia, en los términos previstos en los artículos 26 del Código Civil, la Ley 1755 de 2015, y el numeral 4 del artículo 6o del Decreto 987 de 2012, se da respuesta a la consulta sobre el caso en cuestión, en los términos que siguen:</w:t>
      </w:r>
    </w:p>
    <w:p w14:paraId="4FAF5DED" w14:textId="77777777" w:rsidR="00265A3F" w:rsidRPr="00265A3F" w:rsidRDefault="00265A3F" w:rsidP="00265A3F">
      <w:pPr>
        <w:jc w:val="both"/>
        <w:rPr>
          <w:rFonts w:ascii="Verdana" w:hAnsi="Verdana"/>
          <w:sz w:val="22"/>
          <w:szCs w:val="22"/>
        </w:rPr>
      </w:pPr>
      <w:r w:rsidRPr="00265A3F">
        <w:rPr>
          <w:rFonts w:ascii="Verdana" w:hAnsi="Verdana"/>
          <w:b/>
          <w:bCs/>
          <w:sz w:val="22"/>
          <w:szCs w:val="22"/>
        </w:rPr>
        <w:t>I. PROBLEMA JURÍDICO</w:t>
      </w:r>
    </w:p>
    <w:p w14:paraId="15B32644" w14:textId="786D9188" w:rsidR="00265A3F" w:rsidRPr="00265A3F" w:rsidRDefault="00265A3F" w:rsidP="00265A3F">
      <w:pPr>
        <w:jc w:val="both"/>
        <w:rPr>
          <w:rFonts w:ascii="Verdana" w:hAnsi="Verdana"/>
          <w:sz w:val="22"/>
          <w:szCs w:val="22"/>
        </w:rPr>
      </w:pPr>
      <w:r w:rsidRPr="00265A3F">
        <w:rPr>
          <w:rFonts w:ascii="Verdana" w:hAnsi="Verdana"/>
          <w:sz w:val="22"/>
          <w:szCs w:val="22"/>
        </w:rPr>
        <w:t>¿El Boletín publicado por la Corte Constitucional y que informa el sentido del fallo de constitucionalidad de la Ley 1918 de 2018 genera efectos sobre las funciones contempladas en dicha norma para el Instituto Colombiano de Bienestar Familiar?</w:t>
      </w:r>
    </w:p>
    <w:p w14:paraId="14CFB807" w14:textId="77777777" w:rsidR="00265A3F" w:rsidRPr="00265A3F" w:rsidRDefault="00265A3F" w:rsidP="00265A3F">
      <w:pPr>
        <w:jc w:val="both"/>
        <w:rPr>
          <w:rFonts w:ascii="Verdana" w:hAnsi="Verdana"/>
          <w:sz w:val="22"/>
          <w:szCs w:val="22"/>
        </w:rPr>
      </w:pPr>
      <w:r w:rsidRPr="00265A3F">
        <w:rPr>
          <w:rFonts w:ascii="Verdana" w:hAnsi="Verdana"/>
          <w:b/>
          <w:bCs/>
          <w:sz w:val="22"/>
          <w:szCs w:val="22"/>
        </w:rPr>
        <w:t>II. ANÁLISIS DEL PROBLEMA JURÍDICO</w:t>
      </w:r>
    </w:p>
    <w:p w14:paraId="7FD3964B" w14:textId="77777777" w:rsidR="00265A3F" w:rsidRPr="00265A3F" w:rsidRDefault="00265A3F" w:rsidP="00265A3F">
      <w:pPr>
        <w:jc w:val="both"/>
        <w:rPr>
          <w:rFonts w:ascii="Verdana" w:hAnsi="Verdana"/>
          <w:sz w:val="22"/>
          <w:szCs w:val="22"/>
        </w:rPr>
      </w:pPr>
      <w:r w:rsidRPr="00265A3F">
        <w:rPr>
          <w:rFonts w:ascii="Verdana" w:hAnsi="Verdana"/>
          <w:sz w:val="22"/>
          <w:szCs w:val="22"/>
        </w:rPr>
        <w:t>Para dar respuesta al problema jurídico se expone lo siguiente:</w:t>
      </w:r>
    </w:p>
    <w:p w14:paraId="7339AC76" w14:textId="77777777" w:rsidR="00265A3F" w:rsidRPr="00265A3F" w:rsidRDefault="00265A3F" w:rsidP="00265A3F">
      <w:pPr>
        <w:jc w:val="both"/>
        <w:rPr>
          <w:rFonts w:ascii="Verdana" w:hAnsi="Verdana"/>
          <w:sz w:val="22"/>
          <w:szCs w:val="22"/>
        </w:rPr>
      </w:pPr>
      <w:r w:rsidRPr="00265A3F">
        <w:rPr>
          <w:rFonts w:ascii="Verdana" w:hAnsi="Verdana"/>
          <w:sz w:val="22"/>
          <w:szCs w:val="22"/>
        </w:rPr>
        <w:t>- </w:t>
      </w:r>
      <w:r w:rsidRPr="00265A3F">
        <w:rPr>
          <w:rFonts w:ascii="Verdana" w:hAnsi="Verdana"/>
          <w:b/>
          <w:bCs/>
          <w:sz w:val="22"/>
          <w:szCs w:val="22"/>
        </w:rPr>
        <w:t>Naturaleza y efectos de los Comunicados de Prensa de la Corte Constitucional</w:t>
      </w:r>
    </w:p>
    <w:p w14:paraId="069A1665" w14:textId="1690B15B" w:rsidR="00265A3F" w:rsidRPr="00265A3F" w:rsidRDefault="00265A3F" w:rsidP="00265A3F">
      <w:pPr>
        <w:jc w:val="both"/>
        <w:rPr>
          <w:rFonts w:ascii="Verdana" w:hAnsi="Verdana"/>
          <w:sz w:val="22"/>
          <w:szCs w:val="22"/>
        </w:rPr>
      </w:pPr>
      <w:r w:rsidRPr="00265A3F">
        <w:rPr>
          <w:rFonts w:ascii="Verdana" w:hAnsi="Verdana"/>
          <w:sz w:val="22"/>
          <w:szCs w:val="22"/>
        </w:rPr>
        <w:t>La Ley 270 de 1996, Ley Estatutaria de Administración de Justicia, en su Artículo 64</w:t>
      </w:r>
      <w:r w:rsidRPr="00265A3F">
        <w:rPr>
          <w:rFonts w:ascii="Verdana" w:hAnsi="Verdana"/>
          <w:b/>
          <w:bCs/>
          <w:sz w:val="22"/>
          <w:szCs w:val="22"/>
        </w:rPr>
        <w:t> </w:t>
      </w:r>
      <w:r w:rsidRPr="00265A3F">
        <w:rPr>
          <w:rFonts w:ascii="Verdana" w:hAnsi="Verdana"/>
          <w:sz w:val="22"/>
          <w:szCs w:val="22"/>
          <w:vertAlign w:val="superscript"/>
        </w:rPr>
        <w:t>(1)</w:t>
      </w:r>
      <w:r w:rsidRPr="00265A3F">
        <w:rPr>
          <w:rFonts w:ascii="Verdana" w:hAnsi="Verdana"/>
          <w:sz w:val="22"/>
          <w:szCs w:val="22"/>
        </w:rPr>
        <w:t> faculta a las Corporaciones Judiciales colombianas para informar sobre el contenido y alcance de sus decisiones; actividad que la Corte Constitucional realiza mediante comunicados de prensa.</w:t>
      </w:r>
    </w:p>
    <w:p w14:paraId="6059C6FA" w14:textId="1783AD33" w:rsidR="00265A3F" w:rsidRPr="00265A3F" w:rsidRDefault="00265A3F" w:rsidP="00265A3F">
      <w:pPr>
        <w:jc w:val="both"/>
        <w:rPr>
          <w:rFonts w:ascii="Verdana" w:hAnsi="Verdana"/>
          <w:sz w:val="22"/>
          <w:szCs w:val="22"/>
        </w:rPr>
      </w:pPr>
      <w:r w:rsidRPr="00265A3F">
        <w:rPr>
          <w:rFonts w:ascii="Verdana" w:hAnsi="Verdana"/>
          <w:sz w:val="22"/>
          <w:szCs w:val="22"/>
        </w:rPr>
        <w:t xml:space="preserve">El Reglamento Interno de la Corte Constitucional determina que el </w:t>
      </w:r>
      <w:proofErr w:type="gramStart"/>
      <w:r w:rsidRPr="00265A3F">
        <w:rPr>
          <w:rFonts w:ascii="Verdana" w:hAnsi="Verdana"/>
          <w:sz w:val="22"/>
          <w:szCs w:val="22"/>
        </w:rPr>
        <w:t>Presidente</w:t>
      </w:r>
      <w:proofErr w:type="gramEnd"/>
      <w:r w:rsidRPr="00265A3F">
        <w:rPr>
          <w:rFonts w:ascii="Verdana" w:hAnsi="Verdana"/>
          <w:sz w:val="22"/>
          <w:szCs w:val="22"/>
        </w:rPr>
        <w:t xml:space="preserve"> de dicha Corporación tiene como función: </w:t>
      </w:r>
      <w:r w:rsidRPr="00265A3F">
        <w:rPr>
          <w:rFonts w:ascii="Verdana" w:hAnsi="Verdana"/>
          <w:i/>
          <w:iCs/>
          <w:sz w:val="22"/>
          <w:szCs w:val="22"/>
        </w:rPr>
        <w:t>(s)</w:t>
      </w:r>
      <w:proofErr w:type="spellStart"/>
      <w:r w:rsidRPr="00265A3F">
        <w:rPr>
          <w:rFonts w:ascii="Verdana" w:hAnsi="Verdana"/>
          <w:i/>
          <w:iCs/>
          <w:sz w:val="22"/>
          <w:szCs w:val="22"/>
        </w:rPr>
        <w:t>ervir</w:t>
      </w:r>
      <w:proofErr w:type="spellEnd"/>
      <w:r w:rsidRPr="00265A3F">
        <w:rPr>
          <w:rFonts w:ascii="Verdana" w:hAnsi="Verdana"/>
          <w:i/>
          <w:iCs/>
          <w:sz w:val="22"/>
          <w:szCs w:val="22"/>
        </w:rPr>
        <w:t xml:space="preserve"> a la Corte de órgano de comunicación y, en consecuencia, sólo él podrá informar oficialmente sobre los asuntos decididos por la Sala </w:t>
      </w:r>
      <w:r w:rsidR="0046316F" w:rsidRPr="00265A3F">
        <w:rPr>
          <w:rFonts w:ascii="Verdana" w:hAnsi="Verdana"/>
          <w:i/>
          <w:iCs/>
          <w:sz w:val="22"/>
          <w:szCs w:val="22"/>
        </w:rPr>
        <w:t>Plena</w:t>
      </w:r>
      <w:r w:rsidR="0046316F" w:rsidRPr="00265A3F">
        <w:rPr>
          <w:rFonts w:ascii="Verdana" w:hAnsi="Verdana"/>
          <w:b/>
          <w:bCs/>
          <w:sz w:val="22"/>
          <w:szCs w:val="22"/>
          <w:vertAlign w:val="superscript"/>
        </w:rPr>
        <w:t xml:space="preserve"> (</w:t>
      </w:r>
      <w:r w:rsidRPr="00265A3F">
        <w:rPr>
          <w:rFonts w:ascii="Verdana" w:hAnsi="Verdana"/>
          <w:b/>
          <w:bCs/>
          <w:sz w:val="22"/>
          <w:szCs w:val="22"/>
          <w:vertAlign w:val="superscript"/>
        </w:rPr>
        <w:t>2)</w:t>
      </w:r>
      <w:r w:rsidRPr="00265A3F">
        <w:rPr>
          <w:rFonts w:ascii="Verdana" w:hAnsi="Verdana"/>
          <w:i/>
          <w:iCs/>
          <w:sz w:val="22"/>
          <w:szCs w:val="22"/>
        </w:rPr>
        <w:t>, </w:t>
      </w:r>
      <w:r w:rsidRPr="00265A3F">
        <w:rPr>
          <w:rFonts w:ascii="Verdana" w:hAnsi="Verdana"/>
          <w:sz w:val="22"/>
          <w:szCs w:val="22"/>
        </w:rPr>
        <w:t>así mismo contempla que </w:t>
      </w:r>
      <w:r w:rsidRPr="00265A3F">
        <w:rPr>
          <w:rFonts w:ascii="Verdana" w:hAnsi="Verdana"/>
          <w:i/>
          <w:iCs/>
          <w:sz w:val="22"/>
          <w:szCs w:val="22"/>
        </w:rPr>
        <w:t>(u)</w:t>
      </w:r>
      <w:proofErr w:type="spellStart"/>
      <w:r w:rsidRPr="00265A3F">
        <w:rPr>
          <w:rFonts w:ascii="Verdana" w:hAnsi="Verdana"/>
          <w:i/>
          <w:iCs/>
          <w:sz w:val="22"/>
          <w:szCs w:val="22"/>
        </w:rPr>
        <w:t>na</w:t>
      </w:r>
      <w:proofErr w:type="spellEnd"/>
      <w:r w:rsidRPr="00265A3F">
        <w:rPr>
          <w:rFonts w:ascii="Verdana" w:hAnsi="Verdana"/>
          <w:i/>
          <w:iCs/>
          <w:sz w:val="22"/>
          <w:szCs w:val="22"/>
        </w:rPr>
        <w:t xml:space="preserve"> vez adoptada la decisión por la Sala Plena, el </w:t>
      </w:r>
      <w:proofErr w:type="gramStart"/>
      <w:r w:rsidRPr="00265A3F">
        <w:rPr>
          <w:rFonts w:ascii="Verdana" w:hAnsi="Verdana"/>
          <w:i/>
          <w:iCs/>
          <w:sz w:val="22"/>
          <w:szCs w:val="22"/>
        </w:rPr>
        <w:t>Presidente</w:t>
      </w:r>
      <w:proofErr w:type="gramEnd"/>
      <w:r w:rsidRPr="00265A3F">
        <w:rPr>
          <w:rFonts w:ascii="Verdana" w:hAnsi="Verdana"/>
          <w:i/>
          <w:iCs/>
          <w:sz w:val="22"/>
          <w:szCs w:val="22"/>
        </w:rPr>
        <w:t xml:space="preserve"> procederá a comunicar a la opinión pública el sentido del fallo, a más tardar al día siguiente en que fue </w:t>
      </w:r>
      <w:r w:rsidR="0046316F" w:rsidRPr="00265A3F">
        <w:rPr>
          <w:rFonts w:ascii="Verdana" w:hAnsi="Verdana"/>
          <w:i/>
          <w:iCs/>
          <w:sz w:val="22"/>
          <w:szCs w:val="22"/>
        </w:rPr>
        <w:t>proferido</w:t>
      </w:r>
      <w:r w:rsidR="0046316F" w:rsidRPr="00265A3F">
        <w:rPr>
          <w:rFonts w:ascii="Verdana" w:hAnsi="Verdana"/>
          <w:b/>
          <w:bCs/>
          <w:sz w:val="22"/>
          <w:szCs w:val="22"/>
          <w:vertAlign w:val="superscript"/>
        </w:rPr>
        <w:t xml:space="preserve"> (</w:t>
      </w:r>
      <w:r w:rsidRPr="00265A3F">
        <w:rPr>
          <w:rFonts w:ascii="Verdana" w:hAnsi="Verdana"/>
          <w:b/>
          <w:bCs/>
          <w:sz w:val="22"/>
          <w:szCs w:val="22"/>
          <w:vertAlign w:val="superscript"/>
        </w:rPr>
        <w:t>3)</w:t>
      </w:r>
      <w:r w:rsidRPr="00265A3F">
        <w:rPr>
          <w:rFonts w:ascii="Verdana" w:hAnsi="Verdana"/>
          <w:i/>
          <w:iCs/>
          <w:sz w:val="22"/>
          <w:szCs w:val="22"/>
        </w:rPr>
        <w:t>.</w:t>
      </w:r>
    </w:p>
    <w:p w14:paraId="6F335E0D" w14:textId="027C3824" w:rsidR="00265A3F" w:rsidRPr="00265A3F" w:rsidRDefault="00265A3F" w:rsidP="00265A3F">
      <w:pPr>
        <w:jc w:val="both"/>
        <w:rPr>
          <w:rFonts w:ascii="Verdana" w:hAnsi="Verdana"/>
          <w:sz w:val="22"/>
          <w:szCs w:val="22"/>
        </w:rPr>
      </w:pPr>
      <w:r w:rsidRPr="00265A3F">
        <w:rPr>
          <w:rFonts w:ascii="Verdana" w:hAnsi="Verdana"/>
          <w:sz w:val="22"/>
          <w:szCs w:val="22"/>
        </w:rPr>
        <w:t>Al estudiar la constitucionalidad del referido artículo 64, la Corte Constitucional consideró que dicha norma autoriza al Presidente de la Corporación Judicial para que </w:t>
      </w:r>
      <w:r w:rsidRPr="00265A3F">
        <w:rPr>
          <w:rFonts w:ascii="Verdana" w:hAnsi="Verdana"/>
          <w:b/>
          <w:bCs/>
          <w:i/>
          <w:iCs/>
          <w:sz w:val="22"/>
          <w:szCs w:val="22"/>
          <w:u w:val="single"/>
        </w:rPr>
        <w:t>informe</w:t>
      </w:r>
      <w:r w:rsidRPr="00265A3F">
        <w:rPr>
          <w:rFonts w:ascii="Verdana" w:hAnsi="Verdana"/>
          <w:b/>
          <w:bCs/>
          <w:sz w:val="22"/>
          <w:szCs w:val="22"/>
          <w:u w:val="single"/>
        </w:rPr>
        <w:t> </w:t>
      </w:r>
      <w:r w:rsidRPr="00265A3F">
        <w:rPr>
          <w:rFonts w:ascii="Verdana" w:hAnsi="Verdana"/>
          <w:b/>
          <w:bCs/>
          <w:i/>
          <w:iCs/>
          <w:sz w:val="22"/>
          <w:szCs w:val="22"/>
          <w:u w:val="single"/>
        </w:rPr>
        <w:t>a la opinión pública</w:t>
      </w:r>
      <w:r w:rsidRPr="00265A3F">
        <w:rPr>
          <w:rFonts w:ascii="Verdana" w:hAnsi="Verdana"/>
          <w:i/>
          <w:iCs/>
          <w:sz w:val="22"/>
          <w:szCs w:val="22"/>
        </w:rPr>
        <w:t xml:space="preserve"> sobre una decisión que haya sido adoptada, así el texto definitivo de la Sentencia correspondiente no se encuentre aún </w:t>
      </w:r>
      <w:r w:rsidRPr="00265A3F">
        <w:rPr>
          <w:rFonts w:ascii="Verdana" w:hAnsi="Verdana"/>
          <w:i/>
          <w:iCs/>
          <w:sz w:val="22"/>
          <w:szCs w:val="22"/>
        </w:rPr>
        <w:lastRenderedPageBreak/>
        <w:t>finiquitado, habida cuenta de las modificaciones, adiciones o supresiones que en el curso de los debates se le haya introducido a la ponencia original</w:t>
      </w:r>
      <w:r w:rsidRPr="00265A3F">
        <w:rPr>
          <w:rFonts w:ascii="Verdana" w:hAnsi="Verdana"/>
          <w:b/>
          <w:bCs/>
          <w:sz w:val="22"/>
          <w:szCs w:val="22"/>
          <w:vertAlign w:val="superscript"/>
        </w:rPr>
        <w:t>(4)</w:t>
      </w:r>
      <w:r w:rsidRPr="00265A3F">
        <w:rPr>
          <w:rFonts w:ascii="Verdana" w:hAnsi="Verdana"/>
          <w:i/>
          <w:iCs/>
          <w:sz w:val="22"/>
          <w:szCs w:val="22"/>
        </w:rPr>
        <w:t> (subraya y negrilla fuera de texto).</w:t>
      </w:r>
    </w:p>
    <w:p w14:paraId="20AC14E2" w14:textId="6C6812EA" w:rsidR="00265A3F" w:rsidRPr="00265A3F" w:rsidRDefault="00265A3F" w:rsidP="00265A3F">
      <w:pPr>
        <w:jc w:val="both"/>
        <w:rPr>
          <w:rFonts w:ascii="Verdana" w:hAnsi="Verdana"/>
          <w:sz w:val="22"/>
          <w:szCs w:val="22"/>
        </w:rPr>
      </w:pPr>
      <w:r w:rsidRPr="00265A3F">
        <w:rPr>
          <w:rFonts w:ascii="Verdana" w:hAnsi="Verdana"/>
          <w:sz w:val="22"/>
          <w:szCs w:val="22"/>
        </w:rPr>
        <w:t>En el mismo sentido, la misma Alta Corte expresa que los comunicados de prensa tienen un </w:t>
      </w:r>
      <w:r w:rsidRPr="00265A3F">
        <w:rPr>
          <w:rFonts w:ascii="Verdana" w:hAnsi="Verdana"/>
          <w:i/>
          <w:iCs/>
          <w:sz w:val="22"/>
          <w:szCs w:val="22"/>
        </w:rPr>
        <w:t xml:space="preserve">carácter </w:t>
      </w:r>
      <w:r w:rsidR="0046316F" w:rsidRPr="00265A3F">
        <w:rPr>
          <w:rFonts w:ascii="Verdana" w:hAnsi="Verdana"/>
          <w:i/>
          <w:iCs/>
          <w:sz w:val="22"/>
          <w:szCs w:val="22"/>
        </w:rPr>
        <w:t>informativo</w:t>
      </w:r>
      <w:r w:rsidR="0046316F" w:rsidRPr="00265A3F">
        <w:rPr>
          <w:rFonts w:ascii="Verdana" w:hAnsi="Verdana"/>
          <w:b/>
          <w:bCs/>
          <w:sz w:val="22"/>
          <w:szCs w:val="22"/>
          <w:vertAlign w:val="superscript"/>
        </w:rPr>
        <w:t xml:space="preserve"> (</w:t>
      </w:r>
      <w:r w:rsidRPr="00265A3F">
        <w:rPr>
          <w:rFonts w:ascii="Verdana" w:hAnsi="Verdana"/>
          <w:b/>
          <w:bCs/>
          <w:sz w:val="22"/>
          <w:szCs w:val="22"/>
          <w:vertAlign w:val="superscript"/>
        </w:rPr>
        <w:t>5)</w:t>
      </w:r>
      <w:r w:rsidRPr="00265A3F">
        <w:rPr>
          <w:rFonts w:ascii="Verdana" w:hAnsi="Verdana"/>
          <w:sz w:val="22"/>
          <w:szCs w:val="22"/>
        </w:rPr>
        <w:t> define la naturaleza y limita los efectos de y su fin es ser </w:t>
      </w:r>
      <w:r w:rsidRPr="00265A3F">
        <w:rPr>
          <w:rFonts w:ascii="Verdana" w:hAnsi="Verdana"/>
          <w:i/>
          <w:iCs/>
          <w:sz w:val="22"/>
          <w:szCs w:val="22"/>
        </w:rPr>
        <w:t xml:space="preserve">un medio expedito para dar a conocer a los ciudadanos las sentencias que profiere la Corte, pero no reemplazan la decisión </w:t>
      </w:r>
      <w:r w:rsidR="0046316F" w:rsidRPr="00265A3F">
        <w:rPr>
          <w:rFonts w:ascii="Verdana" w:hAnsi="Verdana"/>
          <w:i/>
          <w:iCs/>
          <w:sz w:val="22"/>
          <w:szCs w:val="22"/>
        </w:rPr>
        <w:t>mism</w:t>
      </w:r>
      <w:r w:rsidR="0046316F" w:rsidRPr="00265A3F">
        <w:rPr>
          <w:rFonts w:ascii="Verdana" w:hAnsi="Verdana"/>
          <w:sz w:val="22"/>
          <w:szCs w:val="22"/>
        </w:rPr>
        <w:t>a</w:t>
      </w:r>
      <w:r w:rsidR="0046316F" w:rsidRPr="00265A3F">
        <w:rPr>
          <w:rFonts w:ascii="Verdana" w:hAnsi="Verdana"/>
          <w:b/>
          <w:bCs/>
          <w:sz w:val="22"/>
          <w:szCs w:val="22"/>
          <w:vertAlign w:val="superscript"/>
        </w:rPr>
        <w:t xml:space="preserve"> (</w:t>
      </w:r>
      <w:r w:rsidRPr="00265A3F">
        <w:rPr>
          <w:rFonts w:ascii="Verdana" w:hAnsi="Verdana"/>
          <w:b/>
          <w:bCs/>
          <w:sz w:val="22"/>
          <w:szCs w:val="22"/>
          <w:vertAlign w:val="superscript"/>
        </w:rPr>
        <w:t>6)</w:t>
      </w:r>
      <w:r w:rsidRPr="00265A3F">
        <w:rPr>
          <w:rFonts w:ascii="Verdana" w:hAnsi="Verdana"/>
          <w:i/>
          <w:iCs/>
          <w:sz w:val="22"/>
          <w:szCs w:val="22"/>
        </w:rPr>
        <w:t>.</w:t>
      </w:r>
    </w:p>
    <w:p w14:paraId="04A9D4D5" w14:textId="523BE0CA" w:rsidR="00265A3F" w:rsidRPr="00265A3F" w:rsidRDefault="00265A3F" w:rsidP="00265A3F">
      <w:pPr>
        <w:jc w:val="both"/>
        <w:rPr>
          <w:rFonts w:ascii="Verdana" w:hAnsi="Verdana"/>
          <w:sz w:val="22"/>
          <w:szCs w:val="22"/>
        </w:rPr>
      </w:pPr>
      <w:r w:rsidRPr="00265A3F">
        <w:rPr>
          <w:rFonts w:ascii="Verdana" w:hAnsi="Verdana"/>
          <w:sz w:val="22"/>
          <w:szCs w:val="22"/>
        </w:rPr>
        <w:t xml:space="preserve">Las sentencias de la Corte Constitucional deben cumplir con requisitos establecidos en la Ley y en su Reglamento, tales como ser suscrita por los magistrados que participan es su deliberación y </w:t>
      </w:r>
      <w:r w:rsidR="0046316F" w:rsidRPr="00265A3F">
        <w:rPr>
          <w:rFonts w:ascii="Verdana" w:hAnsi="Verdana"/>
          <w:sz w:val="22"/>
          <w:szCs w:val="22"/>
        </w:rPr>
        <w:t>expedición</w:t>
      </w:r>
      <w:r w:rsidR="0046316F" w:rsidRPr="00265A3F">
        <w:rPr>
          <w:rFonts w:ascii="Verdana" w:hAnsi="Verdana"/>
          <w:b/>
          <w:bCs/>
          <w:sz w:val="22"/>
          <w:szCs w:val="22"/>
          <w:vertAlign w:val="superscript"/>
        </w:rPr>
        <w:t xml:space="preserve"> (</w:t>
      </w:r>
      <w:r w:rsidRPr="00265A3F">
        <w:rPr>
          <w:rFonts w:ascii="Verdana" w:hAnsi="Verdana"/>
          <w:b/>
          <w:bCs/>
          <w:sz w:val="22"/>
          <w:szCs w:val="22"/>
          <w:vertAlign w:val="superscript"/>
        </w:rPr>
        <w:t>7)</w:t>
      </w:r>
      <w:r w:rsidRPr="00265A3F">
        <w:rPr>
          <w:rFonts w:ascii="Verdana" w:hAnsi="Verdana"/>
          <w:sz w:val="22"/>
          <w:szCs w:val="22"/>
        </w:rPr>
        <w:t xml:space="preserve">, así como </w:t>
      </w:r>
      <w:r w:rsidR="0046316F" w:rsidRPr="00265A3F">
        <w:rPr>
          <w:rFonts w:ascii="Verdana" w:hAnsi="Verdana"/>
          <w:sz w:val="22"/>
          <w:szCs w:val="22"/>
        </w:rPr>
        <w:t>notificada</w:t>
      </w:r>
      <w:r w:rsidR="0046316F" w:rsidRPr="00265A3F">
        <w:rPr>
          <w:rFonts w:ascii="Verdana" w:hAnsi="Verdana"/>
          <w:b/>
          <w:bCs/>
          <w:sz w:val="22"/>
          <w:szCs w:val="22"/>
          <w:vertAlign w:val="superscript"/>
        </w:rPr>
        <w:t xml:space="preserve"> (</w:t>
      </w:r>
      <w:r w:rsidRPr="00265A3F">
        <w:rPr>
          <w:rFonts w:ascii="Verdana" w:hAnsi="Verdana"/>
          <w:b/>
          <w:bCs/>
          <w:sz w:val="22"/>
          <w:szCs w:val="22"/>
          <w:vertAlign w:val="superscript"/>
        </w:rPr>
        <w:t>8)</w:t>
      </w:r>
      <w:r w:rsidRPr="00265A3F">
        <w:rPr>
          <w:rFonts w:ascii="Verdana" w:hAnsi="Verdana"/>
          <w:sz w:val="22"/>
          <w:szCs w:val="22"/>
        </w:rPr>
        <w:t xml:space="preserve"> y </w:t>
      </w:r>
      <w:r w:rsidR="0046316F" w:rsidRPr="00265A3F">
        <w:rPr>
          <w:rFonts w:ascii="Verdana" w:hAnsi="Verdana"/>
          <w:sz w:val="22"/>
          <w:szCs w:val="22"/>
        </w:rPr>
        <w:t>publicada</w:t>
      </w:r>
      <w:r w:rsidR="0046316F" w:rsidRPr="00265A3F">
        <w:rPr>
          <w:rFonts w:ascii="Verdana" w:hAnsi="Verdana"/>
          <w:b/>
          <w:bCs/>
          <w:sz w:val="22"/>
          <w:szCs w:val="22"/>
          <w:vertAlign w:val="superscript"/>
        </w:rPr>
        <w:t xml:space="preserve"> (</w:t>
      </w:r>
      <w:r w:rsidRPr="00265A3F">
        <w:rPr>
          <w:rFonts w:ascii="Verdana" w:hAnsi="Verdana"/>
          <w:b/>
          <w:bCs/>
          <w:sz w:val="22"/>
          <w:szCs w:val="22"/>
          <w:vertAlign w:val="superscript"/>
        </w:rPr>
        <w:t>9)</w:t>
      </w:r>
      <w:r w:rsidRPr="00265A3F">
        <w:rPr>
          <w:rFonts w:ascii="Verdana" w:hAnsi="Verdana"/>
          <w:sz w:val="22"/>
          <w:szCs w:val="22"/>
        </w:rPr>
        <w:t xml:space="preserve">. Además, en garantía de los derechos al debido </w:t>
      </w:r>
      <w:r w:rsidR="0046316F" w:rsidRPr="00265A3F">
        <w:rPr>
          <w:rFonts w:ascii="Verdana" w:hAnsi="Verdana"/>
          <w:sz w:val="22"/>
          <w:szCs w:val="22"/>
        </w:rPr>
        <w:t>proceso</w:t>
      </w:r>
      <w:r w:rsidR="0046316F" w:rsidRPr="00265A3F">
        <w:rPr>
          <w:rFonts w:ascii="Verdana" w:hAnsi="Verdana"/>
          <w:b/>
          <w:bCs/>
          <w:sz w:val="22"/>
          <w:szCs w:val="22"/>
          <w:vertAlign w:val="superscript"/>
        </w:rPr>
        <w:t xml:space="preserve"> (</w:t>
      </w:r>
      <w:r w:rsidRPr="00265A3F">
        <w:rPr>
          <w:rFonts w:ascii="Verdana" w:hAnsi="Verdana"/>
          <w:b/>
          <w:bCs/>
          <w:sz w:val="22"/>
          <w:szCs w:val="22"/>
          <w:vertAlign w:val="superscript"/>
        </w:rPr>
        <w:t>10)</w:t>
      </w:r>
      <w:r w:rsidRPr="00265A3F">
        <w:rPr>
          <w:rFonts w:ascii="Verdana" w:hAnsi="Verdana"/>
          <w:sz w:val="22"/>
          <w:szCs w:val="22"/>
        </w:rPr>
        <w:t xml:space="preserve"> y la tutela judicial </w:t>
      </w:r>
      <w:r w:rsidR="0046316F" w:rsidRPr="00265A3F">
        <w:rPr>
          <w:rFonts w:ascii="Verdana" w:hAnsi="Verdana"/>
          <w:sz w:val="22"/>
          <w:szCs w:val="22"/>
        </w:rPr>
        <w:t>efectiva</w:t>
      </w:r>
      <w:r w:rsidR="0046316F" w:rsidRPr="00265A3F">
        <w:rPr>
          <w:rFonts w:ascii="Verdana" w:hAnsi="Verdana"/>
          <w:b/>
          <w:bCs/>
          <w:sz w:val="22"/>
          <w:szCs w:val="22"/>
          <w:vertAlign w:val="superscript"/>
        </w:rPr>
        <w:t xml:space="preserve"> (</w:t>
      </w:r>
      <w:r w:rsidRPr="00265A3F">
        <w:rPr>
          <w:rFonts w:ascii="Verdana" w:hAnsi="Verdana"/>
          <w:b/>
          <w:bCs/>
          <w:sz w:val="22"/>
          <w:szCs w:val="22"/>
          <w:vertAlign w:val="superscript"/>
        </w:rPr>
        <w:t>11)</w:t>
      </w:r>
      <w:r w:rsidRPr="00265A3F">
        <w:rPr>
          <w:rFonts w:ascii="Verdana" w:hAnsi="Verdana"/>
          <w:sz w:val="22"/>
          <w:szCs w:val="22"/>
        </w:rPr>
        <w:t xml:space="preserve">, las providencias judiciales deben documentar de manera completa y precisa la </w:t>
      </w:r>
      <w:r w:rsidR="0046316F" w:rsidRPr="00265A3F">
        <w:rPr>
          <w:rFonts w:ascii="Verdana" w:hAnsi="Verdana"/>
          <w:sz w:val="22"/>
          <w:szCs w:val="22"/>
        </w:rPr>
        <w:t>motivación</w:t>
      </w:r>
      <w:r w:rsidR="0046316F" w:rsidRPr="00265A3F">
        <w:rPr>
          <w:rFonts w:ascii="Verdana" w:hAnsi="Verdana"/>
          <w:b/>
          <w:bCs/>
          <w:sz w:val="22"/>
          <w:szCs w:val="22"/>
          <w:vertAlign w:val="superscript"/>
        </w:rPr>
        <w:t xml:space="preserve"> (</w:t>
      </w:r>
      <w:r w:rsidRPr="00265A3F">
        <w:rPr>
          <w:rFonts w:ascii="Verdana" w:hAnsi="Verdana"/>
          <w:b/>
          <w:bCs/>
          <w:sz w:val="22"/>
          <w:szCs w:val="22"/>
          <w:vertAlign w:val="superscript"/>
        </w:rPr>
        <w:t>12)</w:t>
      </w:r>
      <w:r w:rsidRPr="00265A3F">
        <w:rPr>
          <w:rFonts w:ascii="Verdana" w:hAnsi="Verdana"/>
          <w:sz w:val="22"/>
          <w:szCs w:val="22"/>
        </w:rPr>
        <w:t> en la que se funda la decisión proferida en la sentencia.</w:t>
      </w:r>
    </w:p>
    <w:p w14:paraId="0256A1BC" w14:textId="77777777" w:rsidR="00265A3F" w:rsidRPr="00265A3F" w:rsidRDefault="00265A3F" w:rsidP="00265A3F">
      <w:pPr>
        <w:jc w:val="both"/>
        <w:rPr>
          <w:rFonts w:ascii="Verdana" w:hAnsi="Verdana"/>
          <w:sz w:val="22"/>
          <w:szCs w:val="22"/>
        </w:rPr>
      </w:pPr>
      <w:r w:rsidRPr="00265A3F">
        <w:rPr>
          <w:rFonts w:ascii="Verdana" w:hAnsi="Verdana"/>
          <w:sz w:val="22"/>
          <w:szCs w:val="22"/>
        </w:rPr>
        <w:t>Toda vez que los comunicados de prensa no responden a las características propias de las providencias judiciales no es posible equiparar sus efectos, los cuales se limitan a un propósito eminentemente informativo que no presenta fuerza vinculante de ninguna índole.</w:t>
      </w:r>
    </w:p>
    <w:p w14:paraId="50875F2B" w14:textId="77777777" w:rsidR="00265A3F" w:rsidRPr="00265A3F" w:rsidRDefault="00265A3F" w:rsidP="00265A3F">
      <w:pPr>
        <w:jc w:val="both"/>
        <w:rPr>
          <w:rFonts w:ascii="Verdana" w:hAnsi="Verdana"/>
          <w:sz w:val="22"/>
          <w:szCs w:val="22"/>
        </w:rPr>
      </w:pPr>
      <w:r w:rsidRPr="00265A3F">
        <w:rPr>
          <w:rFonts w:ascii="Verdana" w:hAnsi="Verdana"/>
          <w:b/>
          <w:bCs/>
          <w:sz w:val="22"/>
          <w:szCs w:val="22"/>
        </w:rPr>
        <w:t>III. CONCLUSIÓN Y RESPUESTA A SU CONSULTA</w:t>
      </w:r>
    </w:p>
    <w:p w14:paraId="745AE576" w14:textId="23660FDD" w:rsidR="00265A3F" w:rsidRPr="00265A3F" w:rsidRDefault="00265A3F" w:rsidP="00265A3F">
      <w:pPr>
        <w:jc w:val="both"/>
        <w:rPr>
          <w:rFonts w:ascii="Verdana" w:hAnsi="Verdana"/>
          <w:sz w:val="22"/>
          <w:szCs w:val="22"/>
        </w:rPr>
      </w:pPr>
      <w:r w:rsidRPr="00265A3F">
        <w:rPr>
          <w:rFonts w:ascii="Verdana" w:hAnsi="Verdana"/>
          <w:sz w:val="22"/>
          <w:szCs w:val="22"/>
        </w:rPr>
        <w:t>En virtud de lo expuesto y que al momento de consolidación del presente documento la información que conoce la opinión pública sobre el fallo de constitucionalidad de la Ley 1918 de 2018 se limita a lo consignado en el Boletín No 143 publicado por la Corte Constitucional</w:t>
      </w:r>
      <w:r w:rsidRPr="00265A3F">
        <w:rPr>
          <w:rFonts w:ascii="Verdana" w:hAnsi="Verdana"/>
          <w:b/>
          <w:bCs/>
          <w:sz w:val="22"/>
          <w:szCs w:val="22"/>
          <w:vertAlign w:val="superscript"/>
        </w:rPr>
        <w:t>(13)</w:t>
      </w:r>
      <w:r w:rsidRPr="00265A3F">
        <w:rPr>
          <w:rFonts w:ascii="Verdana" w:hAnsi="Verdana"/>
          <w:sz w:val="22"/>
          <w:szCs w:val="22"/>
        </w:rPr>
        <w:t>, así como a que el Instituto Colombiano de Bienestar Familiar no ha sido de notificado de la correspondiente decisión, ni se ha publicado la Sentencia de Constitucionalidad; se debe continuar ejerciendo las funciones y facultades contempladas en dicha norma, entre ellas, continuar efectuando las consultas del registro de inhabilidades del talento humano propuesto por las entidades en el marco del procedimiento de otorgamiento de licencias de funcionamiento, hasta cuando se conozca la providencia que establece lo contrario.</w:t>
      </w:r>
    </w:p>
    <w:p w14:paraId="5E21E5D6" w14:textId="77777777" w:rsidR="00265A3F" w:rsidRPr="00265A3F" w:rsidRDefault="00265A3F" w:rsidP="00265A3F">
      <w:pPr>
        <w:jc w:val="both"/>
        <w:rPr>
          <w:rFonts w:ascii="Verdana" w:hAnsi="Verdana"/>
          <w:sz w:val="22"/>
          <w:szCs w:val="22"/>
        </w:rPr>
      </w:pPr>
      <w:r w:rsidRPr="00265A3F">
        <w:rPr>
          <w:rFonts w:ascii="Verdana" w:hAnsi="Verdana"/>
          <w:sz w:val="22"/>
          <w:szCs w:val="22"/>
        </w:rPr>
        <w:t>Cordialmente,</w:t>
      </w:r>
    </w:p>
    <w:p w14:paraId="557B3A40" w14:textId="77777777" w:rsidR="00265A3F" w:rsidRPr="00265A3F" w:rsidRDefault="00265A3F" w:rsidP="00F42910">
      <w:pPr>
        <w:jc w:val="center"/>
        <w:rPr>
          <w:rFonts w:ascii="Verdana" w:hAnsi="Verdana"/>
          <w:sz w:val="22"/>
          <w:szCs w:val="22"/>
        </w:rPr>
      </w:pPr>
      <w:r w:rsidRPr="00265A3F">
        <w:rPr>
          <w:rFonts w:ascii="Verdana" w:hAnsi="Verdana"/>
          <w:b/>
          <w:bCs/>
          <w:sz w:val="22"/>
          <w:szCs w:val="22"/>
        </w:rPr>
        <w:t>ÉDGAR LEONARDO BOJACÁ CASTRO</w:t>
      </w:r>
    </w:p>
    <w:p w14:paraId="73769E96" w14:textId="77777777" w:rsidR="00265A3F" w:rsidRPr="00265A3F" w:rsidRDefault="00265A3F" w:rsidP="00F42910">
      <w:pPr>
        <w:jc w:val="center"/>
        <w:rPr>
          <w:rFonts w:ascii="Verdana" w:hAnsi="Verdana"/>
          <w:sz w:val="22"/>
          <w:szCs w:val="22"/>
        </w:rPr>
      </w:pPr>
      <w:r w:rsidRPr="00265A3F">
        <w:rPr>
          <w:rFonts w:ascii="Verdana" w:hAnsi="Verdana"/>
          <w:sz w:val="22"/>
          <w:szCs w:val="22"/>
        </w:rPr>
        <w:t>Jefe de la Oficina Asesora Jurídica</w:t>
      </w:r>
    </w:p>
    <w:p w14:paraId="74C70D95" w14:textId="77777777" w:rsidR="00F42910" w:rsidRDefault="00F42910" w:rsidP="00265A3F">
      <w:pPr>
        <w:jc w:val="both"/>
        <w:rPr>
          <w:rFonts w:ascii="Verdana" w:hAnsi="Verdana"/>
          <w:b/>
          <w:bCs/>
          <w:sz w:val="22"/>
          <w:szCs w:val="22"/>
        </w:rPr>
      </w:pPr>
    </w:p>
    <w:p w14:paraId="28AECB91" w14:textId="357C29EF" w:rsidR="00265A3F" w:rsidRPr="00265A3F" w:rsidRDefault="007B6F94" w:rsidP="00265A3F">
      <w:pPr>
        <w:jc w:val="both"/>
        <w:rPr>
          <w:rFonts w:ascii="Verdana" w:hAnsi="Verdana"/>
          <w:sz w:val="22"/>
          <w:szCs w:val="22"/>
        </w:rPr>
      </w:pPr>
      <w:r>
        <w:rPr>
          <w:rFonts w:ascii="Verdana" w:hAnsi="Verdana"/>
          <w:b/>
          <w:bCs/>
          <w:sz w:val="22"/>
          <w:szCs w:val="22"/>
        </w:rPr>
        <w:t xml:space="preserve">Notas </w:t>
      </w:r>
      <w:proofErr w:type="spellStart"/>
      <w:r>
        <w:rPr>
          <w:rFonts w:ascii="Verdana" w:hAnsi="Verdana"/>
          <w:b/>
          <w:bCs/>
          <w:sz w:val="22"/>
          <w:szCs w:val="22"/>
        </w:rPr>
        <w:t>pié</w:t>
      </w:r>
      <w:proofErr w:type="spellEnd"/>
      <w:r>
        <w:rPr>
          <w:rFonts w:ascii="Verdana" w:hAnsi="Verdana"/>
          <w:b/>
          <w:bCs/>
          <w:sz w:val="22"/>
          <w:szCs w:val="22"/>
        </w:rPr>
        <w:t xml:space="preserve"> de página:</w:t>
      </w:r>
    </w:p>
    <w:p w14:paraId="54C442E1" w14:textId="5E7404C5" w:rsidR="00265A3F" w:rsidRPr="007B6F94" w:rsidRDefault="00265A3F" w:rsidP="00265A3F">
      <w:pPr>
        <w:pStyle w:val="Prrafodelista"/>
        <w:numPr>
          <w:ilvl w:val="0"/>
          <w:numId w:val="2"/>
        </w:numPr>
        <w:jc w:val="both"/>
        <w:rPr>
          <w:rFonts w:ascii="Verdana" w:hAnsi="Verdana"/>
          <w:sz w:val="22"/>
          <w:szCs w:val="22"/>
        </w:rPr>
      </w:pPr>
      <w:r w:rsidRPr="007B6F94">
        <w:rPr>
          <w:rFonts w:ascii="Verdana" w:hAnsi="Verdana"/>
          <w:sz w:val="22"/>
          <w:szCs w:val="22"/>
        </w:rPr>
        <w:t>ARTÍCULO 64. COMUNICACIÓN Y DIVULGACIÓN</w:t>
      </w:r>
    </w:p>
    <w:p w14:paraId="08469D57" w14:textId="77777777" w:rsidR="00265A3F" w:rsidRPr="007B6F94" w:rsidRDefault="00265A3F" w:rsidP="00265A3F">
      <w:pPr>
        <w:pStyle w:val="Prrafodelista"/>
        <w:jc w:val="both"/>
        <w:rPr>
          <w:rFonts w:ascii="Verdana" w:hAnsi="Verdana"/>
          <w:sz w:val="22"/>
          <w:szCs w:val="22"/>
        </w:rPr>
      </w:pPr>
      <w:r w:rsidRPr="007B6F94">
        <w:rPr>
          <w:rFonts w:ascii="Verdana" w:hAnsi="Verdana"/>
          <w:sz w:val="22"/>
          <w:szCs w:val="22"/>
        </w:rPr>
        <w:lastRenderedPageBreak/>
        <w:t>(…)</w:t>
      </w:r>
    </w:p>
    <w:p w14:paraId="180EBFCA" w14:textId="77777777" w:rsidR="00265A3F" w:rsidRPr="007B6F94" w:rsidRDefault="00265A3F" w:rsidP="00265A3F">
      <w:pPr>
        <w:pStyle w:val="Prrafodelista"/>
        <w:jc w:val="both"/>
        <w:rPr>
          <w:rFonts w:ascii="Verdana" w:hAnsi="Verdana"/>
          <w:sz w:val="22"/>
          <w:szCs w:val="22"/>
        </w:rPr>
      </w:pPr>
      <w:r w:rsidRPr="007B6F94">
        <w:rPr>
          <w:rFonts w:ascii="Verdana" w:hAnsi="Verdana"/>
          <w:sz w:val="22"/>
          <w:szCs w:val="22"/>
        </w:rPr>
        <w:t>Por razones de pedagogía jurídica, los funcionarios de la rama judicial podrán informar sobre el contenido y alcance de las decisiones judiciales. Tratándose de corporaciones judiciales, las decisiones serán divulgadas por conducto de sus presidentes. (…).</w:t>
      </w:r>
    </w:p>
    <w:p w14:paraId="08E0702B" w14:textId="53AD7D55" w:rsidR="00265A3F" w:rsidRPr="007B6F94" w:rsidRDefault="00265A3F" w:rsidP="00265A3F">
      <w:pPr>
        <w:pStyle w:val="Prrafodelista"/>
        <w:numPr>
          <w:ilvl w:val="0"/>
          <w:numId w:val="2"/>
        </w:numPr>
        <w:jc w:val="both"/>
        <w:rPr>
          <w:rFonts w:ascii="Verdana" w:hAnsi="Verdana"/>
          <w:sz w:val="22"/>
          <w:szCs w:val="22"/>
        </w:rPr>
      </w:pPr>
      <w:r w:rsidRPr="007B6F94">
        <w:rPr>
          <w:rFonts w:ascii="Verdana" w:hAnsi="Verdana"/>
          <w:sz w:val="22"/>
          <w:szCs w:val="22"/>
        </w:rPr>
        <w:t>Corte Constitucional, Acuerdo 02 de 2015 Por medio del cual se unifica y actualiza el Reglamento de la Corte</w:t>
      </w:r>
    </w:p>
    <w:p w14:paraId="253BD58C" w14:textId="77777777" w:rsidR="00265A3F" w:rsidRPr="007B6F94" w:rsidRDefault="00265A3F" w:rsidP="00265A3F">
      <w:pPr>
        <w:pStyle w:val="Prrafodelista"/>
        <w:jc w:val="both"/>
        <w:rPr>
          <w:rFonts w:ascii="Verdana" w:hAnsi="Verdana"/>
          <w:sz w:val="22"/>
          <w:szCs w:val="22"/>
        </w:rPr>
      </w:pPr>
      <w:r w:rsidRPr="007B6F94">
        <w:rPr>
          <w:rFonts w:ascii="Verdana" w:hAnsi="Verdana"/>
          <w:sz w:val="22"/>
          <w:szCs w:val="22"/>
        </w:rPr>
        <w:t>Constitucional. Artículo 9, literal c.</w:t>
      </w:r>
    </w:p>
    <w:p w14:paraId="037C30FB" w14:textId="3BFCD0E2" w:rsidR="00265A3F" w:rsidRPr="007B6F94" w:rsidRDefault="00265A3F" w:rsidP="00265A3F">
      <w:pPr>
        <w:pStyle w:val="Prrafodelista"/>
        <w:jc w:val="both"/>
        <w:rPr>
          <w:rFonts w:ascii="Verdana" w:hAnsi="Verdana"/>
          <w:sz w:val="22"/>
          <w:szCs w:val="22"/>
        </w:rPr>
      </w:pPr>
      <w:r w:rsidRPr="007B6F94">
        <w:rPr>
          <w:rFonts w:ascii="Verdana" w:hAnsi="Verdana"/>
          <w:sz w:val="22"/>
          <w:szCs w:val="22"/>
        </w:rPr>
        <w:t>Ibidem, Artículo 36.</w:t>
      </w:r>
    </w:p>
    <w:p w14:paraId="4E6FCDD9" w14:textId="174B283D" w:rsidR="00265A3F" w:rsidRPr="007B6F94" w:rsidRDefault="00265A3F" w:rsidP="00265A3F">
      <w:pPr>
        <w:pStyle w:val="Prrafodelista"/>
        <w:numPr>
          <w:ilvl w:val="0"/>
          <w:numId w:val="2"/>
        </w:numPr>
        <w:jc w:val="both"/>
        <w:rPr>
          <w:rFonts w:ascii="Verdana" w:hAnsi="Verdana"/>
          <w:sz w:val="22"/>
          <w:szCs w:val="22"/>
          <w:lang w:val="pt-PT"/>
        </w:rPr>
      </w:pPr>
      <w:r w:rsidRPr="007B6F94">
        <w:rPr>
          <w:rFonts w:ascii="Verdana" w:hAnsi="Verdana"/>
          <w:sz w:val="22"/>
          <w:szCs w:val="22"/>
          <w:lang w:val="pt-PT"/>
        </w:rPr>
        <w:t>Corte Constitucional, Sentencia C-037 de 1996. M. P. Vladimiro Naranjo Mesa.</w:t>
      </w:r>
    </w:p>
    <w:p w14:paraId="3238CE4E" w14:textId="447C2CE8" w:rsidR="00265A3F" w:rsidRPr="007B6F94" w:rsidRDefault="00265A3F" w:rsidP="00265A3F">
      <w:pPr>
        <w:pStyle w:val="Prrafodelista"/>
        <w:numPr>
          <w:ilvl w:val="0"/>
          <w:numId w:val="2"/>
        </w:numPr>
        <w:jc w:val="both"/>
        <w:rPr>
          <w:rFonts w:ascii="Verdana" w:hAnsi="Verdana"/>
          <w:sz w:val="22"/>
          <w:szCs w:val="22"/>
          <w:lang w:val="pt-PT"/>
        </w:rPr>
      </w:pPr>
      <w:r w:rsidRPr="007B6F94">
        <w:rPr>
          <w:rFonts w:ascii="Verdana" w:hAnsi="Verdana"/>
          <w:sz w:val="22"/>
          <w:szCs w:val="22"/>
          <w:lang w:val="pt-PT"/>
        </w:rPr>
        <w:t>Corte Constitucional, Auto 283 de 2009. M.P. Gabriel Eduardo Mendoza Martelo.</w:t>
      </w:r>
    </w:p>
    <w:p w14:paraId="484F6352" w14:textId="058E82E2" w:rsidR="00265A3F" w:rsidRPr="007B6F94" w:rsidRDefault="00265A3F" w:rsidP="00265A3F">
      <w:pPr>
        <w:pStyle w:val="Prrafodelista"/>
        <w:numPr>
          <w:ilvl w:val="0"/>
          <w:numId w:val="2"/>
        </w:numPr>
        <w:jc w:val="both"/>
        <w:rPr>
          <w:rFonts w:ascii="Verdana" w:hAnsi="Verdana"/>
          <w:sz w:val="22"/>
          <w:szCs w:val="22"/>
        </w:rPr>
      </w:pPr>
      <w:r w:rsidRPr="007B6F94">
        <w:rPr>
          <w:rFonts w:ascii="Verdana" w:hAnsi="Verdana"/>
          <w:sz w:val="22"/>
          <w:szCs w:val="22"/>
          <w:lang w:val="pt-PT"/>
        </w:rPr>
        <w:t xml:space="preserve">Corte Constitucional, Auto No. 12 de 2007. </w:t>
      </w:r>
      <w:r w:rsidRPr="007B6F94">
        <w:rPr>
          <w:rFonts w:ascii="Verdana" w:hAnsi="Verdana"/>
          <w:sz w:val="22"/>
          <w:szCs w:val="22"/>
        </w:rPr>
        <w:t>M. P. Clara Inés Vargas Hernández.</w:t>
      </w:r>
    </w:p>
    <w:p w14:paraId="7048A89C" w14:textId="13C62440" w:rsidR="00265A3F" w:rsidRPr="007B6F94" w:rsidRDefault="00265A3F" w:rsidP="0046316F">
      <w:pPr>
        <w:pStyle w:val="Prrafodelista"/>
        <w:numPr>
          <w:ilvl w:val="0"/>
          <w:numId w:val="2"/>
        </w:numPr>
        <w:jc w:val="both"/>
        <w:rPr>
          <w:rFonts w:ascii="Verdana" w:hAnsi="Verdana"/>
          <w:sz w:val="22"/>
          <w:szCs w:val="22"/>
        </w:rPr>
      </w:pPr>
      <w:r w:rsidRPr="007B6F94">
        <w:rPr>
          <w:rFonts w:ascii="Verdana" w:hAnsi="Verdana"/>
          <w:sz w:val="22"/>
          <w:szCs w:val="22"/>
        </w:rPr>
        <w:t>Corte Constitucional, Acuerdo 02 de 2015 Por medio del cual se unifica y actualiza el Reglamento de la Corte</w:t>
      </w:r>
      <w:r w:rsidR="0046316F" w:rsidRPr="007B6F94">
        <w:rPr>
          <w:rFonts w:ascii="Verdana" w:hAnsi="Verdana"/>
          <w:sz w:val="22"/>
          <w:szCs w:val="22"/>
        </w:rPr>
        <w:t xml:space="preserve"> </w:t>
      </w:r>
      <w:r w:rsidRPr="007B6F94">
        <w:rPr>
          <w:rFonts w:ascii="Verdana" w:hAnsi="Verdana"/>
          <w:sz w:val="22"/>
          <w:szCs w:val="22"/>
        </w:rPr>
        <w:t>Constitucional. Artículo 36.</w:t>
      </w:r>
    </w:p>
    <w:p w14:paraId="2E796CFF" w14:textId="03717BE3" w:rsidR="00265A3F" w:rsidRPr="007B6F94" w:rsidRDefault="00265A3F" w:rsidP="00265A3F">
      <w:pPr>
        <w:pStyle w:val="Prrafodelista"/>
        <w:numPr>
          <w:ilvl w:val="0"/>
          <w:numId w:val="2"/>
        </w:numPr>
        <w:jc w:val="both"/>
        <w:rPr>
          <w:rFonts w:ascii="Verdana" w:hAnsi="Verdana"/>
          <w:sz w:val="22"/>
          <w:szCs w:val="22"/>
        </w:rPr>
      </w:pPr>
      <w:r w:rsidRPr="007B6F94">
        <w:rPr>
          <w:rFonts w:ascii="Verdana" w:hAnsi="Verdana"/>
          <w:sz w:val="22"/>
          <w:szCs w:val="22"/>
        </w:rPr>
        <w:t>Decreto 2061 de 1991, artículo 16.</w:t>
      </w:r>
    </w:p>
    <w:p w14:paraId="03574416" w14:textId="291A890C" w:rsidR="00265A3F" w:rsidRPr="007B6F94" w:rsidRDefault="00265A3F" w:rsidP="00265A3F">
      <w:pPr>
        <w:pStyle w:val="Prrafodelista"/>
        <w:numPr>
          <w:ilvl w:val="0"/>
          <w:numId w:val="2"/>
        </w:numPr>
        <w:jc w:val="both"/>
        <w:rPr>
          <w:rFonts w:ascii="Verdana" w:hAnsi="Verdana"/>
          <w:sz w:val="22"/>
          <w:szCs w:val="22"/>
        </w:rPr>
      </w:pPr>
      <w:r w:rsidRPr="007B6F94">
        <w:rPr>
          <w:rFonts w:ascii="Verdana" w:hAnsi="Verdana"/>
          <w:sz w:val="22"/>
          <w:szCs w:val="22"/>
        </w:rPr>
        <w:t>Ley 270 de 1996, artículo 47.</w:t>
      </w:r>
    </w:p>
    <w:p w14:paraId="45DBC47A" w14:textId="570184ED" w:rsidR="00265A3F" w:rsidRPr="007B6F94" w:rsidRDefault="00265A3F" w:rsidP="00265A3F">
      <w:pPr>
        <w:pStyle w:val="Prrafodelista"/>
        <w:numPr>
          <w:ilvl w:val="0"/>
          <w:numId w:val="2"/>
        </w:numPr>
        <w:jc w:val="both"/>
        <w:rPr>
          <w:rFonts w:ascii="Verdana" w:hAnsi="Verdana"/>
          <w:sz w:val="22"/>
          <w:szCs w:val="22"/>
        </w:rPr>
      </w:pPr>
      <w:r w:rsidRPr="007B6F94">
        <w:rPr>
          <w:rFonts w:ascii="Verdana" w:hAnsi="Verdana"/>
          <w:sz w:val="22"/>
          <w:szCs w:val="22"/>
        </w:rPr>
        <w:t>Constitución Política de Colombia, artículo 29.</w:t>
      </w:r>
    </w:p>
    <w:p w14:paraId="1B0D56E9" w14:textId="4D652A9E" w:rsidR="00265A3F" w:rsidRPr="007B6F94" w:rsidRDefault="00265A3F" w:rsidP="00265A3F">
      <w:pPr>
        <w:pStyle w:val="Prrafodelista"/>
        <w:numPr>
          <w:ilvl w:val="0"/>
          <w:numId w:val="2"/>
        </w:numPr>
        <w:jc w:val="both"/>
        <w:rPr>
          <w:rFonts w:ascii="Verdana" w:hAnsi="Verdana"/>
          <w:sz w:val="22"/>
          <w:szCs w:val="22"/>
        </w:rPr>
      </w:pPr>
      <w:r w:rsidRPr="007B6F94">
        <w:rPr>
          <w:rFonts w:ascii="Verdana" w:hAnsi="Verdana"/>
          <w:sz w:val="22"/>
          <w:szCs w:val="22"/>
        </w:rPr>
        <w:t>Constitución Política de Colombia, artículo 228.</w:t>
      </w:r>
    </w:p>
    <w:p w14:paraId="69CBF345" w14:textId="51FDA770" w:rsidR="00265A3F" w:rsidRPr="007B6F94" w:rsidRDefault="00265A3F" w:rsidP="00265A3F">
      <w:pPr>
        <w:pStyle w:val="Prrafodelista"/>
        <w:numPr>
          <w:ilvl w:val="0"/>
          <w:numId w:val="2"/>
        </w:numPr>
        <w:jc w:val="both"/>
        <w:rPr>
          <w:rFonts w:ascii="Verdana" w:hAnsi="Verdana"/>
          <w:sz w:val="22"/>
          <w:szCs w:val="22"/>
        </w:rPr>
      </w:pPr>
      <w:r w:rsidRPr="007B6F94">
        <w:rPr>
          <w:rFonts w:ascii="Verdana" w:hAnsi="Verdana"/>
          <w:sz w:val="22"/>
          <w:szCs w:val="22"/>
        </w:rPr>
        <w:t>Corte Constitucional, Sentencia T-589 de 2010. MP. María Victoria Calle Correa.</w:t>
      </w:r>
    </w:p>
    <w:p w14:paraId="50409AF9" w14:textId="4CD4F710" w:rsidR="00265A3F" w:rsidRPr="007B6F94" w:rsidRDefault="00265A3F" w:rsidP="00265A3F">
      <w:pPr>
        <w:pStyle w:val="Prrafodelista"/>
        <w:numPr>
          <w:ilvl w:val="0"/>
          <w:numId w:val="2"/>
        </w:numPr>
        <w:jc w:val="both"/>
        <w:rPr>
          <w:rFonts w:ascii="Verdana" w:hAnsi="Verdana"/>
          <w:sz w:val="22"/>
          <w:szCs w:val="22"/>
        </w:rPr>
      </w:pPr>
      <w:r w:rsidRPr="007B6F94">
        <w:rPr>
          <w:rFonts w:ascii="Verdana" w:hAnsi="Verdana"/>
          <w:sz w:val="22"/>
          <w:szCs w:val="22"/>
        </w:rPr>
        <w:t>https://www.corteconstitucional.gov.co/noticia.php?Corte-condiciona-las-inhabilidades-para-condenados-por-delitos-sexuales-contra-menores-de-edad:-8985</w:t>
      </w:r>
    </w:p>
    <w:p w14:paraId="4ADC04B8" w14:textId="77777777" w:rsidR="00A724C4" w:rsidRPr="007B6F94" w:rsidRDefault="00A724C4" w:rsidP="00265A3F">
      <w:pPr>
        <w:jc w:val="both"/>
        <w:rPr>
          <w:rFonts w:ascii="Verdana" w:hAnsi="Verdana"/>
          <w:sz w:val="22"/>
          <w:szCs w:val="22"/>
        </w:rPr>
      </w:pPr>
    </w:p>
    <w:sectPr w:rsidR="00A724C4" w:rsidRPr="007B6F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222A0"/>
    <w:multiLevelType w:val="hybridMultilevel"/>
    <w:tmpl w:val="FAA2C6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A2505E7"/>
    <w:multiLevelType w:val="hybridMultilevel"/>
    <w:tmpl w:val="B54460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74644815">
    <w:abstractNumId w:val="0"/>
  </w:num>
  <w:num w:numId="2" w16cid:durableId="1365252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4B"/>
    <w:rsid w:val="00000474"/>
    <w:rsid w:val="000547B0"/>
    <w:rsid w:val="00164B96"/>
    <w:rsid w:val="002028D4"/>
    <w:rsid w:val="00243CB4"/>
    <w:rsid w:val="00265A3F"/>
    <w:rsid w:val="003E13BC"/>
    <w:rsid w:val="0046316F"/>
    <w:rsid w:val="007B6F94"/>
    <w:rsid w:val="009731FF"/>
    <w:rsid w:val="00A724C4"/>
    <w:rsid w:val="00AD2C4B"/>
    <w:rsid w:val="00F42910"/>
    <w:rsid w:val="00F43EC2"/>
    <w:rsid w:val="00F806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B58A"/>
  <w15:chartTrackingRefBased/>
  <w15:docId w15:val="{B6384861-1157-42AB-941B-DF653456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2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D2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D2C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D2C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D2C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D2C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2C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2C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2C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2C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D2C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D2C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D2C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2C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2C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2C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2C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2C4B"/>
    <w:rPr>
      <w:rFonts w:eastAsiaTheme="majorEastAsia" w:cstheme="majorBidi"/>
      <w:color w:val="272727" w:themeColor="text1" w:themeTint="D8"/>
    </w:rPr>
  </w:style>
  <w:style w:type="paragraph" w:styleId="Ttulo">
    <w:name w:val="Title"/>
    <w:basedOn w:val="Normal"/>
    <w:next w:val="Normal"/>
    <w:link w:val="TtuloCar"/>
    <w:uiPriority w:val="10"/>
    <w:qFormat/>
    <w:rsid w:val="00AD2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2C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2C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2C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2C4B"/>
    <w:pPr>
      <w:spacing w:before="160"/>
      <w:jc w:val="center"/>
    </w:pPr>
    <w:rPr>
      <w:i/>
      <w:iCs/>
      <w:color w:val="404040" w:themeColor="text1" w:themeTint="BF"/>
    </w:rPr>
  </w:style>
  <w:style w:type="character" w:customStyle="1" w:styleId="CitaCar">
    <w:name w:val="Cita Car"/>
    <w:basedOn w:val="Fuentedeprrafopredeter"/>
    <w:link w:val="Cita"/>
    <w:uiPriority w:val="29"/>
    <w:rsid w:val="00AD2C4B"/>
    <w:rPr>
      <w:i/>
      <w:iCs/>
      <w:color w:val="404040" w:themeColor="text1" w:themeTint="BF"/>
    </w:rPr>
  </w:style>
  <w:style w:type="paragraph" w:styleId="Prrafodelista">
    <w:name w:val="List Paragraph"/>
    <w:basedOn w:val="Normal"/>
    <w:uiPriority w:val="34"/>
    <w:qFormat/>
    <w:rsid w:val="00AD2C4B"/>
    <w:pPr>
      <w:ind w:left="720"/>
      <w:contextualSpacing/>
    </w:pPr>
  </w:style>
  <w:style w:type="character" w:styleId="nfasisintenso">
    <w:name w:val="Intense Emphasis"/>
    <w:basedOn w:val="Fuentedeprrafopredeter"/>
    <w:uiPriority w:val="21"/>
    <w:qFormat/>
    <w:rsid w:val="00AD2C4B"/>
    <w:rPr>
      <w:i/>
      <w:iCs/>
      <w:color w:val="0F4761" w:themeColor="accent1" w:themeShade="BF"/>
    </w:rPr>
  </w:style>
  <w:style w:type="paragraph" w:styleId="Citadestacada">
    <w:name w:val="Intense Quote"/>
    <w:basedOn w:val="Normal"/>
    <w:next w:val="Normal"/>
    <w:link w:val="CitadestacadaCar"/>
    <w:uiPriority w:val="30"/>
    <w:qFormat/>
    <w:rsid w:val="00AD2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D2C4B"/>
    <w:rPr>
      <w:i/>
      <w:iCs/>
      <w:color w:val="0F4761" w:themeColor="accent1" w:themeShade="BF"/>
    </w:rPr>
  </w:style>
  <w:style w:type="character" w:styleId="Referenciaintensa">
    <w:name w:val="Intense Reference"/>
    <w:basedOn w:val="Fuentedeprrafopredeter"/>
    <w:uiPriority w:val="32"/>
    <w:qFormat/>
    <w:rsid w:val="00AD2C4B"/>
    <w:rPr>
      <w:b/>
      <w:bCs/>
      <w:smallCaps/>
      <w:color w:val="0F4761" w:themeColor="accent1" w:themeShade="BF"/>
      <w:spacing w:val="5"/>
    </w:rPr>
  </w:style>
  <w:style w:type="character" w:styleId="Hipervnculo">
    <w:name w:val="Hyperlink"/>
    <w:basedOn w:val="Fuentedeprrafopredeter"/>
    <w:uiPriority w:val="99"/>
    <w:unhideWhenUsed/>
    <w:rsid w:val="00265A3F"/>
    <w:rPr>
      <w:color w:val="467886" w:themeColor="hyperlink"/>
      <w:u w:val="single"/>
    </w:rPr>
  </w:style>
  <w:style w:type="character" w:styleId="Mencinsinresolver">
    <w:name w:val="Unresolved Mention"/>
    <w:basedOn w:val="Fuentedeprrafopredeter"/>
    <w:uiPriority w:val="99"/>
    <w:semiHidden/>
    <w:unhideWhenUsed/>
    <w:rsid w:val="00265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A1023-2EB0-4D50-A5DE-643556937920}"/>
</file>

<file path=customXml/itemProps2.xml><?xml version="1.0" encoding="utf-8"?>
<ds:datastoreItem xmlns:ds="http://schemas.openxmlformats.org/officeDocument/2006/customXml" ds:itemID="{B9B70AA2-E66F-4B95-9AF7-E9AC03D540CF}"/>
</file>

<file path=customXml/itemProps3.xml><?xml version="1.0" encoding="utf-8"?>
<ds:datastoreItem xmlns:ds="http://schemas.openxmlformats.org/officeDocument/2006/customXml" ds:itemID="{BDCFBF75-5361-4E8C-8871-B45045ACD7B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846</Words>
  <Characters>4653</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10</cp:revision>
  <dcterms:created xsi:type="dcterms:W3CDTF">2026-04-20T15:44:00Z</dcterms:created>
  <dcterms:modified xsi:type="dcterms:W3CDTF">2026-05-04T16:51:00Z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