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E0FF" w14:textId="50B75EB8" w:rsidR="005B79B1" w:rsidRPr="005B79B1" w:rsidRDefault="005B79B1" w:rsidP="005B79B1">
      <w:pPr>
        <w:jc w:val="center"/>
        <w:rPr>
          <w:rFonts w:ascii="Verdana" w:hAnsi="Verdana"/>
          <w:b/>
          <w:bCs/>
        </w:rPr>
      </w:pPr>
      <w:r w:rsidRPr="005B79B1">
        <w:rPr>
          <w:rFonts w:ascii="Verdana" w:hAnsi="Verdana"/>
          <w:b/>
          <w:bCs/>
        </w:rPr>
        <w:t>CONCEPTO 31 DE 2018</w:t>
      </w:r>
    </w:p>
    <w:p w14:paraId="6109E27F" w14:textId="1765945B" w:rsidR="005B79B1" w:rsidRPr="005B79B1" w:rsidRDefault="005B79B1" w:rsidP="005B79B1">
      <w:pPr>
        <w:jc w:val="center"/>
        <w:rPr>
          <w:rFonts w:ascii="Verdana" w:hAnsi="Verdana"/>
        </w:rPr>
      </w:pPr>
      <w:r w:rsidRPr="005B79B1">
        <w:rPr>
          <w:rFonts w:ascii="Verdana" w:hAnsi="Verdana"/>
        </w:rPr>
        <w:t>(8 de mayo)</w:t>
      </w:r>
    </w:p>
    <w:p w14:paraId="4884C1D8" w14:textId="2EF92B52" w:rsidR="000B4793" w:rsidRDefault="005B79B1" w:rsidP="005B79B1">
      <w:pPr>
        <w:jc w:val="center"/>
        <w:rPr>
          <w:rFonts w:ascii="Verdana" w:hAnsi="Verdana"/>
          <w:b/>
          <w:bCs/>
        </w:rPr>
      </w:pPr>
      <w:r w:rsidRPr="005B79B1">
        <w:rPr>
          <w:rFonts w:ascii="Verdana" w:hAnsi="Verdana"/>
          <w:b/>
          <w:bCs/>
        </w:rPr>
        <w:t>INSTITUTO COLOMBIANO DE BIENESTAR FAMILIAR</w:t>
      </w:r>
    </w:p>
    <w:p w14:paraId="4FAB3D9A" w14:textId="50253838" w:rsidR="005B79B1" w:rsidRPr="005B79B1" w:rsidRDefault="005B79B1" w:rsidP="005B79B1">
      <w:pPr>
        <w:jc w:val="both"/>
        <w:rPr>
          <w:rFonts w:ascii="Verdana" w:hAnsi="Verdana"/>
        </w:rPr>
      </w:pPr>
      <w:r w:rsidRPr="005B79B1">
        <w:rPr>
          <w:rFonts w:ascii="Verdana" w:hAnsi="Verdana"/>
          <w:b/>
          <w:bCs/>
        </w:rPr>
        <w:t>ASUNTO:</w:t>
      </w:r>
      <w:r w:rsidRPr="005B79B1">
        <w:rPr>
          <w:rFonts w:ascii="Verdana" w:hAnsi="Verdana"/>
        </w:rPr>
        <w:t xml:space="preserve"> Su consulta con radicado SIM No 1761150808 de fecha 23/04/2018</w:t>
      </w:r>
    </w:p>
    <w:p w14:paraId="4A54BE02" w14:textId="3EEAA16C" w:rsidR="005B79B1" w:rsidRPr="005B79B1" w:rsidRDefault="005B79B1" w:rsidP="005B79B1">
      <w:pPr>
        <w:jc w:val="both"/>
        <w:rPr>
          <w:rFonts w:ascii="Verdana" w:hAnsi="Verdana"/>
        </w:rPr>
      </w:pPr>
      <w:r w:rsidRPr="005B79B1">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121FFF8E" w14:textId="4A3F8759" w:rsidR="005B79B1" w:rsidRPr="005B79B1" w:rsidRDefault="005B79B1" w:rsidP="005B79B1">
      <w:pPr>
        <w:jc w:val="both"/>
        <w:rPr>
          <w:rFonts w:ascii="Verdana" w:hAnsi="Verdana"/>
          <w:b/>
          <w:bCs/>
        </w:rPr>
      </w:pPr>
      <w:r w:rsidRPr="005B79B1">
        <w:rPr>
          <w:rFonts w:ascii="Verdana" w:hAnsi="Verdana"/>
          <w:b/>
          <w:bCs/>
        </w:rPr>
        <w:t>1. PROBLEMA JURÍDICO</w:t>
      </w:r>
    </w:p>
    <w:p w14:paraId="20F9B039" w14:textId="02383661" w:rsidR="005B79B1" w:rsidRPr="005B79B1" w:rsidRDefault="005B79B1" w:rsidP="005B79B1">
      <w:pPr>
        <w:jc w:val="both"/>
        <w:rPr>
          <w:rFonts w:ascii="Verdana" w:hAnsi="Verdana"/>
        </w:rPr>
      </w:pPr>
      <w:r w:rsidRPr="005B79B1">
        <w:rPr>
          <w:rFonts w:ascii="Verdana" w:hAnsi="Verdana"/>
        </w:rPr>
        <w:t>¿Cómo está regulada la atención a los derechos de petición instaurados por menores de edad?</w:t>
      </w:r>
    </w:p>
    <w:p w14:paraId="263978E2" w14:textId="418AE0EF" w:rsidR="005B79B1" w:rsidRPr="005B79B1" w:rsidRDefault="005B79B1" w:rsidP="005B79B1">
      <w:pPr>
        <w:jc w:val="both"/>
        <w:rPr>
          <w:rFonts w:ascii="Verdana" w:hAnsi="Verdana"/>
          <w:b/>
          <w:bCs/>
        </w:rPr>
      </w:pPr>
      <w:r w:rsidRPr="005B79B1">
        <w:rPr>
          <w:rFonts w:ascii="Verdana" w:hAnsi="Verdana"/>
          <w:b/>
          <w:bCs/>
        </w:rPr>
        <w:t>2. ANÁLISIS DEL PROBLEMA JURÍDICO</w:t>
      </w:r>
    </w:p>
    <w:p w14:paraId="60308312" w14:textId="07E4056D" w:rsidR="005B79B1" w:rsidRPr="005B79B1" w:rsidRDefault="005B79B1" w:rsidP="005B79B1">
      <w:pPr>
        <w:jc w:val="both"/>
        <w:rPr>
          <w:rFonts w:ascii="Verdana" w:hAnsi="Verdana"/>
        </w:rPr>
      </w:pPr>
      <w:r w:rsidRPr="005B79B1">
        <w:rPr>
          <w:rFonts w:ascii="Verdana" w:hAnsi="Verdana"/>
        </w:rPr>
        <w:t>Metodológicamente estudiaremos 2.1. El interés superior de los niños, niñas y adolescentes; 2.2 El derecho de petición ejercido por menores de edad</w:t>
      </w:r>
    </w:p>
    <w:p w14:paraId="53E97FCE" w14:textId="06C7F24E" w:rsidR="005B79B1" w:rsidRPr="005B79B1" w:rsidRDefault="005B79B1" w:rsidP="005B79B1">
      <w:pPr>
        <w:jc w:val="both"/>
        <w:rPr>
          <w:rFonts w:ascii="Verdana" w:hAnsi="Verdana"/>
        </w:rPr>
      </w:pPr>
      <w:r w:rsidRPr="005B79B1">
        <w:rPr>
          <w:rFonts w:ascii="Verdana" w:hAnsi="Verdana"/>
        </w:rPr>
        <w:t>2.1 El interés Superior de los Niños, Niñas y Adolescente</w:t>
      </w:r>
    </w:p>
    <w:p w14:paraId="7D2590E1" w14:textId="3FA74F29" w:rsidR="005B79B1" w:rsidRPr="005B79B1" w:rsidRDefault="005B79B1" w:rsidP="005B79B1">
      <w:pPr>
        <w:jc w:val="both"/>
        <w:rPr>
          <w:rFonts w:ascii="Verdana" w:hAnsi="Verdana"/>
        </w:rPr>
      </w:pPr>
      <w:r w:rsidRPr="005B79B1">
        <w:rPr>
          <w:rFonts w:ascii="Verdana" w:hAnsi="Verdana"/>
        </w:rPr>
        <w:t>La Convención sobre los Derechos del Niño en el numeral primero del artículo tercero establece que “(...) todas las medidas concernientes a los niños que tomen fas instituciones públicas o privadas de bienestar social, los tribunales, las autoridades administrativas o los órganos legislativos, una consideración primordial a que se atenderá será el interés superior del niño" (subrayado fuera de texto).</w:t>
      </w:r>
    </w:p>
    <w:p w14:paraId="56DF88C8" w14:textId="1094B3E9" w:rsidR="005B79B1" w:rsidRPr="005B79B1" w:rsidRDefault="005B79B1" w:rsidP="005B79B1">
      <w:pPr>
        <w:jc w:val="both"/>
        <w:rPr>
          <w:rFonts w:ascii="Verdana" w:hAnsi="Verdana"/>
        </w:rPr>
      </w:pPr>
      <w:r w:rsidRPr="005B79B1">
        <w:rPr>
          <w:rFonts w:ascii="Verdana" w:hAnsi="Verdana"/>
        </w:rPr>
        <w:t>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0AEBFE7E" w14:textId="33C6A738" w:rsidR="005B79B1" w:rsidRPr="005B79B1" w:rsidRDefault="005B79B1" w:rsidP="005B79B1">
      <w:pPr>
        <w:jc w:val="both"/>
        <w:rPr>
          <w:rFonts w:ascii="Verdana" w:hAnsi="Verdana"/>
        </w:rPr>
      </w:pPr>
      <w:r w:rsidRPr="005B79B1">
        <w:rPr>
          <w:rFonts w:ascii="Verdana" w:hAnsi="Verdana"/>
        </w:rPr>
        <w:t>Por su parte, en el artículo 8 del Código de la Infancia y la Adolescencia[1]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750DDCF6" w14:textId="6709E44F" w:rsidR="005B79B1" w:rsidRPr="005B79B1" w:rsidRDefault="005B79B1" w:rsidP="005B79B1">
      <w:pPr>
        <w:jc w:val="both"/>
        <w:rPr>
          <w:rFonts w:ascii="Verdana" w:hAnsi="Verdana"/>
        </w:rPr>
      </w:pPr>
      <w:r w:rsidRPr="005B79B1">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superior.[2]</w:t>
      </w:r>
    </w:p>
    <w:p w14:paraId="2B614C18" w14:textId="0188AA28" w:rsidR="005B79B1" w:rsidRPr="005B79B1" w:rsidRDefault="005B79B1" w:rsidP="005B79B1">
      <w:pPr>
        <w:jc w:val="both"/>
        <w:rPr>
          <w:rFonts w:ascii="Verdana" w:hAnsi="Verdana"/>
        </w:rPr>
      </w:pPr>
      <w:r w:rsidRPr="005B79B1">
        <w:rPr>
          <w:rFonts w:ascii="Verdana" w:hAnsi="Verdana"/>
        </w:rPr>
        <w:t xml:space="preserve">En efecto, la Corte ha afirmado que "el interés superior del menor no constituye un ente abstracto, desprovisto de vínculos con la realidad concreta, sobre el cual </w:t>
      </w:r>
      <w:r w:rsidRPr="005B79B1">
        <w:rPr>
          <w:rFonts w:ascii="Verdana" w:hAnsi="Verdana"/>
        </w:rPr>
        <w:lastRenderedPageBreak/>
        <w:t>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personal”.[3]</w:t>
      </w:r>
    </w:p>
    <w:p w14:paraId="4EB0FE4C" w14:textId="77777777" w:rsidR="005B79B1" w:rsidRPr="005B79B1" w:rsidRDefault="005B79B1" w:rsidP="005B79B1">
      <w:pPr>
        <w:jc w:val="both"/>
        <w:rPr>
          <w:rFonts w:ascii="Verdana" w:hAnsi="Verdana"/>
        </w:rPr>
      </w:pPr>
      <w:r w:rsidRPr="005B79B1">
        <w:rPr>
          <w:rFonts w:ascii="Verdana" w:hAnsi="Verdana"/>
        </w:rPr>
        <w:t>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menor".[4]</w:t>
      </w:r>
    </w:p>
    <w:p w14:paraId="1B2F4065" w14:textId="72F472E1" w:rsidR="005B79B1" w:rsidRPr="005B79B1" w:rsidRDefault="005B79B1" w:rsidP="005B79B1">
      <w:pPr>
        <w:jc w:val="both"/>
        <w:rPr>
          <w:rFonts w:ascii="Verdana" w:hAnsi="Verdana"/>
        </w:rPr>
      </w:pPr>
      <w:r w:rsidRPr="005B79B1">
        <w:rPr>
          <w:rFonts w:ascii="Verdana" w:hAnsi="Verdana"/>
        </w:rPr>
        <w:t>2.2. El derecho de petición ejercido por menores de edad</w:t>
      </w:r>
    </w:p>
    <w:p w14:paraId="137ABCB2" w14:textId="26E82457" w:rsidR="005B79B1" w:rsidRPr="005B79B1" w:rsidRDefault="005B79B1" w:rsidP="005B79B1">
      <w:pPr>
        <w:jc w:val="both"/>
        <w:rPr>
          <w:rFonts w:ascii="Verdana" w:hAnsi="Verdana"/>
        </w:rPr>
      </w:pPr>
      <w:r w:rsidRPr="005B79B1">
        <w:rPr>
          <w:rFonts w:ascii="Verdana" w:hAnsi="Verdana"/>
        </w:rPr>
        <w:t>El derecho de petición se encuentra consagrado en el artículo 23 de la Carta Política, en el que se dispone que,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14:paraId="66A5C2C4" w14:textId="77777777" w:rsidR="005B79B1" w:rsidRPr="005B79B1" w:rsidRDefault="005B79B1" w:rsidP="005B79B1">
      <w:pPr>
        <w:jc w:val="both"/>
        <w:rPr>
          <w:rFonts w:ascii="Verdana" w:hAnsi="Verdana"/>
        </w:rPr>
      </w:pPr>
      <w:r w:rsidRPr="005B79B1">
        <w:rPr>
          <w:rFonts w:ascii="Verdana" w:hAnsi="Verdana"/>
        </w:rPr>
        <w:t>Igualmente, el tema ha sido desarrollado por la Ley 1437 de 2001, Código de Procedimiento Administrativo y de lo Contencioso Administrativo, así como por la Ley 1755 de 2015; por su parte, la jurisprudencia se ha ocupado ampliamente del tema y es así como en sentencia Sentencia &lt;sic&gt; T-332/15 al reiterar la jurisprudencia sobre el tema, la Corte Constitucional señaló:</w:t>
      </w:r>
    </w:p>
    <w:p w14:paraId="002DCBB3" w14:textId="77777777" w:rsidR="005B79B1" w:rsidRPr="005B79B1" w:rsidRDefault="005B79B1" w:rsidP="005B79B1">
      <w:pPr>
        <w:jc w:val="both"/>
        <w:rPr>
          <w:rFonts w:ascii="Verdana" w:hAnsi="Verdana"/>
        </w:rPr>
      </w:pPr>
    </w:p>
    <w:p w14:paraId="3B98558A" w14:textId="32C6F3B3" w:rsidR="005B79B1" w:rsidRPr="005B79B1" w:rsidRDefault="005B79B1" w:rsidP="005B79B1">
      <w:pPr>
        <w:jc w:val="both"/>
        <w:rPr>
          <w:rFonts w:ascii="Verdana" w:hAnsi="Verdana"/>
        </w:rPr>
      </w:pPr>
      <w:r w:rsidRPr="005B79B1">
        <w:rPr>
          <w:rFonts w:ascii="Verdana" w:hAnsi="Verdana"/>
        </w:rPr>
        <w:t xml:space="preserve">“La Corte Constitucional se ha referido en distintas oportunidades a la importancia de esta garantía fundamental, cuya efectividad, según se ha reconocido, “resulta indispensable para el logro de los fines esenciales del Estado, particularmente el servicio de la comunidad, la promoción de la prosperidad general, la garantía de los principios, derechos y deberes consagrados en la Constitución y la participación de todos en las decisiones que </w:t>
      </w:r>
      <w:r w:rsidRPr="005B79B1">
        <w:rPr>
          <w:rFonts w:ascii="Verdana" w:hAnsi="Verdana"/>
        </w:rPr>
        <w:lastRenderedPageBreak/>
        <w:t>los afectan, así como para asegurar que las autoridades cumplan las funciones para las cuales han sido instituidas (artículo 2o. Constitución Política)".</w:t>
      </w:r>
    </w:p>
    <w:p w14:paraId="1E699740" w14:textId="157FE88E" w:rsidR="005B79B1" w:rsidRPr="005B79B1" w:rsidRDefault="005B79B1" w:rsidP="005B79B1">
      <w:pPr>
        <w:jc w:val="both"/>
        <w:rPr>
          <w:rFonts w:ascii="Verdana" w:hAnsi="Verdana"/>
        </w:rPr>
      </w:pPr>
      <w:r w:rsidRPr="005B79B1">
        <w:rPr>
          <w:rFonts w:ascii="Verdana" w:hAnsi="Verdana"/>
        </w:rPr>
        <w:t>Se trata entonces de un derecho de rango constitucional, a partir del cual los ciudadanos pueden presentar peticiones de interés general o particular, ante autoridades públicas y privadas y frente al que éstas, deben respetar los términos establecidos para emitir sus respuestas de fondo y de acuerdo a lo solicitado.</w:t>
      </w:r>
    </w:p>
    <w:p w14:paraId="41608E11" w14:textId="670950D9" w:rsidR="005B79B1" w:rsidRPr="005B79B1" w:rsidRDefault="005B79B1" w:rsidP="005B79B1">
      <w:pPr>
        <w:jc w:val="both"/>
        <w:rPr>
          <w:rFonts w:ascii="Verdana" w:hAnsi="Verdana"/>
        </w:rPr>
      </w:pPr>
      <w:r w:rsidRPr="005B79B1">
        <w:rPr>
          <w:rFonts w:ascii="Verdana" w:hAnsi="Verdana"/>
        </w:rPr>
        <w:t>La finalidad de esta figura puede ser la de solicitar el reconocimiento de un derecho, la intervención de una entidad o funcionario, la resolución de una situación jurídica, la prestación de un servicio, la de solicitar información, examinar y/o requerir copias de documentos, elevar consultas, quejas, denuncias y reclamos o interponer recursos; peticiones que deberán ser presentadas en forma completa, respetuosa y sin necesidad de abogado.</w:t>
      </w:r>
    </w:p>
    <w:p w14:paraId="49C227DD" w14:textId="6B6F76B0" w:rsidR="005B79B1" w:rsidRPr="005B79B1" w:rsidRDefault="005B79B1" w:rsidP="005B79B1">
      <w:pPr>
        <w:jc w:val="both"/>
        <w:rPr>
          <w:rFonts w:ascii="Verdana" w:hAnsi="Verdana"/>
        </w:rPr>
      </w:pPr>
      <w:r w:rsidRPr="005B79B1">
        <w:rPr>
          <w:rFonts w:ascii="Verdana" w:hAnsi="Verdana"/>
        </w:rPr>
        <w:t>Estas peticiones, a partir de las cuales se busca proteger los derechos fundamentales del solicitante, pueden ser presentadas por los ciudadanos en general, incluso por los menores de edad, quienes en desarrollo de este derecho, podrán elevar peticiones de manera directa y sin la representación de un mayor de edad, sólo cuando se trate de requerimientos relacionados con las entidades que se ocupen de su protección o educación.</w:t>
      </w:r>
    </w:p>
    <w:p w14:paraId="289C3F9B" w14:textId="2E292052" w:rsidR="005B79B1" w:rsidRPr="005B79B1" w:rsidRDefault="005B79B1" w:rsidP="005B79B1">
      <w:pPr>
        <w:jc w:val="both"/>
        <w:rPr>
          <w:rFonts w:ascii="Verdana" w:hAnsi="Verdana"/>
        </w:rPr>
      </w:pPr>
      <w:r w:rsidRPr="005B79B1">
        <w:rPr>
          <w:rFonts w:ascii="Verdana" w:hAnsi="Verdana"/>
        </w:rPr>
        <w:t>En el evento en que las peticiones planteadas no sean atendidas en debida forma por las autoridades requeridas, el ciudadano podrá hacer uso del mecanismo de la Tutela para hacer valer su derecho, alegando la violación al derecho fundamental contenido en el artículo 23 de la Constitución Política; eso sin desconocer también las sanciones disciplinarias.</w:t>
      </w:r>
    </w:p>
    <w:p w14:paraId="0F310BAC" w14:textId="7AC9B04B" w:rsidR="005B79B1" w:rsidRPr="005B79B1" w:rsidRDefault="005B79B1" w:rsidP="005B79B1">
      <w:pPr>
        <w:jc w:val="both"/>
        <w:rPr>
          <w:rFonts w:ascii="Verdana" w:hAnsi="Verdana"/>
          <w:b/>
          <w:bCs/>
        </w:rPr>
      </w:pPr>
      <w:r w:rsidRPr="005B79B1">
        <w:rPr>
          <w:rFonts w:ascii="Verdana" w:hAnsi="Verdana"/>
          <w:b/>
          <w:bCs/>
        </w:rPr>
        <w:t>3. CONCLUSIONES</w:t>
      </w:r>
    </w:p>
    <w:p w14:paraId="0571CAAA" w14:textId="267D2A87" w:rsidR="005B79B1" w:rsidRPr="005B79B1" w:rsidRDefault="005B79B1" w:rsidP="005B79B1">
      <w:pPr>
        <w:jc w:val="both"/>
        <w:rPr>
          <w:rFonts w:ascii="Verdana" w:hAnsi="Verdana"/>
        </w:rPr>
      </w:pPr>
      <w:r w:rsidRPr="005B79B1">
        <w:rPr>
          <w:rFonts w:ascii="Verdana" w:hAnsi="Verdana"/>
        </w:rPr>
        <w:t>Primero. En todas las actuaciones en las que se encuentren involucrados niños, niñas y adolescentes, los particulares, así como las autoridades públicas y privadas, deben tomar siempre en consideración en primer lugar, el interés superior que cobija a estos y que se encuentra previsto en el artículo 44 de la Constitución Política y demás normas concordantes.</w:t>
      </w:r>
    </w:p>
    <w:p w14:paraId="211602BB" w14:textId="2AD54B7F" w:rsidR="005B79B1" w:rsidRPr="005B79B1" w:rsidRDefault="005B79B1" w:rsidP="005B79B1">
      <w:pPr>
        <w:jc w:val="both"/>
        <w:rPr>
          <w:rFonts w:ascii="Verdana" w:hAnsi="Verdana"/>
        </w:rPr>
      </w:pPr>
      <w:r w:rsidRPr="005B79B1">
        <w:rPr>
          <w:rFonts w:ascii="Verdana" w:hAnsi="Verdana"/>
        </w:rPr>
        <w:t>Segundo. El derecho de petición, fue consagrado en la Constitución Política como una garantía más para los ciudadanos, en aras de proteger del ejercicio de sus derechos y frente a la cual las autoridades públicas y privadas deberán actuar de acuerdo a los desarrollos legales y jurisprudenciales proferidos sobre el particular.</w:t>
      </w:r>
    </w:p>
    <w:p w14:paraId="3D4A475E" w14:textId="53BE016E" w:rsidR="005B79B1" w:rsidRPr="005B79B1" w:rsidRDefault="005B79B1" w:rsidP="005B79B1">
      <w:pPr>
        <w:jc w:val="both"/>
        <w:rPr>
          <w:rFonts w:ascii="Verdana" w:hAnsi="Verdana"/>
        </w:rPr>
      </w:pPr>
      <w:r w:rsidRPr="005B79B1">
        <w:rPr>
          <w:rFonts w:ascii="Verdana" w:hAnsi="Verdana"/>
        </w:rPr>
        <w:t xml:space="preserve">Tercero. Según lo dispuesto por la Carta Política, los menores de edad como el resto de los Colombianos, podrán hacer uso del derecho de petición, de conformidad con las reglas previstas para ello, por la normas que lo desarrollan, y sólo en los casos en que el mismo se eleve ante las entidades encargadas de </w:t>
      </w:r>
      <w:r w:rsidRPr="005B79B1">
        <w:rPr>
          <w:rFonts w:ascii="Verdana" w:hAnsi="Verdana"/>
        </w:rPr>
        <w:lastRenderedPageBreak/>
        <w:t>su formación y protección, podrán presentar sus peticiones directamente, sin necesidad de abogado ni representante.</w:t>
      </w:r>
    </w:p>
    <w:p w14:paraId="612419BD" w14:textId="3B49BEF0" w:rsidR="005B79B1" w:rsidRPr="005B79B1" w:rsidRDefault="005B79B1" w:rsidP="005B79B1">
      <w:pPr>
        <w:jc w:val="both"/>
        <w:rPr>
          <w:rFonts w:ascii="Verdana" w:hAnsi="Verdana"/>
        </w:rPr>
      </w:pPr>
      <w:r w:rsidRPr="005B79B1">
        <w:rPr>
          <w:rFonts w:ascii="Verdana" w:hAnsi="Verdana"/>
        </w:rPr>
        <w:t>Cuarto. Así las cosas, la atención de los derechos de petición que instauren los niños, niñas y adolescentes, deberán ser atendidos según lo señalado por la Constitución Política, las normas que lo desarrollan y la jurisprudencia proferida sobre el particular, las cuales deberán armonizarse con la aplicación del principio del interés superior de los menores de edad que la misma constitución consagra para su protección.</w:t>
      </w:r>
    </w:p>
    <w:p w14:paraId="28E8177C" w14:textId="172EDF32" w:rsidR="005B79B1" w:rsidRPr="005B79B1" w:rsidRDefault="005B79B1" w:rsidP="005B79B1">
      <w:pPr>
        <w:jc w:val="both"/>
        <w:rPr>
          <w:rFonts w:ascii="Verdana" w:hAnsi="Verdana"/>
        </w:rPr>
      </w:pPr>
      <w:r w:rsidRPr="005B79B1">
        <w:rPr>
          <w:rFonts w:ascii="Verdana" w:hAnsi="Verdana"/>
        </w:rPr>
        <w:t>Por último, es preciso indicar que el presente concepto[5]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BE44C06" w14:textId="7C354B1D" w:rsidR="005B79B1" w:rsidRPr="005B79B1" w:rsidRDefault="005B79B1" w:rsidP="005B79B1">
      <w:pPr>
        <w:jc w:val="both"/>
        <w:rPr>
          <w:rFonts w:ascii="Verdana" w:hAnsi="Verdana"/>
        </w:rPr>
      </w:pPr>
      <w:r w:rsidRPr="005B79B1">
        <w:rPr>
          <w:rFonts w:ascii="Verdana" w:hAnsi="Verdana"/>
        </w:rPr>
        <w:t>Cordialmente,</w:t>
      </w:r>
    </w:p>
    <w:p w14:paraId="3D921863" w14:textId="44F71F60" w:rsidR="005B79B1" w:rsidRPr="005B79B1" w:rsidRDefault="005B79B1" w:rsidP="005B79B1">
      <w:pPr>
        <w:jc w:val="center"/>
        <w:rPr>
          <w:rFonts w:ascii="Verdana" w:hAnsi="Verdana"/>
          <w:b/>
          <w:bCs/>
        </w:rPr>
      </w:pPr>
      <w:r w:rsidRPr="005B79B1">
        <w:rPr>
          <w:rFonts w:ascii="Verdana" w:hAnsi="Verdana"/>
          <w:b/>
          <w:bCs/>
        </w:rPr>
        <w:t>LUZ KARIME FERNANDEZ CASTILLO</w:t>
      </w:r>
    </w:p>
    <w:p w14:paraId="28BE748B" w14:textId="372D292C" w:rsidR="005B79B1" w:rsidRPr="005B79B1" w:rsidRDefault="005B79B1" w:rsidP="005B79B1">
      <w:pPr>
        <w:jc w:val="center"/>
        <w:rPr>
          <w:rFonts w:ascii="Verdana" w:hAnsi="Verdana"/>
        </w:rPr>
      </w:pPr>
      <w:r w:rsidRPr="005B79B1">
        <w:rPr>
          <w:rFonts w:ascii="Verdana" w:hAnsi="Verdana"/>
        </w:rPr>
        <w:t>JEFE OFICINA ASESORA JURÍDICA</w:t>
      </w:r>
    </w:p>
    <w:p w14:paraId="2D89C586" w14:textId="77777777" w:rsidR="005B79B1" w:rsidRPr="005B79B1" w:rsidRDefault="005B79B1" w:rsidP="005B79B1">
      <w:pPr>
        <w:jc w:val="both"/>
        <w:rPr>
          <w:rFonts w:ascii="Verdana" w:hAnsi="Verdana"/>
        </w:rPr>
      </w:pPr>
    </w:p>
    <w:p w14:paraId="4A757518" w14:textId="4F97D733" w:rsidR="005B79B1" w:rsidRPr="005B79B1" w:rsidRDefault="005B79B1" w:rsidP="005B79B1">
      <w:pPr>
        <w:jc w:val="both"/>
        <w:rPr>
          <w:rFonts w:ascii="Verdana" w:hAnsi="Verdana"/>
          <w:b/>
          <w:bCs/>
        </w:rPr>
      </w:pPr>
      <w:r w:rsidRPr="005B79B1">
        <w:rPr>
          <w:rFonts w:ascii="Verdana" w:hAnsi="Verdana"/>
          <w:b/>
          <w:bCs/>
        </w:rPr>
        <w:t>Notas De Pie De Página.</w:t>
      </w:r>
    </w:p>
    <w:p w14:paraId="59C9C4CF" w14:textId="0F27934D" w:rsidR="005B79B1" w:rsidRPr="005B79B1" w:rsidRDefault="005B79B1" w:rsidP="005B79B1">
      <w:pPr>
        <w:jc w:val="both"/>
        <w:rPr>
          <w:rFonts w:ascii="Verdana" w:hAnsi="Verdana"/>
        </w:rPr>
      </w:pPr>
      <w:r w:rsidRPr="005B79B1">
        <w:rPr>
          <w:rFonts w:ascii="Verdana" w:hAnsi="Verdana"/>
        </w:rPr>
        <w:t>1. Ley 1096 del 8 de noviembre de 2006</w:t>
      </w:r>
    </w:p>
    <w:p w14:paraId="3100183C" w14:textId="7C4AA74B" w:rsidR="005B79B1" w:rsidRPr="005B79B1" w:rsidRDefault="005B79B1" w:rsidP="005B79B1">
      <w:pPr>
        <w:jc w:val="both"/>
        <w:rPr>
          <w:rFonts w:ascii="Verdana" w:hAnsi="Verdana"/>
        </w:rPr>
      </w:pPr>
      <w:r w:rsidRPr="005B79B1">
        <w:rPr>
          <w:rFonts w:ascii="Verdana" w:hAnsi="Verdana"/>
        </w:rPr>
        <w:t>2. Corte Constitucional, sentencia T-403-95, expediente T-711-49. M P Eduardo Cifuentes Muñoz.</w:t>
      </w:r>
    </w:p>
    <w:p w14:paraId="1F091D15" w14:textId="5700DC89" w:rsidR="005B79B1" w:rsidRPr="005B79B1" w:rsidRDefault="005B79B1" w:rsidP="005B79B1">
      <w:pPr>
        <w:jc w:val="both"/>
        <w:rPr>
          <w:rFonts w:ascii="Verdana" w:hAnsi="Verdana"/>
        </w:rPr>
      </w:pPr>
      <w:r w:rsidRPr="005B79B1">
        <w:rPr>
          <w:rFonts w:ascii="Verdana" w:hAnsi="Verdana"/>
        </w:rPr>
        <w:t>3. T-503 de 2003 y T-397 de 2004 (MP. Manuel José Cepeda Espinosa). Cita sacada de la sentencia T-502 de 2011, expediente T-2622716, M. P. Jorge Ignacio Pretelt Chaljub.</w:t>
      </w:r>
    </w:p>
    <w:p w14:paraId="0A95BE10" w14:textId="57194A03" w:rsidR="005B79B1" w:rsidRPr="005B79B1" w:rsidRDefault="005B79B1" w:rsidP="005B79B1">
      <w:pPr>
        <w:jc w:val="both"/>
        <w:rPr>
          <w:rFonts w:ascii="Verdana" w:hAnsi="Verdana"/>
        </w:rPr>
      </w:pPr>
      <w:r w:rsidRPr="005B79B1">
        <w:rPr>
          <w:rFonts w:ascii="Verdana" w:hAnsi="Verdana"/>
        </w:rPr>
        <w:t>4. Corte Constitucional, sentencia T-587 de 1997. M. P. Dr. Eduardo Cifuentes Muñoz</w:t>
      </w:r>
    </w:p>
    <w:p w14:paraId="27FFAE79" w14:textId="2DA92A87" w:rsidR="005B79B1" w:rsidRPr="005B79B1" w:rsidRDefault="005B79B1" w:rsidP="005B79B1">
      <w:pPr>
        <w:jc w:val="both"/>
        <w:rPr>
          <w:rFonts w:ascii="Verdana" w:hAnsi="Verdana"/>
        </w:rPr>
      </w:pPr>
      <w:r w:rsidRPr="005B79B1">
        <w:rPr>
          <w:rFonts w:ascii="Verdana" w:hAnsi="Verdana"/>
        </w:rPr>
        <w:t xml:space="preserve">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w:t>
      </w:r>
      <w:r w:rsidRPr="005B79B1">
        <w:rPr>
          <w:rFonts w:ascii="Verdana" w:hAnsi="Verdana"/>
        </w:rPr>
        <w:lastRenderedPageBreak/>
        <w:t>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5B79B1" w:rsidRPr="005B79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B1"/>
    <w:rsid w:val="000B4793"/>
    <w:rsid w:val="004E1E16"/>
    <w:rsid w:val="00595EBE"/>
    <w:rsid w:val="005B79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4D41"/>
  <w15:chartTrackingRefBased/>
  <w15:docId w15:val="{9E4BD5CF-321F-4CFD-A4CA-16346C84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49A09-A63E-4798-A80B-F26FC4158C12}"/>
</file>

<file path=customXml/itemProps2.xml><?xml version="1.0" encoding="utf-8"?>
<ds:datastoreItem xmlns:ds="http://schemas.openxmlformats.org/officeDocument/2006/customXml" ds:itemID="{54408768-8C70-4C24-B147-7216CB2519BB}"/>
</file>

<file path=customXml/itemProps3.xml><?xml version="1.0" encoding="utf-8"?>
<ds:datastoreItem xmlns:ds="http://schemas.openxmlformats.org/officeDocument/2006/customXml" ds:itemID="{0E7ABC06-8F01-4E64-A9D8-4B97105F84D9}"/>
</file>

<file path=docProps/app.xml><?xml version="1.0" encoding="utf-8"?>
<Properties xmlns="http://schemas.openxmlformats.org/officeDocument/2006/extended-properties" xmlns:vt="http://schemas.openxmlformats.org/officeDocument/2006/docPropsVTypes">
  <Template>Normal</Template>
  <TotalTime>3</TotalTime>
  <Pages>1</Pages>
  <Words>1719</Words>
  <Characters>9458</Characters>
  <Application>Microsoft Office Word</Application>
  <DocSecurity>0</DocSecurity>
  <Lines>78</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2026-04-28T15:32:00Z</dcterms:created>
  <dcterms:modified xsi:type="dcterms:W3CDTF">2026-04-28T20:22:00Z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