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0D97" w14:textId="3CEDC63D" w:rsidR="00813EC0" w:rsidRPr="00813EC0" w:rsidRDefault="00813EC0" w:rsidP="00813EC0">
      <w:pPr>
        <w:jc w:val="center"/>
        <w:rPr>
          <w:rFonts w:ascii="Verdana" w:hAnsi="Verdana"/>
          <w:b/>
          <w:bCs/>
        </w:rPr>
      </w:pPr>
      <w:r w:rsidRPr="00813EC0">
        <w:rPr>
          <w:rFonts w:ascii="Verdana" w:hAnsi="Verdana"/>
          <w:b/>
          <w:bCs/>
        </w:rPr>
        <w:t>CONCEPTO 31 DE 2016</w:t>
      </w:r>
    </w:p>
    <w:p w14:paraId="38B1A31C" w14:textId="08DAE017" w:rsidR="00813EC0" w:rsidRPr="00813EC0" w:rsidRDefault="00813EC0" w:rsidP="00813EC0">
      <w:pPr>
        <w:jc w:val="center"/>
        <w:rPr>
          <w:rFonts w:ascii="Verdana" w:hAnsi="Verdana"/>
        </w:rPr>
      </w:pPr>
      <w:r w:rsidRPr="00813EC0">
        <w:rPr>
          <w:rFonts w:ascii="Verdana" w:hAnsi="Verdana"/>
        </w:rPr>
        <w:t>(abril 12)</w:t>
      </w:r>
    </w:p>
    <w:p w14:paraId="00BE4803" w14:textId="4FD3823C" w:rsidR="000B4793" w:rsidRDefault="00813EC0" w:rsidP="00813EC0">
      <w:pPr>
        <w:jc w:val="center"/>
        <w:rPr>
          <w:rFonts w:ascii="Verdana" w:hAnsi="Verdana"/>
          <w:b/>
          <w:bCs/>
        </w:rPr>
      </w:pPr>
      <w:r w:rsidRPr="00813EC0">
        <w:rPr>
          <w:rFonts w:ascii="Verdana" w:hAnsi="Verdana"/>
          <w:b/>
          <w:bCs/>
        </w:rPr>
        <w:t>INSTITUTO COLOMBIANO DE BIENESTAR FAMILIAR – ICBF</w:t>
      </w:r>
    </w:p>
    <w:p w14:paraId="421BD134" w14:textId="3421C479" w:rsidR="00813EC0" w:rsidRPr="00813EC0" w:rsidRDefault="00813EC0" w:rsidP="00813EC0">
      <w:pPr>
        <w:jc w:val="both"/>
        <w:rPr>
          <w:rFonts w:ascii="Verdana" w:hAnsi="Verdana"/>
        </w:rPr>
      </w:pPr>
      <w:r w:rsidRPr="00813EC0">
        <w:rPr>
          <w:rFonts w:ascii="Verdana" w:hAnsi="Verdana"/>
          <w:b/>
          <w:bCs/>
        </w:rPr>
        <w:t>ASUNTO:</w:t>
      </w:r>
      <w:r>
        <w:rPr>
          <w:rFonts w:ascii="Verdana" w:hAnsi="Verdana"/>
        </w:rPr>
        <w:t xml:space="preserve"> </w:t>
      </w:r>
      <w:r w:rsidRPr="00813EC0">
        <w:rPr>
          <w:rFonts w:ascii="Verdana" w:hAnsi="Verdana"/>
        </w:rPr>
        <w:t>Oficio radicado bajo el No 025436 del 10/03/2016</w:t>
      </w:r>
    </w:p>
    <w:p w14:paraId="61E54773" w14:textId="0E7B1A85" w:rsidR="00813EC0" w:rsidRPr="00813EC0" w:rsidRDefault="00813EC0" w:rsidP="00813EC0">
      <w:pPr>
        <w:jc w:val="both"/>
        <w:rPr>
          <w:rFonts w:ascii="Verdana" w:hAnsi="Verdana"/>
        </w:rPr>
      </w:pPr>
      <w:r w:rsidRPr="00813EC0">
        <w:rPr>
          <w:rFonts w:ascii="Verdana" w:hAnsi="Verdana"/>
        </w:rPr>
        <w:t>Cordial Saludo:</w:t>
      </w:r>
    </w:p>
    <w:p w14:paraId="09A547CC" w14:textId="23B51B83" w:rsidR="00813EC0" w:rsidRPr="00813EC0" w:rsidRDefault="00813EC0" w:rsidP="00813EC0">
      <w:pPr>
        <w:jc w:val="both"/>
        <w:rPr>
          <w:rFonts w:ascii="Verdana" w:hAnsi="Verdana"/>
        </w:rPr>
      </w:pPr>
      <w:r w:rsidRPr="00813EC0">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549732E" w14:textId="75ED3718" w:rsidR="00813EC0" w:rsidRPr="00813EC0" w:rsidRDefault="00813EC0" w:rsidP="00813EC0">
      <w:pPr>
        <w:jc w:val="both"/>
        <w:rPr>
          <w:rFonts w:ascii="Verdana" w:hAnsi="Verdana"/>
          <w:b/>
          <w:bCs/>
        </w:rPr>
      </w:pPr>
      <w:r w:rsidRPr="00813EC0">
        <w:rPr>
          <w:rFonts w:ascii="Verdana" w:hAnsi="Verdana"/>
          <w:b/>
          <w:bCs/>
        </w:rPr>
        <w:t>1. PROBLEMA JURÍDICO</w:t>
      </w:r>
    </w:p>
    <w:p w14:paraId="0374FA84" w14:textId="28679100" w:rsidR="00813EC0" w:rsidRPr="00813EC0" w:rsidRDefault="00813EC0" w:rsidP="00813EC0">
      <w:pPr>
        <w:jc w:val="both"/>
        <w:rPr>
          <w:rFonts w:ascii="Verdana" w:hAnsi="Verdana"/>
        </w:rPr>
      </w:pPr>
      <w:r w:rsidRPr="00813EC0">
        <w:rPr>
          <w:rFonts w:ascii="Verdana" w:hAnsi="Verdana"/>
        </w:rPr>
        <w:t>¿Cuál debe ser la interpretación que se le debe dar al numeral 16 del artículo 21 de la Ley 1564 de 2012? ¿Cuál sería el Juzgado de Familia encargado de conocer los conflictos de competencia del que habla el numeral 16 del art. 21 del Código General del Proceso?</w:t>
      </w:r>
    </w:p>
    <w:p w14:paraId="62795C6A" w14:textId="28327B74" w:rsidR="00813EC0" w:rsidRPr="00813EC0" w:rsidRDefault="00813EC0" w:rsidP="00813EC0">
      <w:pPr>
        <w:jc w:val="both"/>
        <w:rPr>
          <w:rFonts w:ascii="Verdana" w:hAnsi="Verdana"/>
          <w:b/>
          <w:bCs/>
        </w:rPr>
      </w:pPr>
      <w:r w:rsidRPr="00813EC0">
        <w:rPr>
          <w:rFonts w:ascii="Verdana" w:hAnsi="Verdana"/>
          <w:b/>
          <w:bCs/>
        </w:rPr>
        <w:t>2. ANÁLISIS DEL PROBLEMA JURÍDICO</w:t>
      </w:r>
    </w:p>
    <w:p w14:paraId="498A6EC4" w14:textId="33B6CB70" w:rsidR="00813EC0" w:rsidRPr="00813EC0" w:rsidRDefault="00813EC0" w:rsidP="00813EC0">
      <w:pPr>
        <w:jc w:val="both"/>
        <w:rPr>
          <w:rFonts w:ascii="Verdana" w:hAnsi="Verdana"/>
        </w:rPr>
      </w:pPr>
      <w:r w:rsidRPr="00813EC0">
        <w:rPr>
          <w:rFonts w:ascii="Verdana" w:hAnsi="Verdana"/>
        </w:rPr>
        <w:t>Se abordara el tema analizando: 2.1 El Interés superior de los niños, niñas y los adolescentes; 2.2 La competencia de la autoridad administrativa; 2.3. El caso Concreto.</w:t>
      </w:r>
    </w:p>
    <w:p w14:paraId="42F21173" w14:textId="06A7474E" w:rsidR="00813EC0" w:rsidRPr="00813EC0" w:rsidRDefault="00813EC0" w:rsidP="00813EC0">
      <w:pPr>
        <w:jc w:val="both"/>
        <w:rPr>
          <w:rFonts w:ascii="Verdana" w:hAnsi="Verdana"/>
        </w:rPr>
      </w:pPr>
      <w:r w:rsidRPr="00813EC0">
        <w:rPr>
          <w:rFonts w:ascii="Verdana" w:hAnsi="Verdana"/>
        </w:rPr>
        <w:t>2.1. El Interés Superior de los niños, niñas y adolescentes</w:t>
      </w:r>
    </w:p>
    <w:p w14:paraId="6208D65A" w14:textId="5A6736FA" w:rsidR="00813EC0" w:rsidRPr="00813EC0" w:rsidRDefault="00813EC0" w:rsidP="00813EC0">
      <w:pPr>
        <w:jc w:val="both"/>
        <w:rPr>
          <w:rFonts w:ascii="Verdana" w:hAnsi="Verdana"/>
        </w:rPr>
      </w:pPr>
      <w:r w:rsidRPr="00813EC0">
        <w:rPr>
          <w:rFonts w:ascii="Verdana" w:hAnsi="Verdana"/>
        </w:rPr>
        <w:t>La Convención sobre los Derechos del Niño en el numeral primero del artículo tercero establece que:</w:t>
      </w:r>
    </w:p>
    <w:p w14:paraId="099A8CF3" w14:textId="44B50523" w:rsidR="00813EC0" w:rsidRPr="00813EC0" w:rsidRDefault="00813EC0" w:rsidP="00813EC0">
      <w:pPr>
        <w:jc w:val="both"/>
        <w:rPr>
          <w:rFonts w:ascii="Verdana" w:hAnsi="Verdana"/>
        </w:rPr>
      </w:pPr>
      <w:r w:rsidRPr="00813EC0">
        <w:rPr>
          <w:rFonts w:ascii="Verdana" w:hAnsi="Verdana"/>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5C512650" w14:textId="6F92F444" w:rsidR="00813EC0" w:rsidRPr="00813EC0" w:rsidRDefault="00813EC0" w:rsidP="00813EC0">
      <w:pPr>
        <w:jc w:val="both"/>
        <w:rPr>
          <w:rFonts w:ascii="Verdana" w:hAnsi="Verdana"/>
        </w:rPr>
      </w:pPr>
      <w:r w:rsidRPr="00813EC0">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62F195C0" w14:textId="73B1CBC3" w:rsidR="00813EC0" w:rsidRPr="00813EC0" w:rsidRDefault="00813EC0" w:rsidP="00813EC0">
      <w:pPr>
        <w:jc w:val="both"/>
        <w:rPr>
          <w:rFonts w:ascii="Verdana" w:hAnsi="Verdana"/>
        </w:rPr>
      </w:pPr>
      <w:r w:rsidRPr="00813EC0">
        <w:rPr>
          <w:rFonts w:ascii="Verdana" w:hAnsi="Verdana"/>
        </w:rPr>
        <w:t>Por su parte, en el artículo 8 del Código de la Infancia y la Adolescencia se define el interés superior de los niños, las niñas y los adolescentes.</w:t>
      </w:r>
    </w:p>
    <w:p w14:paraId="5F6271CE" w14:textId="06E2E9CF" w:rsidR="00813EC0" w:rsidRPr="00813EC0" w:rsidRDefault="00813EC0" w:rsidP="00813EC0">
      <w:pPr>
        <w:jc w:val="both"/>
        <w:rPr>
          <w:rFonts w:ascii="Verdana" w:hAnsi="Verdana"/>
        </w:rPr>
      </w:pPr>
      <w:r w:rsidRPr="00813EC0">
        <w:rPr>
          <w:rFonts w:ascii="Verdana" w:hAnsi="Verdana"/>
        </w:rPr>
        <w:t>"(...) como el imperativo que obliga a todas las personas a garantizar la satisfacción integral y simultánea de todos sus derechos humanos, que son universales, prevalentes e interdependientes".</w:t>
      </w:r>
    </w:p>
    <w:p w14:paraId="5CB939D9" w14:textId="4A306851" w:rsidR="00813EC0" w:rsidRPr="00813EC0" w:rsidRDefault="00813EC0" w:rsidP="00813EC0">
      <w:pPr>
        <w:jc w:val="both"/>
        <w:rPr>
          <w:rFonts w:ascii="Verdana" w:hAnsi="Verdana"/>
        </w:rPr>
      </w:pPr>
      <w:r w:rsidRPr="00813EC0">
        <w:rPr>
          <w:rFonts w:ascii="Verdana" w:hAnsi="Verdana"/>
        </w:rPr>
        <w:lastRenderedPageBreak/>
        <w:t>En ese sentido, la Corte Constitucional ha precisado que todas las actuaciones que realicen las autoridades públicas en las que se encuentren involucrados niños, niñas o adolescentes deben estar orientadas por el principio del interés superior.</w:t>
      </w:r>
    </w:p>
    <w:p w14:paraId="4C714420" w14:textId="3E1EB528" w:rsidR="00813EC0" w:rsidRPr="00813EC0" w:rsidRDefault="00813EC0" w:rsidP="00813EC0">
      <w:pPr>
        <w:jc w:val="both"/>
        <w:rPr>
          <w:rFonts w:ascii="Verdana" w:hAnsi="Verdana"/>
        </w:rPr>
      </w:pPr>
      <w:r w:rsidRPr="00813EC0">
        <w:rPr>
          <w:rFonts w:ascii="Verdana" w:hAnsi="Verdana"/>
        </w:rPr>
        <w:t>En efecto, la Corte ha afirmado que:</w:t>
      </w:r>
    </w:p>
    <w:p w14:paraId="723E7856" w14:textId="3B188F2E" w:rsidR="00813EC0" w:rsidRPr="00813EC0" w:rsidRDefault="00813EC0" w:rsidP="00813EC0">
      <w:pPr>
        <w:jc w:val="both"/>
        <w:rPr>
          <w:rFonts w:ascii="Verdana" w:hAnsi="Verdana"/>
        </w:rPr>
      </w:pPr>
      <w:r w:rsidRPr="00813EC0">
        <w:rPr>
          <w:rFonts w:ascii="Verdana" w:hAnsi="Verdana"/>
        </w:rPr>
        <w:t>"el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14:paraId="21AE1AB0" w14:textId="3839B4C6" w:rsidR="00813EC0" w:rsidRPr="00813EC0" w:rsidRDefault="00813EC0" w:rsidP="00813EC0">
      <w:pPr>
        <w:jc w:val="both"/>
        <w:rPr>
          <w:rFonts w:ascii="Verdana" w:hAnsi="Verdana"/>
        </w:rPr>
      </w:pPr>
      <w:r w:rsidRPr="00813EC0">
        <w:rPr>
          <w:rFonts w:ascii="Verdana" w:hAnsi="Verdana"/>
        </w:rPr>
        <w:t>Así mismo, sostuvo que:</w:t>
      </w:r>
    </w:p>
    <w:p w14:paraId="28410B72" w14:textId="18D8DA56" w:rsidR="00813EC0" w:rsidRPr="00813EC0" w:rsidRDefault="00813EC0" w:rsidP="00813EC0">
      <w:pPr>
        <w:jc w:val="both"/>
        <w:rPr>
          <w:rFonts w:ascii="Verdana" w:hAnsi="Verdana"/>
        </w:rPr>
      </w:pPr>
      <w:r w:rsidRPr="00813EC0">
        <w:rPr>
          <w:rFonts w:ascii="Verdana" w:hAnsi="Verdana"/>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traía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3964FF06" w14:textId="523CD6E1" w:rsidR="00813EC0" w:rsidRPr="00813EC0" w:rsidRDefault="00813EC0" w:rsidP="00813EC0">
      <w:pPr>
        <w:jc w:val="both"/>
        <w:rPr>
          <w:rFonts w:ascii="Verdana" w:hAnsi="Verdana"/>
        </w:rPr>
      </w:pPr>
      <w:r w:rsidRPr="00813EC0">
        <w:rPr>
          <w:rFonts w:ascii="Verdana" w:hAnsi="Verdana"/>
        </w:rPr>
        <w:t>2.2 La competencia de la autoridad administrativa.</w:t>
      </w:r>
    </w:p>
    <w:p w14:paraId="57755285" w14:textId="030C5414" w:rsidR="00813EC0" w:rsidRPr="00813EC0" w:rsidRDefault="00813EC0" w:rsidP="00813EC0">
      <w:pPr>
        <w:jc w:val="both"/>
        <w:rPr>
          <w:rFonts w:ascii="Verdana" w:hAnsi="Verdana"/>
        </w:rPr>
      </w:pPr>
      <w:r w:rsidRPr="00813EC0">
        <w:rPr>
          <w:rFonts w:ascii="Verdana" w:hAnsi="Verdana"/>
        </w:rPr>
        <w:t>En este punto es importante preciar que la competencia administrativa es la atribución que la ley le otorga a algunas personas u órganos del Estado para conocer y decidir determinados asuntos de la administración pública.</w:t>
      </w:r>
    </w:p>
    <w:p w14:paraId="49C320AB" w14:textId="0B022AAE" w:rsidR="00813EC0" w:rsidRPr="00813EC0" w:rsidRDefault="00813EC0" w:rsidP="00813EC0">
      <w:pPr>
        <w:jc w:val="both"/>
        <w:rPr>
          <w:rFonts w:ascii="Verdana" w:hAnsi="Verdana"/>
        </w:rPr>
      </w:pPr>
      <w:r w:rsidRPr="00813EC0">
        <w:rPr>
          <w:rFonts w:ascii="Verdana" w:hAnsi="Verdana"/>
        </w:rPr>
        <w:t>Generalmente, la actividad que desarrollan las autoridades administrativas está determinada por la ley, sin embargo, en algunos casos puede presentarse en su ejercicio conflicto entre ellas, bien porque consideren de su competencia el conocimiento de un asunto determinado o porque estiman lo contrario.</w:t>
      </w:r>
    </w:p>
    <w:p w14:paraId="0906AC3F" w14:textId="6D2C1D84" w:rsidR="00813EC0" w:rsidRPr="00813EC0" w:rsidRDefault="00813EC0" w:rsidP="00813EC0">
      <w:pPr>
        <w:jc w:val="both"/>
        <w:rPr>
          <w:rFonts w:ascii="Verdana" w:hAnsi="Verdana"/>
        </w:rPr>
      </w:pPr>
      <w:r w:rsidRPr="00813EC0">
        <w:rPr>
          <w:rFonts w:ascii="Verdana" w:hAnsi="Verdana"/>
        </w:rPr>
        <w:t>Respecto a la competencia de las autoridades administrativas a la luz del Código de la Infancia y la Adolescencia, el artículo 96 dispone que:</w:t>
      </w:r>
    </w:p>
    <w:p w14:paraId="13FE92B8" w14:textId="50754CA6" w:rsidR="00813EC0" w:rsidRPr="00813EC0" w:rsidRDefault="00813EC0" w:rsidP="00813EC0">
      <w:pPr>
        <w:jc w:val="both"/>
        <w:rPr>
          <w:rFonts w:ascii="Verdana" w:hAnsi="Verdana"/>
        </w:rPr>
      </w:pPr>
      <w:r w:rsidRPr="00813EC0">
        <w:rPr>
          <w:rFonts w:ascii="Verdana" w:hAnsi="Verdana"/>
        </w:rPr>
        <w:t>"Corresponde a los Defensores de Familia y Comisarios de Familia procurar y promover la realización y restablecimiento de los derechos reconocidos en los tratados internacionales, en la Constitución Política y en el presente Código.</w:t>
      </w:r>
    </w:p>
    <w:p w14:paraId="044DBC89" w14:textId="3F0A6907" w:rsidR="00813EC0" w:rsidRPr="00813EC0" w:rsidRDefault="00813EC0" w:rsidP="00813EC0">
      <w:pPr>
        <w:jc w:val="both"/>
        <w:rPr>
          <w:rFonts w:ascii="Verdana" w:hAnsi="Verdana"/>
        </w:rPr>
      </w:pPr>
      <w:r w:rsidRPr="00813EC0">
        <w:rPr>
          <w:rFonts w:ascii="Verdana" w:hAnsi="Verdana"/>
        </w:rPr>
        <w:lastRenderedPageBreak/>
        <w:t>El seguimiento de las medidas de protección o de restablecimiento adoptadas por los Defensores y Comisarios de Familia estará a cargo del respectivo coordinador del centro zonal del Instituto Colombiano de Bienestar Familiar”.</w:t>
      </w:r>
    </w:p>
    <w:p w14:paraId="6EB6826F" w14:textId="0D6BFA87" w:rsidR="00813EC0" w:rsidRPr="00813EC0" w:rsidRDefault="00813EC0" w:rsidP="00813EC0">
      <w:pPr>
        <w:jc w:val="both"/>
        <w:rPr>
          <w:rFonts w:ascii="Verdana" w:hAnsi="Verdana"/>
        </w:rPr>
      </w:pPr>
      <w:r w:rsidRPr="00813EC0">
        <w:rPr>
          <w:rFonts w:ascii="Verdana" w:hAnsi="Verdana"/>
        </w:rPr>
        <w:t>Por su parte, el artículo 97 ibídem establece la competencia de estos funcionarios así:</w:t>
      </w:r>
    </w:p>
    <w:p w14:paraId="02C70959" w14:textId="0276BD60" w:rsidR="00813EC0" w:rsidRPr="00813EC0" w:rsidRDefault="00813EC0" w:rsidP="00813EC0">
      <w:pPr>
        <w:jc w:val="both"/>
        <w:rPr>
          <w:rFonts w:ascii="Verdana" w:hAnsi="Verdana"/>
        </w:rPr>
      </w:pPr>
      <w:r w:rsidRPr="00813EC0">
        <w:rPr>
          <w:rFonts w:ascii="Verdana" w:hAnsi="Verdana"/>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276C522D" w14:textId="204BC56C" w:rsidR="00813EC0" w:rsidRPr="00813EC0" w:rsidRDefault="00813EC0" w:rsidP="00813EC0">
      <w:pPr>
        <w:jc w:val="both"/>
        <w:rPr>
          <w:rFonts w:ascii="Verdana" w:hAnsi="Verdana"/>
        </w:rPr>
      </w:pPr>
      <w:r w:rsidRPr="00813EC0">
        <w:rPr>
          <w:rFonts w:ascii="Verdana" w:hAnsi="Verdana"/>
        </w:rPr>
        <w:t>De acuerdo con las anteriores disposiciones, es claro que en materia de infancia y adolescencia, la autoridad administrativa competente para conocer del Proceso Administrativo de Restablecimiento de Derechos es la del lugar donde se encuentre el niño, niña o adolescente.</w:t>
      </w:r>
    </w:p>
    <w:p w14:paraId="744D1DA0" w14:textId="15E186E6" w:rsidR="00813EC0" w:rsidRPr="00813EC0" w:rsidRDefault="00813EC0" w:rsidP="00813EC0">
      <w:pPr>
        <w:jc w:val="both"/>
        <w:rPr>
          <w:rFonts w:ascii="Verdana" w:hAnsi="Verdana"/>
        </w:rPr>
      </w:pPr>
      <w:r w:rsidRPr="00813EC0">
        <w:rPr>
          <w:rFonts w:ascii="Verdana" w:hAnsi="Verdana"/>
        </w:rPr>
        <w:t>2.3 El caso concreto.</w:t>
      </w:r>
    </w:p>
    <w:p w14:paraId="53407157" w14:textId="0800D4B0" w:rsidR="00813EC0" w:rsidRPr="00813EC0" w:rsidRDefault="00813EC0" w:rsidP="00813EC0">
      <w:pPr>
        <w:jc w:val="both"/>
        <w:rPr>
          <w:rFonts w:ascii="Verdana" w:hAnsi="Verdana"/>
        </w:rPr>
      </w:pPr>
      <w:r w:rsidRPr="00813EC0">
        <w:rPr>
          <w:rFonts w:ascii="Verdana" w:hAnsi="Verdana"/>
        </w:rPr>
        <w:t>¿Cómo debo entenderse el contenido del numeral 16 del artículo 21 de la Ley 1564 de 2012 en cuanto a los conflictos que se generan entre Defensores de Familia?, es decir ¿los jueces además de conocer de los conflictos de competencia que se susciten en materia de familia entre Defensores de Familia y Comisarios de Familia, conocen de los conflictos de competencia suscitados entre Defensores de Familia de la misma Regional o diferente? O ¿en materia de conflictos de competencia intraorgánica entre Defensores de Familia se debe seguir la línea del Consejo de Estado que señala que cuando se presenta esta clase de conflictos deberá resolverlo el Director Regional cuando se presenta con Defensores de la misma Regional; o la Dirección Nacional, cuando el conflicto se suscrita entre Defensores de diferente Regional?</w:t>
      </w:r>
    </w:p>
    <w:p w14:paraId="0C202CDF" w14:textId="22EC2115" w:rsidR="00813EC0" w:rsidRPr="00813EC0" w:rsidRDefault="00813EC0" w:rsidP="00813EC0">
      <w:pPr>
        <w:jc w:val="both"/>
        <w:rPr>
          <w:rFonts w:ascii="Verdana" w:hAnsi="Verdana"/>
        </w:rPr>
      </w:pPr>
      <w:r w:rsidRPr="00813EC0">
        <w:rPr>
          <w:rFonts w:ascii="Verdana" w:hAnsi="Verdana"/>
        </w:rPr>
        <w:t>R/ El numeral 16 del artículo 21 del Código General del Proceso es claro en indicar la competencia de los Jueces de Familia en única instancia, y en consecuencia determina expresamente que cuando se susciten conflictos de competencia entre defensores de familia, comisarios de familia, notarios e inspectores de policía, será dicha autoridad la encargada de resolverlos.</w:t>
      </w:r>
    </w:p>
    <w:p w14:paraId="6FF5BDD8" w14:textId="57BDDE7F" w:rsidR="00813EC0" w:rsidRPr="00813EC0" w:rsidRDefault="00813EC0" w:rsidP="00813EC0">
      <w:pPr>
        <w:jc w:val="both"/>
        <w:rPr>
          <w:rFonts w:ascii="Verdana" w:hAnsi="Verdana"/>
        </w:rPr>
      </w:pPr>
      <w:r w:rsidRPr="00813EC0">
        <w:rPr>
          <w:rFonts w:ascii="Verdana" w:hAnsi="Verdana"/>
        </w:rPr>
        <w:t>2. En cuanto a la aplicación del numeral 16 del artículo 21 de la Ley 1564 de 2012 entre Defensores y Comisarios de Familia, o en el evento en que se indique en la respuesta de la primera pregunta que también aplica entre Defensores de Familia ¿cuál sería el juzgado de familia competente para conocer de los conflictos de competencia allí enunciados?</w:t>
      </w:r>
    </w:p>
    <w:p w14:paraId="0A80EC4E" w14:textId="2A0D8CFF" w:rsidR="00813EC0" w:rsidRPr="00813EC0" w:rsidRDefault="00813EC0" w:rsidP="00813EC0">
      <w:pPr>
        <w:jc w:val="both"/>
        <w:rPr>
          <w:rFonts w:ascii="Verdana" w:hAnsi="Verdana"/>
        </w:rPr>
      </w:pPr>
      <w:r w:rsidRPr="00813EC0">
        <w:rPr>
          <w:rFonts w:ascii="Verdana" w:hAnsi="Verdana"/>
        </w:rPr>
        <w:t>Rl En este punto, se debe tener en cuenta lo establecido en el artículo 97 de la Ley 1098 de 2011, que establece que será competente la autoridad del lugar en donde se encuentre el niño, la niña o el adolescente, siendo el concepto de "lugar en donde se encuentran” un criterio material en el que se incluye la noción de residencia.</w:t>
      </w:r>
    </w:p>
    <w:p w14:paraId="15824578" w14:textId="64E6EAD3" w:rsidR="00813EC0" w:rsidRPr="00813EC0" w:rsidRDefault="00813EC0" w:rsidP="00813EC0">
      <w:pPr>
        <w:jc w:val="both"/>
        <w:rPr>
          <w:rFonts w:ascii="Verdana" w:hAnsi="Verdana"/>
        </w:rPr>
      </w:pPr>
      <w:r w:rsidRPr="00813EC0">
        <w:rPr>
          <w:rFonts w:ascii="Verdana" w:hAnsi="Verdana"/>
        </w:rPr>
        <w:lastRenderedPageBreak/>
        <w:t>Lo anterior, tiene justificación teniendo en cuenta el trámite especial que tienen los Procesos de Restablecimiento de Derechos.</w:t>
      </w:r>
    </w:p>
    <w:p w14:paraId="0CFB34A4" w14:textId="09CB98D7" w:rsidR="00813EC0" w:rsidRPr="00813EC0" w:rsidRDefault="00813EC0" w:rsidP="00813EC0">
      <w:pPr>
        <w:jc w:val="both"/>
        <w:rPr>
          <w:rFonts w:ascii="Verdana" w:hAnsi="Verdana"/>
        </w:rPr>
      </w:pPr>
      <w:r w:rsidRPr="00813EC0">
        <w:rPr>
          <w:rFonts w:ascii="Verdana" w:hAnsi="Verdana"/>
        </w:rPr>
        <w:t>El presente concepto[1]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0A44233" w14:textId="62B33111" w:rsidR="00813EC0" w:rsidRDefault="00813EC0" w:rsidP="00813EC0">
      <w:pPr>
        <w:jc w:val="both"/>
        <w:rPr>
          <w:rFonts w:ascii="Verdana" w:hAnsi="Verdana"/>
        </w:rPr>
      </w:pPr>
      <w:r w:rsidRPr="00813EC0">
        <w:rPr>
          <w:rFonts w:ascii="Verdana" w:hAnsi="Verdana"/>
        </w:rPr>
        <w:t>Atentamente,</w:t>
      </w:r>
    </w:p>
    <w:p w14:paraId="7A259BF5" w14:textId="77777777" w:rsidR="00A53C8B" w:rsidRPr="00813EC0" w:rsidRDefault="00A53C8B" w:rsidP="00813EC0">
      <w:pPr>
        <w:jc w:val="both"/>
        <w:rPr>
          <w:rFonts w:ascii="Verdana" w:hAnsi="Verdana"/>
        </w:rPr>
      </w:pPr>
    </w:p>
    <w:p w14:paraId="719ECC8C" w14:textId="0FDD07A2" w:rsidR="00813EC0" w:rsidRPr="00813EC0" w:rsidRDefault="00813EC0" w:rsidP="00813EC0">
      <w:pPr>
        <w:jc w:val="both"/>
        <w:rPr>
          <w:rFonts w:ascii="Verdana" w:hAnsi="Verdana"/>
          <w:b/>
          <w:bCs/>
        </w:rPr>
      </w:pPr>
      <w:r w:rsidRPr="00813EC0">
        <w:rPr>
          <w:rFonts w:ascii="Verdana" w:hAnsi="Verdana"/>
          <w:b/>
          <w:bCs/>
        </w:rPr>
        <w:t xml:space="preserve">LUZ KARIME FERNANDEZ </w:t>
      </w:r>
    </w:p>
    <w:p w14:paraId="741A1662" w14:textId="77777777" w:rsidR="00813EC0" w:rsidRPr="00813EC0" w:rsidRDefault="00813EC0" w:rsidP="00813EC0">
      <w:pPr>
        <w:jc w:val="both"/>
        <w:rPr>
          <w:rFonts w:ascii="Verdana" w:hAnsi="Verdana"/>
        </w:rPr>
      </w:pPr>
      <w:r w:rsidRPr="00813EC0">
        <w:rPr>
          <w:rFonts w:ascii="Verdana" w:hAnsi="Verdana"/>
        </w:rPr>
        <w:t>Jefe Oficina Asesora Jurídica</w:t>
      </w:r>
    </w:p>
    <w:p w14:paraId="7DC510BC" w14:textId="77777777" w:rsidR="00813EC0" w:rsidRDefault="00813EC0" w:rsidP="00813EC0">
      <w:pPr>
        <w:jc w:val="both"/>
        <w:rPr>
          <w:rFonts w:ascii="Verdana" w:hAnsi="Verdana"/>
        </w:rPr>
      </w:pPr>
    </w:p>
    <w:p w14:paraId="7E928491" w14:textId="4A20B292" w:rsidR="00A53C8B" w:rsidRPr="00A53C8B" w:rsidRDefault="00A53C8B" w:rsidP="00A53C8B">
      <w:pPr>
        <w:jc w:val="both"/>
        <w:rPr>
          <w:rFonts w:ascii="Verdana" w:hAnsi="Verdana"/>
          <w:b/>
          <w:bCs/>
        </w:rPr>
      </w:pPr>
      <w:r w:rsidRPr="00A53C8B">
        <w:rPr>
          <w:rFonts w:ascii="Verdana" w:hAnsi="Verdana"/>
          <w:b/>
          <w:bCs/>
        </w:rPr>
        <w:t>Nota de pie de página:</w:t>
      </w:r>
    </w:p>
    <w:p w14:paraId="51BE2926" w14:textId="77777777" w:rsidR="00A53C8B" w:rsidRPr="00813EC0" w:rsidRDefault="00A53C8B" w:rsidP="00813EC0">
      <w:pPr>
        <w:jc w:val="both"/>
        <w:rPr>
          <w:rFonts w:ascii="Verdana" w:hAnsi="Verdana"/>
        </w:rPr>
      </w:pPr>
    </w:p>
    <w:p w14:paraId="0C200ABD" w14:textId="77777777" w:rsidR="00813EC0" w:rsidRPr="00813EC0" w:rsidRDefault="00813EC0" w:rsidP="00813EC0">
      <w:pPr>
        <w:jc w:val="both"/>
        <w:rPr>
          <w:rFonts w:ascii="Verdana" w:hAnsi="Verdana"/>
        </w:rPr>
      </w:pPr>
      <w:r w:rsidRPr="00813EC0">
        <w:rPr>
          <w:rFonts w:ascii="Verdana" w:hAnsi="Verdana"/>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00381443" w14:textId="77777777" w:rsidR="00813EC0" w:rsidRPr="00813EC0" w:rsidRDefault="00813EC0" w:rsidP="00813EC0">
      <w:pPr>
        <w:jc w:val="both"/>
        <w:rPr>
          <w:rFonts w:ascii="Verdana" w:hAnsi="Verdana"/>
        </w:rPr>
      </w:pPr>
    </w:p>
    <w:sectPr w:rsidR="00813EC0" w:rsidRPr="00813E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C0"/>
    <w:rsid w:val="000B4793"/>
    <w:rsid w:val="004A6E94"/>
    <w:rsid w:val="00813EC0"/>
    <w:rsid w:val="00A53C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1D61"/>
  <w15:chartTrackingRefBased/>
  <w15:docId w15:val="{2EA45300-0C19-41B9-AFB0-9C1D395B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CB8D7-0655-4BF8-8139-8981F348743E}"/>
</file>

<file path=customXml/itemProps2.xml><?xml version="1.0" encoding="utf-8"?>
<ds:datastoreItem xmlns:ds="http://schemas.openxmlformats.org/officeDocument/2006/customXml" ds:itemID="{93CB8481-BAF9-4639-9C7E-15C7F90EB94F}"/>
</file>

<file path=customXml/itemProps3.xml><?xml version="1.0" encoding="utf-8"?>
<ds:datastoreItem xmlns:ds="http://schemas.openxmlformats.org/officeDocument/2006/customXml" ds:itemID="{9A6F8EAE-BFE3-4A20-B0F2-B42F7C823F86}"/>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8643</Characters>
  <Application>Microsoft Office Word</Application>
  <DocSecurity>0</DocSecurity>
  <Lines>72</Lines>
  <Paragraphs>20</Paragraphs>
  <ScaleCrop>false</ScaleCrop>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2026-05-13T15:50:00Z</dcterms:created>
  <dcterms:modified xsi:type="dcterms:W3CDTF">2026-05-20T20:22:00Z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