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A53E" w14:textId="77777777" w:rsidR="00D66D1D" w:rsidRPr="00D66D1D" w:rsidRDefault="00D66D1D" w:rsidP="00D66D1D">
      <w:pPr>
        <w:jc w:val="center"/>
        <w:rPr>
          <w:rFonts w:ascii="Verdana" w:hAnsi="Verdana"/>
          <w:sz w:val="22"/>
          <w:szCs w:val="22"/>
        </w:rPr>
      </w:pPr>
      <w:r w:rsidRPr="00D66D1D">
        <w:rPr>
          <w:rFonts w:ascii="Verdana" w:hAnsi="Verdana"/>
          <w:b/>
          <w:bCs/>
          <w:sz w:val="22"/>
          <w:szCs w:val="22"/>
        </w:rPr>
        <w:t>CONCEPTO 28 DE 2017</w:t>
      </w:r>
    </w:p>
    <w:p w14:paraId="64FFE4BB" w14:textId="77777777" w:rsidR="00D66D1D" w:rsidRPr="00D66D1D" w:rsidRDefault="00D66D1D" w:rsidP="00D66D1D">
      <w:pPr>
        <w:jc w:val="center"/>
        <w:rPr>
          <w:rFonts w:ascii="Verdana" w:hAnsi="Verdana"/>
          <w:sz w:val="22"/>
          <w:szCs w:val="22"/>
        </w:rPr>
      </w:pPr>
      <w:r w:rsidRPr="00D66D1D">
        <w:rPr>
          <w:rFonts w:ascii="Verdana" w:hAnsi="Verdana"/>
          <w:sz w:val="22"/>
          <w:szCs w:val="22"/>
        </w:rPr>
        <w:t>(marzo 22)</w:t>
      </w:r>
    </w:p>
    <w:p w14:paraId="638B9FDB" w14:textId="77777777" w:rsidR="00D66D1D" w:rsidRPr="00D66D1D" w:rsidRDefault="00D66D1D" w:rsidP="00D66D1D">
      <w:pPr>
        <w:jc w:val="center"/>
        <w:rPr>
          <w:rFonts w:ascii="Verdana" w:hAnsi="Verdana"/>
          <w:sz w:val="22"/>
          <w:szCs w:val="22"/>
        </w:rPr>
      </w:pPr>
      <w:r w:rsidRPr="00D66D1D">
        <w:rPr>
          <w:rFonts w:ascii="Verdana" w:hAnsi="Verdana"/>
          <w:b/>
          <w:bCs/>
          <w:sz w:val="22"/>
          <w:szCs w:val="22"/>
        </w:rPr>
        <w:t>INSTITUTO COLOMBIANO DE BIENESTAR FAMILIAR</w:t>
      </w:r>
    </w:p>
    <w:p w14:paraId="799A9825" w14:textId="36304E81" w:rsidR="00D66D1D" w:rsidRPr="00D66D1D" w:rsidRDefault="00D66D1D" w:rsidP="00D66D1D">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D66D1D" w:rsidRPr="00D66D1D" w14:paraId="0F1FD8BF"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3ACBB03D" w14:textId="77777777" w:rsidR="00D66D1D" w:rsidRPr="00D66D1D" w:rsidRDefault="00D66D1D" w:rsidP="00D66D1D">
            <w:pPr>
              <w:jc w:val="both"/>
              <w:rPr>
                <w:rFonts w:ascii="Verdana" w:hAnsi="Verdana"/>
                <w:sz w:val="22"/>
                <w:szCs w:val="22"/>
              </w:rPr>
            </w:pPr>
            <w:r w:rsidRPr="00D66D1D">
              <w:rPr>
                <w:rFonts w:ascii="Verdana" w:hAnsi="Verdana"/>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3334E41C" w14:textId="77777777" w:rsidR="00D66D1D" w:rsidRPr="00D66D1D" w:rsidRDefault="00D66D1D" w:rsidP="00D66D1D">
            <w:pPr>
              <w:jc w:val="both"/>
              <w:rPr>
                <w:rFonts w:ascii="Verdana" w:hAnsi="Verdana"/>
                <w:sz w:val="22"/>
                <w:szCs w:val="22"/>
              </w:rPr>
            </w:pPr>
            <w:r w:rsidRPr="00D66D1D">
              <w:rPr>
                <w:rFonts w:ascii="Verdana" w:hAnsi="Verdana"/>
                <w:sz w:val="22"/>
                <w:szCs w:val="22"/>
              </w:rPr>
              <w:t>Coordinadora de Autoridades Administrativas</w:t>
            </w:r>
          </w:p>
        </w:tc>
      </w:tr>
      <w:tr w:rsidR="00D66D1D" w:rsidRPr="00D66D1D" w14:paraId="26CC86D6"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3CAD14E" w14:textId="77777777" w:rsidR="00D66D1D" w:rsidRPr="00D66D1D" w:rsidRDefault="00D66D1D" w:rsidP="00D66D1D">
            <w:pPr>
              <w:jc w:val="both"/>
              <w:rPr>
                <w:rFonts w:ascii="Verdana" w:hAnsi="Verdana"/>
                <w:sz w:val="22"/>
                <w:szCs w:val="22"/>
              </w:rPr>
            </w:pPr>
            <w:r w:rsidRPr="00D66D1D">
              <w:rPr>
                <w:rFonts w:ascii="Verdana" w:hAnsi="Verdana"/>
                <w:sz w:val="22"/>
                <w:szCs w:val="22"/>
              </w:rPr>
              <w:t>Dirección De Protección</w:t>
            </w:r>
          </w:p>
        </w:tc>
      </w:tr>
      <w:tr w:rsidR="00D66D1D" w:rsidRPr="00D66D1D" w14:paraId="5CAB31DB"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F5D8FFE" w14:textId="77777777" w:rsidR="00D66D1D" w:rsidRPr="00D66D1D" w:rsidRDefault="00D66D1D" w:rsidP="00D66D1D">
            <w:pPr>
              <w:jc w:val="both"/>
              <w:rPr>
                <w:rFonts w:ascii="Verdana" w:hAnsi="Verdana"/>
                <w:sz w:val="22"/>
                <w:szCs w:val="22"/>
              </w:rPr>
            </w:pPr>
            <w:r w:rsidRPr="00D66D1D">
              <w:rPr>
                <w:rFonts w:ascii="Verdana" w:hAnsi="Verdana"/>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1369CB5C" w14:textId="77777777" w:rsidR="00D66D1D" w:rsidRPr="00D66D1D" w:rsidRDefault="00D66D1D" w:rsidP="00D66D1D">
            <w:pPr>
              <w:jc w:val="both"/>
              <w:rPr>
                <w:rFonts w:ascii="Verdana" w:hAnsi="Verdana"/>
                <w:sz w:val="22"/>
                <w:szCs w:val="22"/>
              </w:rPr>
            </w:pPr>
            <w:r w:rsidRPr="00D66D1D">
              <w:rPr>
                <w:rFonts w:ascii="Verdana" w:hAnsi="Verdana"/>
                <w:sz w:val="22"/>
                <w:szCs w:val="22"/>
              </w:rPr>
              <w:t>Consulta sobre la facultad del Defensor de Familia para continuar con el proceso de atención de un NNA que se encuentra en los servicios de protección del ICBF, pero ha perdido la competencia para conocer los Procesos Administrativos de Restablecimiento de Derechos, radicada 013205.</w:t>
            </w:r>
          </w:p>
        </w:tc>
      </w:tr>
    </w:tbl>
    <w:p w14:paraId="2EA4898F" w14:textId="6FF21C30" w:rsidR="00D66D1D" w:rsidRPr="00D66D1D" w:rsidRDefault="00D66D1D" w:rsidP="00D66D1D">
      <w:pPr>
        <w:jc w:val="both"/>
        <w:rPr>
          <w:rFonts w:ascii="Verdana" w:hAnsi="Verdana"/>
          <w:sz w:val="22"/>
          <w:szCs w:val="22"/>
        </w:rPr>
      </w:pPr>
      <w:r w:rsidRPr="00D66D1D">
        <w:rPr>
          <w:rFonts w:ascii="Verdana" w:hAnsi="Verdana"/>
          <w:sz w:val="22"/>
          <w:szCs w:val="22"/>
        </w:rPr>
        <w:t>De manera atenta, en relación con el asunto de la referencia, en los términos previstos en los artículos 26 del Código Civil, artículos 26 del Código Civil, la Ley 1755 de 2015, y numeral 4 del artículo 6 del Decreto 987 de 2012, se procede a emitir concepto en los siguientes términos:</w:t>
      </w:r>
    </w:p>
    <w:p w14:paraId="793DF51C" w14:textId="77777777" w:rsidR="00D66D1D" w:rsidRPr="00D66D1D" w:rsidRDefault="00D66D1D" w:rsidP="00D66D1D">
      <w:pPr>
        <w:jc w:val="both"/>
        <w:rPr>
          <w:rFonts w:ascii="Verdana" w:hAnsi="Verdana"/>
          <w:sz w:val="22"/>
          <w:szCs w:val="22"/>
        </w:rPr>
      </w:pPr>
      <w:r w:rsidRPr="00D66D1D">
        <w:rPr>
          <w:rFonts w:ascii="Verdana" w:hAnsi="Verdana"/>
          <w:b/>
          <w:bCs/>
          <w:sz w:val="22"/>
          <w:szCs w:val="22"/>
        </w:rPr>
        <w:t>1. PROBLEMA JURÍDICO</w:t>
      </w:r>
    </w:p>
    <w:p w14:paraId="58F11BEC" w14:textId="77777777" w:rsidR="00D66D1D" w:rsidRPr="00D66D1D" w:rsidRDefault="00D66D1D" w:rsidP="00D66D1D">
      <w:pPr>
        <w:jc w:val="both"/>
        <w:rPr>
          <w:rFonts w:ascii="Verdana" w:hAnsi="Verdana"/>
          <w:sz w:val="22"/>
          <w:szCs w:val="22"/>
        </w:rPr>
      </w:pPr>
      <w:r w:rsidRPr="00D66D1D">
        <w:rPr>
          <w:rFonts w:ascii="Verdana" w:hAnsi="Verdana"/>
          <w:i/>
          <w:iCs/>
          <w:sz w:val="22"/>
          <w:szCs w:val="22"/>
        </w:rPr>
        <w:t xml:space="preserve">¿Una vez el Defensor de Familia pierde competencia para conocer sobre el restablecimiento de derechos por vencimiento de términos, y la historia de atención es remitida al Juez de Familia; </w:t>
      </w:r>
      <w:proofErr w:type="gramStart"/>
      <w:r w:rsidRPr="00D66D1D">
        <w:rPr>
          <w:rFonts w:ascii="Verdana" w:hAnsi="Verdana"/>
          <w:i/>
          <w:iCs/>
          <w:sz w:val="22"/>
          <w:szCs w:val="22"/>
        </w:rPr>
        <w:t>la autoridad administrativa continúa con la facultad de adelantar actuaciones frente al proceso de atención de los niños, niñas y adolescentes que se encuentran en servicios de protección del ICBF, tales como la autorización de visitas y salidas pedagógicas?</w:t>
      </w:r>
      <w:proofErr w:type="gramEnd"/>
    </w:p>
    <w:p w14:paraId="34C9042D" w14:textId="77777777" w:rsidR="00D66D1D" w:rsidRPr="00D66D1D" w:rsidRDefault="00D66D1D" w:rsidP="00D66D1D">
      <w:pPr>
        <w:jc w:val="both"/>
        <w:rPr>
          <w:rFonts w:ascii="Verdana" w:hAnsi="Verdana"/>
          <w:sz w:val="22"/>
          <w:szCs w:val="22"/>
        </w:rPr>
      </w:pPr>
      <w:r w:rsidRPr="00D66D1D">
        <w:rPr>
          <w:rFonts w:ascii="Verdana" w:hAnsi="Verdana"/>
          <w:b/>
          <w:bCs/>
          <w:sz w:val="22"/>
          <w:szCs w:val="22"/>
        </w:rPr>
        <w:t>2. ANÁLISIS DEL PROBLEMA JURÍDICO</w:t>
      </w:r>
    </w:p>
    <w:p w14:paraId="1EB20B37" w14:textId="77777777" w:rsidR="00D66D1D" w:rsidRPr="00D66D1D" w:rsidRDefault="00D66D1D" w:rsidP="00D66D1D">
      <w:pPr>
        <w:jc w:val="both"/>
        <w:rPr>
          <w:rFonts w:ascii="Verdana" w:hAnsi="Verdana"/>
          <w:sz w:val="22"/>
          <w:szCs w:val="22"/>
        </w:rPr>
      </w:pPr>
      <w:r w:rsidRPr="00D66D1D">
        <w:rPr>
          <w:rFonts w:ascii="Verdana" w:hAnsi="Verdana"/>
          <w:sz w:val="22"/>
          <w:szCs w:val="22"/>
        </w:rPr>
        <w:t>Metodológicamente, estudiaremos 2.1 Proceso Administrativo de Restablecimiento de Derechos: 2.2 La función de las autoridades administrativas en el restablecimiento de los derechos de los niños, las niñas y los adolescentes; 2.3 La competencia de la Autoridad Administrativa; 2.4 La atención de los niños, niñas y adolescentes que se encuentran en los servicios de protección del ICBF</w:t>
      </w:r>
    </w:p>
    <w:p w14:paraId="2F6500CB" w14:textId="77777777" w:rsidR="00D66D1D" w:rsidRPr="00D66D1D" w:rsidRDefault="00D66D1D" w:rsidP="00D66D1D">
      <w:pPr>
        <w:jc w:val="both"/>
        <w:rPr>
          <w:rFonts w:ascii="Verdana" w:hAnsi="Verdana"/>
          <w:sz w:val="22"/>
          <w:szCs w:val="22"/>
        </w:rPr>
      </w:pPr>
      <w:r w:rsidRPr="00D66D1D">
        <w:rPr>
          <w:rFonts w:ascii="Verdana" w:hAnsi="Verdana"/>
          <w:b/>
          <w:bCs/>
          <w:sz w:val="22"/>
          <w:szCs w:val="22"/>
          <w:u w:val="single"/>
        </w:rPr>
        <w:t>2.1. Proceso Administrativo de Restablecimiento de Derechos</w:t>
      </w:r>
    </w:p>
    <w:p w14:paraId="50DC2DFB" w14:textId="77777777" w:rsidR="00D66D1D" w:rsidRPr="00D66D1D" w:rsidRDefault="00D66D1D" w:rsidP="00D66D1D">
      <w:pPr>
        <w:jc w:val="both"/>
        <w:rPr>
          <w:rFonts w:ascii="Verdana" w:hAnsi="Verdana"/>
          <w:sz w:val="22"/>
          <w:szCs w:val="22"/>
        </w:rPr>
      </w:pPr>
      <w:r w:rsidRPr="00D66D1D">
        <w:rPr>
          <w:rFonts w:ascii="Verdana" w:hAnsi="Verdana"/>
          <w:sz w:val="22"/>
          <w:szCs w:val="22"/>
        </w:rPr>
        <w:t>El Proceso Administrativo de Restablecimiento de los Derechos de los niños, niñas y adolescentes es </w:t>
      </w:r>
      <w:r w:rsidRPr="00D66D1D">
        <w:rPr>
          <w:rFonts w:ascii="Verdana" w:hAnsi="Verdana"/>
          <w:i/>
          <w:iCs/>
          <w:sz w:val="22"/>
          <w:szCs w:val="22"/>
        </w:rPr>
        <w:t xml:space="preserve">"(...)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w:t>
      </w:r>
      <w:r w:rsidRPr="00D66D1D">
        <w:rPr>
          <w:rFonts w:ascii="Verdana" w:hAnsi="Verdana"/>
          <w:i/>
          <w:iCs/>
          <w:sz w:val="22"/>
          <w:szCs w:val="22"/>
        </w:rPr>
        <w:lastRenderedPageBreak/>
        <w:t>principios de prevalencia, interés superior, perspectiva de género, exigibilidad de derechos, enfoque diferencial y corresponsabilidad de la familia, la sociedad y el Estado”.</w:t>
      </w:r>
      <w:r w:rsidRPr="00D66D1D">
        <w:rPr>
          <w:rFonts w:ascii="Verdana" w:hAnsi="Verdana"/>
          <w:i/>
          <w:iCs/>
          <w:sz w:val="22"/>
          <w:szCs w:val="22"/>
          <w:vertAlign w:val="superscript"/>
        </w:rPr>
        <w:t>[1]</w:t>
      </w:r>
    </w:p>
    <w:p w14:paraId="29DCE5E7" w14:textId="77777777" w:rsidR="00D66D1D" w:rsidRPr="00D66D1D" w:rsidRDefault="00D66D1D" w:rsidP="00D66D1D">
      <w:pPr>
        <w:jc w:val="both"/>
        <w:rPr>
          <w:rFonts w:ascii="Verdana" w:hAnsi="Verdana"/>
          <w:sz w:val="22"/>
          <w:szCs w:val="22"/>
        </w:rPr>
      </w:pPr>
      <w:r w:rsidRPr="00D66D1D">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D66D1D">
        <w:rPr>
          <w:rFonts w:ascii="Verdana" w:hAnsi="Verdana"/>
          <w:sz w:val="22"/>
          <w:szCs w:val="22"/>
        </w:rPr>
        <w:t>Ley,</w:t>
      </w:r>
      <w:proofErr w:type="gramEnd"/>
      <w:r w:rsidRPr="00D66D1D">
        <w:rPr>
          <w:rFonts w:ascii="Verdana" w:hAnsi="Verdana"/>
          <w:sz w:val="22"/>
          <w:szCs w:val="22"/>
        </w:rPr>
        <w:t xml:space="preserve"> restablezcan a los niños, las niñas y los adolescentes el ejercicio pleno y efectivo de sus derechos.</w:t>
      </w:r>
    </w:p>
    <w:p w14:paraId="1A6CA217" w14:textId="77777777" w:rsidR="00D66D1D" w:rsidRPr="00D66D1D" w:rsidRDefault="00D66D1D" w:rsidP="00D66D1D">
      <w:pPr>
        <w:jc w:val="both"/>
        <w:rPr>
          <w:rFonts w:ascii="Verdana" w:hAnsi="Verdana"/>
          <w:sz w:val="22"/>
          <w:szCs w:val="22"/>
        </w:rPr>
      </w:pPr>
      <w:r w:rsidRPr="00D66D1D">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549317A8" w14:textId="14AAE0B2" w:rsidR="00D66D1D" w:rsidRPr="00D66D1D" w:rsidRDefault="00D66D1D" w:rsidP="00D66D1D">
      <w:pPr>
        <w:jc w:val="both"/>
        <w:rPr>
          <w:rFonts w:ascii="Verdana" w:hAnsi="Verdana"/>
          <w:sz w:val="22"/>
          <w:szCs w:val="22"/>
        </w:rPr>
      </w:pPr>
      <w:r w:rsidRPr="00D66D1D">
        <w:rPr>
          <w:rFonts w:ascii="Verdana" w:hAnsi="Verdana"/>
          <w:sz w:val="22"/>
          <w:szCs w:val="22"/>
        </w:rPr>
        <w:t>El artículo 100 del Código de la Infancia y la Adolescencia, establece que la actuación administrativa deberá resolverse dentro de los cuatro (4) meses siguientes a la fecha de la presentación de la solicitud o la apertura oficiosa de la investigación </w:t>
      </w:r>
      <w:r w:rsidRPr="00D66D1D">
        <w:rPr>
          <w:rFonts w:ascii="Verdana" w:hAnsi="Verdana"/>
          <w:sz w:val="22"/>
          <w:szCs w:val="22"/>
          <w:vertAlign w:val="superscript"/>
        </w:rPr>
        <w:t>[2]</w:t>
      </w:r>
      <w:r w:rsidRPr="00D66D1D">
        <w:rPr>
          <w:rFonts w:ascii="Verdana" w:hAnsi="Verdana"/>
          <w:sz w:val="22"/>
          <w:szCs w:val="22"/>
        </w:rPr>
        <w:t xml:space="preserve">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de </w:t>
      </w:r>
      <w:proofErr w:type="gramStart"/>
      <w:r w:rsidRPr="00D66D1D">
        <w:rPr>
          <w:rFonts w:ascii="Verdana" w:hAnsi="Verdana"/>
          <w:sz w:val="22"/>
          <w:szCs w:val="22"/>
        </w:rPr>
        <w:t>dichas situación</w:t>
      </w:r>
      <w:proofErr w:type="gramEnd"/>
      <w:r w:rsidRPr="00D66D1D">
        <w:rPr>
          <w:rFonts w:ascii="Verdana" w:hAnsi="Verdana"/>
          <w:sz w:val="22"/>
          <w:szCs w:val="22"/>
        </w:rPr>
        <w:t>.</w:t>
      </w:r>
    </w:p>
    <w:p w14:paraId="29FF76ED" w14:textId="708548EA" w:rsidR="00D66D1D" w:rsidRPr="00D66D1D" w:rsidRDefault="00D66D1D" w:rsidP="00D66D1D">
      <w:pPr>
        <w:jc w:val="both"/>
        <w:rPr>
          <w:rFonts w:ascii="Verdana" w:hAnsi="Verdana"/>
          <w:sz w:val="22"/>
          <w:szCs w:val="22"/>
        </w:rPr>
      </w:pPr>
      <w:r w:rsidRPr="00D66D1D">
        <w:rPr>
          <w:rFonts w:ascii="Verdana" w:hAnsi="Verdana"/>
          <w:sz w:val="22"/>
          <w:szCs w:val="22"/>
        </w:rPr>
        <w:t>De otra parte, en el parágrafo del artículo 11 de la Ley 1098 de 2006 se indica que el Instituto Colombiano de Bienestar Familiar como ente coordinador del Sistema Nacional de Bienestar Familiar definirá los lineamientos técnicos que las entidades deben cumplir para garantizar y asegurar el restablecimiento de los derechos de los niños, las niñas y los adolescentes.</w:t>
      </w:r>
    </w:p>
    <w:p w14:paraId="48823558" w14:textId="77777777" w:rsidR="00D66D1D" w:rsidRPr="00D66D1D" w:rsidRDefault="00D66D1D" w:rsidP="00D66D1D">
      <w:pPr>
        <w:jc w:val="both"/>
        <w:rPr>
          <w:rFonts w:ascii="Verdana" w:hAnsi="Verdana"/>
          <w:sz w:val="22"/>
          <w:szCs w:val="22"/>
        </w:rPr>
      </w:pPr>
      <w:r w:rsidRPr="00D66D1D">
        <w:rPr>
          <w:rFonts w:ascii="Verdana" w:hAnsi="Verdana"/>
          <w:b/>
          <w:bCs/>
          <w:sz w:val="22"/>
          <w:szCs w:val="22"/>
          <w:u w:val="single"/>
        </w:rPr>
        <w:t>2.2. La función de las autoridades administrativas en el restablecimiento de los derechos de los niños, las niñas y los adolescentes</w:t>
      </w:r>
    </w:p>
    <w:p w14:paraId="4645433D" w14:textId="77777777" w:rsidR="00D66D1D" w:rsidRPr="00D66D1D" w:rsidRDefault="00D66D1D" w:rsidP="00D66D1D">
      <w:pPr>
        <w:jc w:val="both"/>
        <w:rPr>
          <w:rFonts w:ascii="Verdana" w:hAnsi="Verdana"/>
          <w:sz w:val="22"/>
          <w:szCs w:val="22"/>
        </w:rPr>
      </w:pPr>
      <w:r w:rsidRPr="00D66D1D">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6A3165EE" w14:textId="77777777" w:rsidR="00D66D1D" w:rsidRPr="00D66D1D" w:rsidRDefault="00D66D1D" w:rsidP="00D66D1D">
      <w:pPr>
        <w:jc w:val="both"/>
        <w:rPr>
          <w:rFonts w:ascii="Verdana" w:hAnsi="Verdana"/>
          <w:sz w:val="22"/>
          <w:szCs w:val="22"/>
        </w:rPr>
      </w:pPr>
      <w:r w:rsidRPr="00D66D1D">
        <w:rPr>
          <w:rFonts w:ascii="Verdana" w:hAnsi="Verdana"/>
          <w:sz w:val="22"/>
          <w:szCs w:val="22"/>
        </w:rPr>
        <w:lastRenderedPageBreak/>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04205573" w14:textId="77777777" w:rsidR="00D66D1D" w:rsidRPr="00D66D1D" w:rsidRDefault="00D66D1D" w:rsidP="00D66D1D">
      <w:pPr>
        <w:jc w:val="both"/>
        <w:rPr>
          <w:rFonts w:ascii="Verdana" w:hAnsi="Verdana"/>
          <w:sz w:val="22"/>
          <w:szCs w:val="22"/>
        </w:rPr>
      </w:pPr>
      <w:r w:rsidRPr="00D66D1D">
        <w:rPr>
          <w:rFonts w:ascii="Verdana" w:hAnsi="Verdana"/>
          <w:sz w:val="22"/>
          <w:szCs w:val="22"/>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r w:rsidRPr="00D66D1D">
        <w:rPr>
          <w:rFonts w:ascii="Verdana" w:hAnsi="Verdana"/>
          <w:sz w:val="22"/>
          <w:szCs w:val="22"/>
          <w:vertAlign w:val="superscript"/>
        </w:rPr>
        <w:t>[3]</w:t>
      </w:r>
    </w:p>
    <w:p w14:paraId="677AC529" w14:textId="77777777" w:rsidR="00D66D1D" w:rsidRPr="00D66D1D" w:rsidRDefault="00D66D1D" w:rsidP="00D66D1D">
      <w:pPr>
        <w:jc w:val="both"/>
        <w:rPr>
          <w:rFonts w:ascii="Verdana" w:hAnsi="Verdana"/>
          <w:sz w:val="22"/>
          <w:szCs w:val="22"/>
        </w:rPr>
      </w:pPr>
      <w:r w:rsidRPr="00D66D1D">
        <w:rPr>
          <w:rFonts w:ascii="Verdana" w:hAnsi="Verdana"/>
          <w:sz w:val="22"/>
          <w:szCs w:val="22"/>
        </w:rPr>
        <w:t>Al respecto, la Corte Constitucional precisó con relación al Código de la Infancia y la Adolescencia que:</w:t>
      </w:r>
    </w:p>
    <w:p w14:paraId="6BEAB26C" w14:textId="3E47B979" w:rsidR="00D66D1D" w:rsidRPr="00D66D1D" w:rsidRDefault="00D66D1D" w:rsidP="00D66D1D">
      <w:pPr>
        <w:jc w:val="both"/>
        <w:rPr>
          <w:rFonts w:ascii="Verdana" w:hAnsi="Verdana"/>
          <w:sz w:val="22"/>
          <w:szCs w:val="22"/>
        </w:rPr>
      </w:pPr>
      <w:r w:rsidRPr="00D66D1D">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r w:rsidRPr="00D66D1D">
        <w:rPr>
          <w:rFonts w:ascii="Verdana" w:hAnsi="Verdana"/>
          <w:i/>
          <w:iCs/>
          <w:sz w:val="22"/>
          <w:szCs w:val="22"/>
          <w:vertAlign w:val="superscript"/>
        </w:rPr>
        <w:t>[4]</w:t>
      </w:r>
    </w:p>
    <w:p w14:paraId="25CBD518" w14:textId="77777777" w:rsidR="00D66D1D" w:rsidRPr="00D66D1D" w:rsidRDefault="00D66D1D" w:rsidP="00D66D1D">
      <w:pPr>
        <w:jc w:val="both"/>
        <w:rPr>
          <w:rFonts w:ascii="Verdana" w:hAnsi="Verdana"/>
          <w:sz w:val="22"/>
          <w:szCs w:val="22"/>
        </w:rPr>
      </w:pPr>
      <w:r w:rsidRPr="00D66D1D">
        <w:rPr>
          <w:rFonts w:ascii="Verdana" w:hAnsi="Verdana"/>
          <w:sz w:val="22"/>
          <w:szCs w:val="22"/>
        </w:rPr>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17BAB6F0" w14:textId="77777777" w:rsidR="00D66D1D" w:rsidRPr="00D66D1D" w:rsidRDefault="00D66D1D" w:rsidP="00D66D1D">
      <w:pPr>
        <w:jc w:val="both"/>
        <w:rPr>
          <w:rFonts w:ascii="Verdana" w:hAnsi="Verdana"/>
          <w:sz w:val="22"/>
          <w:szCs w:val="22"/>
        </w:rPr>
      </w:pPr>
      <w:r w:rsidRPr="00D66D1D">
        <w:rPr>
          <w:rFonts w:ascii="Verdana" w:hAnsi="Verdana"/>
          <w:sz w:val="22"/>
          <w:szCs w:val="22"/>
        </w:rPr>
        <w:t>Al respecto, la Corte Constitucional indicó:</w:t>
      </w:r>
    </w:p>
    <w:p w14:paraId="7108D805" w14:textId="49BA540E" w:rsidR="00D66D1D" w:rsidRPr="00D66D1D" w:rsidRDefault="00D66D1D" w:rsidP="00D66D1D">
      <w:pPr>
        <w:jc w:val="both"/>
        <w:rPr>
          <w:rFonts w:ascii="Verdana" w:hAnsi="Verdana"/>
          <w:sz w:val="22"/>
          <w:szCs w:val="22"/>
        </w:rPr>
      </w:pPr>
      <w:r w:rsidRPr="00D66D1D">
        <w:rPr>
          <w:rFonts w:ascii="Verdana" w:hAnsi="Verdana"/>
          <w:i/>
          <w:iCs/>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D66D1D">
        <w:rPr>
          <w:rFonts w:ascii="Verdana" w:hAnsi="Verdana"/>
          <w:i/>
          <w:iCs/>
          <w:sz w:val="22"/>
          <w:szCs w:val="22"/>
          <w:vertAlign w:val="superscript"/>
        </w:rPr>
        <w:t>[5]</w:t>
      </w:r>
    </w:p>
    <w:p w14:paraId="7B5438EA" w14:textId="4DD1EDF8" w:rsidR="00D66D1D" w:rsidRPr="00D66D1D" w:rsidRDefault="00D66D1D" w:rsidP="00D66D1D">
      <w:pPr>
        <w:jc w:val="both"/>
        <w:rPr>
          <w:rFonts w:ascii="Verdana" w:hAnsi="Verdana"/>
          <w:sz w:val="22"/>
          <w:szCs w:val="22"/>
        </w:rPr>
      </w:pPr>
      <w:r w:rsidRPr="00D66D1D">
        <w:rPr>
          <w:rFonts w:ascii="Verdana" w:hAnsi="Verdana"/>
          <w:sz w:val="22"/>
          <w:szCs w:val="22"/>
        </w:rPr>
        <w:t>En efecto, en el artículo 96 de la Ley 1098 de 2006 se contempla que:</w:t>
      </w:r>
    </w:p>
    <w:p w14:paraId="69186802" w14:textId="77777777" w:rsidR="00D66D1D" w:rsidRPr="00D66D1D" w:rsidRDefault="00D66D1D" w:rsidP="00D66D1D">
      <w:pPr>
        <w:jc w:val="both"/>
        <w:rPr>
          <w:rFonts w:ascii="Verdana" w:hAnsi="Verdana"/>
          <w:sz w:val="22"/>
          <w:szCs w:val="22"/>
        </w:rPr>
      </w:pPr>
      <w:r w:rsidRPr="00D66D1D">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685B106E" w14:textId="77777777" w:rsidR="00D66D1D" w:rsidRPr="00D66D1D" w:rsidRDefault="00D66D1D" w:rsidP="00D66D1D">
      <w:pPr>
        <w:jc w:val="both"/>
        <w:rPr>
          <w:rFonts w:ascii="Verdana" w:hAnsi="Verdana"/>
          <w:sz w:val="22"/>
          <w:szCs w:val="22"/>
        </w:rPr>
      </w:pPr>
      <w:r w:rsidRPr="00D66D1D">
        <w:rPr>
          <w:rFonts w:ascii="Verdana" w:hAnsi="Verdana"/>
          <w:b/>
          <w:bCs/>
          <w:sz w:val="22"/>
          <w:szCs w:val="22"/>
          <w:u w:val="single"/>
        </w:rPr>
        <w:t>2.3. La competencia de la Autoridad Administrativa en materia de restablecimiento de</w:t>
      </w:r>
      <w:r w:rsidRPr="00D66D1D">
        <w:rPr>
          <w:rFonts w:ascii="Verdana" w:hAnsi="Verdana"/>
          <w:b/>
          <w:bCs/>
          <w:sz w:val="22"/>
          <w:szCs w:val="22"/>
        </w:rPr>
        <w:t> </w:t>
      </w:r>
      <w:r w:rsidRPr="00D66D1D">
        <w:rPr>
          <w:rFonts w:ascii="Verdana" w:hAnsi="Verdana"/>
          <w:b/>
          <w:bCs/>
          <w:sz w:val="22"/>
          <w:szCs w:val="22"/>
          <w:u w:val="single"/>
        </w:rPr>
        <w:t>derechos a favor de los niños, niñas y adolescentes.</w:t>
      </w:r>
    </w:p>
    <w:p w14:paraId="089247E5" w14:textId="77777777" w:rsidR="00D66D1D" w:rsidRPr="00D66D1D" w:rsidRDefault="00D66D1D" w:rsidP="00D66D1D">
      <w:pPr>
        <w:jc w:val="both"/>
        <w:rPr>
          <w:rFonts w:ascii="Verdana" w:hAnsi="Verdana"/>
          <w:sz w:val="22"/>
          <w:szCs w:val="22"/>
        </w:rPr>
      </w:pPr>
      <w:r w:rsidRPr="00D66D1D">
        <w:rPr>
          <w:rFonts w:ascii="Verdana" w:hAnsi="Verdana"/>
          <w:sz w:val="22"/>
          <w:szCs w:val="22"/>
        </w:rPr>
        <w:t>En este punto es importante iniciar precisando que la competencia administrativa es la atribución que la ley le otorga a algunas personas u órganos del Estado para conocer y decidir determinados asuntos de la administración pública.</w:t>
      </w:r>
    </w:p>
    <w:p w14:paraId="6EDCE04C" w14:textId="77777777" w:rsidR="00D66D1D" w:rsidRPr="00D66D1D" w:rsidRDefault="00D66D1D" w:rsidP="00D66D1D">
      <w:pPr>
        <w:jc w:val="both"/>
        <w:rPr>
          <w:rFonts w:ascii="Verdana" w:hAnsi="Verdana"/>
          <w:sz w:val="22"/>
          <w:szCs w:val="22"/>
        </w:rPr>
      </w:pPr>
      <w:r w:rsidRPr="00D66D1D">
        <w:rPr>
          <w:rFonts w:ascii="Verdana" w:hAnsi="Verdana"/>
          <w:sz w:val="22"/>
          <w:szCs w:val="22"/>
        </w:rPr>
        <w:lastRenderedPageBreak/>
        <w:t xml:space="preserve">Generalmente, la actividad que desarrollan las autoridades administrativas está determinada por la </w:t>
      </w:r>
      <w:proofErr w:type="gramStart"/>
      <w:r w:rsidRPr="00D66D1D">
        <w:rPr>
          <w:rFonts w:ascii="Verdana" w:hAnsi="Verdana"/>
          <w:sz w:val="22"/>
          <w:szCs w:val="22"/>
        </w:rPr>
        <w:t>ley</w:t>
      </w:r>
      <w:proofErr w:type="gramEnd"/>
      <w:r w:rsidRPr="00D66D1D">
        <w:rPr>
          <w:rFonts w:ascii="Verdana" w:hAnsi="Verdana"/>
          <w:sz w:val="22"/>
          <w:szCs w:val="22"/>
        </w:rPr>
        <w:t xml:space="preserve"> sin embargo, en algunos casos puede presentarse en su ejercicio conflicto entre ellas, bien porque consideren de su competencia el conocimiento de un asunto determinado o porque estiman lo contrario.</w:t>
      </w:r>
    </w:p>
    <w:p w14:paraId="2A95C816" w14:textId="007C7F14" w:rsidR="00D66D1D" w:rsidRPr="00D66D1D" w:rsidRDefault="00D66D1D" w:rsidP="00D66D1D">
      <w:pPr>
        <w:jc w:val="both"/>
        <w:rPr>
          <w:rFonts w:ascii="Verdana" w:hAnsi="Verdana"/>
          <w:sz w:val="22"/>
          <w:szCs w:val="22"/>
        </w:rPr>
      </w:pPr>
      <w:r w:rsidRPr="00D66D1D">
        <w:rPr>
          <w:rFonts w:ascii="Verdana" w:hAnsi="Verdana"/>
          <w:sz w:val="22"/>
          <w:szCs w:val="22"/>
        </w:rPr>
        <w:t>Específicamente respecto a la competencia de las autoridades administrativas en materia de restablecimiento de derechos de los niños, niñas y adolescentes, el artículo 96 de la Ley 1098 de 2006, dispone que:</w:t>
      </w:r>
    </w:p>
    <w:p w14:paraId="4F29ACDD" w14:textId="77777777" w:rsidR="00D66D1D" w:rsidRPr="00D66D1D" w:rsidRDefault="00D66D1D" w:rsidP="00D66D1D">
      <w:pPr>
        <w:jc w:val="both"/>
        <w:rPr>
          <w:rFonts w:ascii="Verdana" w:hAnsi="Verdana"/>
          <w:sz w:val="22"/>
          <w:szCs w:val="22"/>
        </w:rPr>
      </w:pPr>
      <w:r w:rsidRPr="00D66D1D">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0CD96EF5" w14:textId="77777777" w:rsidR="00D66D1D" w:rsidRPr="00D66D1D" w:rsidRDefault="00D66D1D" w:rsidP="00D66D1D">
      <w:pPr>
        <w:jc w:val="both"/>
        <w:rPr>
          <w:rFonts w:ascii="Verdana" w:hAnsi="Verdana"/>
          <w:sz w:val="22"/>
          <w:szCs w:val="22"/>
        </w:rPr>
      </w:pPr>
      <w:r w:rsidRPr="00D66D1D">
        <w:rPr>
          <w:rFonts w:ascii="Verdana" w:hAnsi="Verdana"/>
          <w:i/>
          <w:iCs/>
          <w:sz w:val="22"/>
          <w:szCs w:val="22"/>
        </w:rPr>
        <w:t>El seguimiento de las medidas de protección o de restablecimiento adoptadas por los Defensores y Comisarios de Familia estará a cargo del respectivo coordinador del centro zonal del Instituto Colombiano de Bienestar Familiar.</w:t>
      </w:r>
    </w:p>
    <w:p w14:paraId="0C826A39" w14:textId="400FB54D" w:rsidR="00D66D1D" w:rsidRPr="00D66D1D" w:rsidRDefault="00D66D1D" w:rsidP="00D66D1D">
      <w:pPr>
        <w:jc w:val="both"/>
        <w:rPr>
          <w:rFonts w:ascii="Verdana" w:hAnsi="Verdana"/>
          <w:sz w:val="22"/>
          <w:szCs w:val="22"/>
        </w:rPr>
      </w:pPr>
      <w:r w:rsidRPr="00D66D1D">
        <w:rPr>
          <w:rFonts w:ascii="Verdana" w:hAnsi="Verdana"/>
          <w:sz w:val="22"/>
          <w:szCs w:val="22"/>
        </w:rPr>
        <w:t>Por su parte, el artículo 97 </w:t>
      </w:r>
      <w:proofErr w:type="spellStart"/>
      <w:r w:rsidRPr="00D66D1D">
        <w:rPr>
          <w:rFonts w:ascii="Verdana" w:hAnsi="Verdana"/>
          <w:sz w:val="22"/>
          <w:szCs w:val="22"/>
        </w:rPr>
        <w:t>ibídem</w:t>
      </w:r>
      <w:proofErr w:type="spellEnd"/>
      <w:r w:rsidRPr="00D66D1D">
        <w:rPr>
          <w:rFonts w:ascii="Verdana" w:hAnsi="Verdana"/>
          <w:sz w:val="22"/>
          <w:szCs w:val="22"/>
        </w:rPr>
        <w:t xml:space="preserve"> establece la competencia de </w:t>
      </w:r>
      <w:proofErr w:type="gramStart"/>
      <w:r w:rsidRPr="00D66D1D">
        <w:rPr>
          <w:rFonts w:ascii="Verdana" w:hAnsi="Verdana"/>
          <w:sz w:val="22"/>
          <w:szCs w:val="22"/>
        </w:rPr>
        <w:t>éstos</w:t>
      </w:r>
      <w:proofErr w:type="gramEnd"/>
      <w:r w:rsidRPr="00D66D1D">
        <w:rPr>
          <w:rFonts w:ascii="Verdana" w:hAnsi="Verdana"/>
          <w:sz w:val="22"/>
          <w:szCs w:val="22"/>
        </w:rPr>
        <w:t xml:space="preserve"> funcionarios así:</w:t>
      </w:r>
    </w:p>
    <w:p w14:paraId="0231CF8C" w14:textId="77777777" w:rsidR="00D66D1D" w:rsidRPr="00D66D1D" w:rsidRDefault="00D66D1D" w:rsidP="00D66D1D">
      <w:pPr>
        <w:jc w:val="both"/>
        <w:rPr>
          <w:rFonts w:ascii="Verdana" w:hAnsi="Verdana"/>
          <w:sz w:val="22"/>
          <w:szCs w:val="22"/>
        </w:rPr>
      </w:pPr>
      <w:r w:rsidRPr="00D66D1D">
        <w:rPr>
          <w:rFonts w:ascii="Verdana" w:hAnsi="Verdana"/>
          <w:i/>
          <w:iCs/>
          <w:sz w:val="22"/>
          <w:szCs w:val="22"/>
        </w:rPr>
        <w:t>Será competente la autoridad del lugar donde se encuentre el niño, la niña o el adolescente: pero cuando se encuentre fuera del país, será competente la autoridad del lugar en donde se haya tenido su última residencia dentro del territorio nacional.</w:t>
      </w:r>
    </w:p>
    <w:p w14:paraId="4BF3E23C" w14:textId="7CAB2F19" w:rsidR="00D66D1D" w:rsidRPr="00D66D1D" w:rsidRDefault="00D66D1D" w:rsidP="00D66D1D">
      <w:pPr>
        <w:jc w:val="both"/>
        <w:rPr>
          <w:rFonts w:ascii="Verdana" w:hAnsi="Verdana"/>
          <w:sz w:val="22"/>
          <w:szCs w:val="22"/>
        </w:rPr>
      </w:pPr>
      <w:r w:rsidRPr="00D66D1D">
        <w:rPr>
          <w:rFonts w:ascii="Verdana" w:hAnsi="Verdana"/>
          <w:sz w:val="22"/>
          <w:szCs w:val="22"/>
        </w:rPr>
        <w:t>Ahora bien, el parágrafo 2 del artículo 100 del Código de Infancia y Adolescencia dispone que el Defensor de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663AF05D" w14:textId="36B96F58" w:rsidR="00D66D1D" w:rsidRPr="00D66D1D" w:rsidRDefault="00D66D1D" w:rsidP="00D66D1D">
      <w:pPr>
        <w:jc w:val="both"/>
        <w:rPr>
          <w:rFonts w:ascii="Verdana" w:hAnsi="Verdana"/>
          <w:sz w:val="22"/>
          <w:szCs w:val="22"/>
        </w:rPr>
      </w:pPr>
      <w:r w:rsidRPr="00D66D1D">
        <w:rPr>
          <w:rFonts w:ascii="Verdana" w:hAnsi="Verdana"/>
          <w:sz w:val="22"/>
          <w:szCs w:val="22"/>
        </w:rPr>
        <w:t>Es así como, la Ley 1098 de 2006 establece la competencia de los Jueces de Familia en este Proceso Administrativo y otorga de esta manera una garantía y eficacia para el restablecimiento de los derechos de los menores de edad, mediante la asignación del deber de resolver el caso cuando el Defensor de Familia o el Comisario de Familia hayan perdido competencia.</w:t>
      </w:r>
      <w:r w:rsidRPr="00D66D1D">
        <w:rPr>
          <w:rFonts w:ascii="Verdana" w:hAnsi="Verdana"/>
          <w:sz w:val="22"/>
          <w:szCs w:val="22"/>
          <w:vertAlign w:val="superscript"/>
        </w:rPr>
        <w:t>[6]</w:t>
      </w:r>
      <w:r w:rsidRPr="00D66D1D">
        <w:rPr>
          <w:rFonts w:ascii="Verdana" w:hAnsi="Verdana"/>
          <w:sz w:val="22"/>
          <w:szCs w:val="22"/>
        </w:rPr>
        <w:t> Esta función no es discrecional o facultativa del juez, sino una obligación legal.</w:t>
      </w:r>
    </w:p>
    <w:p w14:paraId="7E240516" w14:textId="77777777" w:rsidR="00D66D1D" w:rsidRPr="00D66D1D" w:rsidRDefault="00D66D1D" w:rsidP="00D66D1D">
      <w:pPr>
        <w:jc w:val="both"/>
        <w:rPr>
          <w:rFonts w:ascii="Verdana" w:hAnsi="Verdana"/>
          <w:sz w:val="22"/>
          <w:szCs w:val="22"/>
        </w:rPr>
      </w:pPr>
      <w:r w:rsidRPr="00D66D1D">
        <w:rPr>
          <w:rFonts w:ascii="Verdana" w:hAnsi="Verdana"/>
          <w:b/>
          <w:bCs/>
          <w:sz w:val="22"/>
          <w:szCs w:val="22"/>
          <w:u w:val="single"/>
        </w:rPr>
        <w:t>2.4. La atención de los niños, niñas y adolescentes que se encuentran en los servicios de protección del ICBF</w:t>
      </w:r>
    </w:p>
    <w:p w14:paraId="46E40D03" w14:textId="77777777" w:rsidR="00D66D1D" w:rsidRPr="00D66D1D" w:rsidRDefault="00D66D1D" w:rsidP="00D66D1D">
      <w:pPr>
        <w:jc w:val="both"/>
        <w:rPr>
          <w:rFonts w:ascii="Verdana" w:hAnsi="Verdana"/>
          <w:sz w:val="22"/>
          <w:szCs w:val="22"/>
        </w:rPr>
      </w:pPr>
      <w:r w:rsidRPr="00D66D1D">
        <w:rPr>
          <w:rFonts w:ascii="Verdana" w:hAnsi="Verdana"/>
          <w:sz w:val="22"/>
          <w:szCs w:val="22"/>
        </w:rPr>
        <w:t>El Lineamiento Técnico de Modalidades Para la Atención de Niños, Niñas y Adolescentes, con Derechos Inobservados, Amenazados o Vulnerados,</w:t>
      </w:r>
      <w:r w:rsidRPr="00D66D1D">
        <w:rPr>
          <w:rFonts w:ascii="Verdana" w:hAnsi="Verdana"/>
          <w:sz w:val="22"/>
          <w:szCs w:val="22"/>
          <w:vertAlign w:val="superscript"/>
        </w:rPr>
        <w:t>[7]</w:t>
      </w:r>
      <w:r w:rsidRPr="00D66D1D">
        <w:rPr>
          <w:rFonts w:ascii="Verdana" w:hAnsi="Verdana"/>
          <w:sz w:val="22"/>
          <w:szCs w:val="22"/>
        </w:rPr>
        <w:t xml:space="preserve"> indica </w:t>
      </w:r>
      <w:proofErr w:type="gramStart"/>
      <w:r w:rsidRPr="00D66D1D">
        <w:rPr>
          <w:rFonts w:ascii="Verdana" w:hAnsi="Verdana"/>
          <w:sz w:val="22"/>
          <w:szCs w:val="22"/>
        </w:rPr>
        <w:t>que</w:t>
      </w:r>
      <w:proofErr w:type="gramEnd"/>
      <w:r w:rsidRPr="00D66D1D">
        <w:rPr>
          <w:rFonts w:ascii="Verdana" w:hAnsi="Verdana"/>
          <w:sz w:val="22"/>
          <w:szCs w:val="22"/>
        </w:rPr>
        <w:t xml:space="preserve"> a través de la atención integral a los niños, las niñas y adolescentes, sus familias de origen o sus redes vinculares, se pretende garantizar la protección </w:t>
      </w:r>
      <w:r w:rsidRPr="00D66D1D">
        <w:rPr>
          <w:rFonts w:ascii="Verdana" w:hAnsi="Verdana"/>
          <w:sz w:val="22"/>
          <w:szCs w:val="22"/>
        </w:rPr>
        <w:lastRenderedPageBreak/>
        <w:t>integral de los menores de edad y generar las condiciones para el efectivo restablecimiento de sus derechos.</w:t>
      </w:r>
    </w:p>
    <w:p w14:paraId="35D3F4D9" w14:textId="446D555A" w:rsidR="00D66D1D" w:rsidRPr="00D66D1D" w:rsidRDefault="00D66D1D" w:rsidP="00D66D1D">
      <w:pPr>
        <w:jc w:val="both"/>
        <w:rPr>
          <w:rFonts w:ascii="Verdana" w:hAnsi="Verdana"/>
          <w:sz w:val="22"/>
          <w:szCs w:val="22"/>
        </w:rPr>
      </w:pPr>
      <w:r w:rsidRPr="00D66D1D">
        <w:rPr>
          <w:rFonts w:ascii="Verdana" w:hAnsi="Verdana"/>
          <w:sz w:val="22"/>
          <w:szCs w:val="22"/>
        </w:rPr>
        <w:t>Así pues, cuando la Autoridad Administrativa da apertura a un Proceso Administrativo de Restablecimiento de Derechos, adopta de manera provisional cualquier medida de las previstas en el artículo 53 de la Ley 1098 de 2006. Por lo tanto, cuando pierde competencia para definir la situación jurídica de un niño, niña o adolescente, el Defensor o Comisario de Familia debe atenerse a la decisión que profiera el Juez de Familia.</w:t>
      </w:r>
    </w:p>
    <w:p w14:paraId="1F64EA9F" w14:textId="77777777" w:rsidR="00D66D1D" w:rsidRPr="00D66D1D" w:rsidRDefault="00D66D1D" w:rsidP="00D66D1D">
      <w:pPr>
        <w:jc w:val="both"/>
        <w:rPr>
          <w:rFonts w:ascii="Verdana" w:hAnsi="Verdana"/>
          <w:sz w:val="22"/>
          <w:szCs w:val="22"/>
        </w:rPr>
      </w:pPr>
      <w:r w:rsidRPr="00D66D1D">
        <w:rPr>
          <w:rFonts w:ascii="Verdana" w:hAnsi="Verdana"/>
          <w:sz w:val="22"/>
          <w:szCs w:val="22"/>
        </w:rPr>
        <w:t>Sin embargo, cuando los menores de edad se encuentran en los servicios de protección del ICBF, el Defensor de Familia tiene la facultad y la obligación legal de garantizar que la atención que se le está brindando al niño, niña o adolescente sea efectiva y acorde con las necesidades de cada caso.</w:t>
      </w:r>
    </w:p>
    <w:p w14:paraId="7D899BAB" w14:textId="77777777" w:rsidR="00D66D1D" w:rsidRPr="00D66D1D" w:rsidRDefault="00D66D1D" w:rsidP="00D66D1D">
      <w:pPr>
        <w:jc w:val="both"/>
        <w:rPr>
          <w:rFonts w:ascii="Verdana" w:hAnsi="Verdana"/>
          <w:sz w:val="22"/>
          <w:szCs w:val="22"/>
        </w:rPr>
      </w:pPr>
      <w:r w:rsidRPr="00D66D1D">
        <w:rPr>
          <w:rFonts w:ascii="Verdana" w:hAnsi="Verdana"/>
          <w:sz w:val="22"/>
          <w:szCs w:val="22"/>
        </w:rPr>
        <w:t xml:space="preserve">Por lo </w:t>
      </w:r>
      <w:proofErr w:type="gramStart"/>
      <w:r w:rsidRPr="00D66D1D">
        <w:rPr>
          <w:rFonts w:ascii="Verdana" w:hAnsi="Verdana"/>
          <w:sz w:val="22"/>
          <w:szCs w:val="22"/>
        </w:rPr>
        <w:t>tanto</w:t>
      </w:r>
      <w:proofErr w:type="gramEnd"/>
      <w:r w:rsidRPr="00D66D1D">
        <w:rPr>
          <w:rFonts w:ascii="Verdana" w:hAnsi="Verdana"/>
          <w:sz w:val="22"/>
          <w:szCs w:val="22"/>
        </w:rPr>
        <w:t xml:space="preserve"> si bien la Autoridad Administrativa ya no tiene competencia para definir la situación legal dentro del Proceso Administrativo de Restablecimiento de Derechos -PARD-, si puede intervenir en todo lo que tenga que ver con la atención de los menores de edad que se encuentren bajo la protección del ICBF, </w:t>
      </w:r>
      <w:proofErr w:type="gramStart"/>
      <w:r w:rsidRPr="00D66D1D">
        <w:rPr>
          <w:rFonts w:ascii="Verdana" w:hAnsi="Verdana"/>
          <w:sz w:val="22"/>
          <w:szCs w:val="22"/>
        </w:rPr>
        <w:t>como</w:t>
      </w:r>
      <w:proofErr w:type="gramEnd"/>
      <w:r w:rsidRPr="00D66D1D">
        <w:rPr>
          <w:rFonts w:ascii="Verdana" w:hAnsi="Verdana"/>
          <w:sz w:val="22"/>
          <w:szCs w:val="22"/>
        </w:rPr>
        <w:t xml:space="preserve"> por ejemplo, la autorización para toma de exámenes, o actividades lúdicas, traslado de institución o hogar sustituto, etc.</w:t>
      </w:r>
    </w:p>
    <w:p w14:paraId="2325DB05" w14:textId="77777777" w:rsidR="00D66D1D" w:rsidRPr="00D66D1D" w:rsidRDefault="00D66D1D" w:rsidP="00D66D1D">
      <w:pPr>
        <w:jc w:val="both"/>
        <w:rPr>
          <w:rFonts w:ascii="Verdana" w:hAnsi="Verdana"/>
          <w:sz w:val="22"/>
          <w:szCs w:val="22"/>
        </w:rPr>
      </w:pPr>
      <w:r w:rsidRPr="00D66D1D">
        <w:rPr>
          <w:rFonts w:ascii="Verdana" w:hAnsi="Verdana"/>
          <w:b/>
          <w:bCs/>
          <w:sz w:val="22"/>
          <w:szCs w:val="22"/>
        </w:rPr>
        <w:t>3. CONCLUSIONES</w:t>
      </w:r>
    </w:p>
    <w:p w14:paraId="7E5017DE" w14:textId="77777777" w:rsidR="00D66D1D" w:rsidRPr="00D66D1D" w:rsidRDefault="00D66D1D" w:rsidP="00D66D1D">
      <w:pPr>
        <w:jc w:val="both"/>
        <w:rPr>
          <w:rFonts w:ascii="Verdana" w:hAnsi="Verdana"/>
          <w:sz w:val="22"/>
          <w:szCs w:val="22"/>
        </w:rPr>
      </w:pPr>
      <w:r w:rsidRPr="00D66D1D">
        <w:rPr>
          <w:rFonts w:ascii="Verdana" w:hAnsi="Verdana"/>
          <w:b/>
          <w:bCs/>
          <w:sz w:val="22"/>
          <w:szCs w:val="22"/>
        </w:rPr>
        <w:t>Primero</w:t>
      </w:r>
      <w:r w:rsidRPr="00D66D1D">
        <w:rPr>
          <w:rFonts w:ascii="Verdana" w:hAnsi="Verdana"/>
          <w:sz w:val="22"/>
          <w:szCs w:val="22"/>
        </w:rPr>
        <w:t>: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 amenazados o inobservados.</w:t>
      </w:r>
    </w:p>
    <w:p w14:paraId="61B0A3AC" w14:textId="77777777" w:rsidR="00D66D1D" w:rsidRPr="00D66D1D" w:rsidRDefault="00D66D1D" w:rsidP="00D66D1D">
      <w:pPr>
        <w:jc w:val="both"/>
        <w:rPr>
          <w:rFonts w:ascii="Verdana" w:hAnsi="Verdana"/>
          <w:sz w:val="22"/>
          <w:szCs w:val="22"/>
        </w:rPr>
      </w:pPr>
      <w:r w:rsidRPr="00D66D1D">
        <w:rPr>
          <w:rFonts w:ascii="Verdana" w:hAnsi="Verdana"/>
          <w:b/>
          <w:bCs/>
          <w:sz w:val="22"/>
          <w:szCs w:val="22"/>
        </w:rPr>
        <w:t>Segundo</w:t>
      </w:r>
      <w:r w:rsidRPr="00D66D1D">
        <w:rPr>
          <w:rFonts w:ascii="Verdana" w:hAnsi="Verdana"/>
          <w:sz w:val="22"/>
          <w:szCs w:val="22"/>
        </w:rPr>
        <w:t>: Cuando los menores de edad se encuentran en los servicios de protección del ICBF y el Defensor o Comisario de Familia pierde competencia para definir el Proceso Administrativo de Restablecimiento de Derechos, éste no pierde la facultad para tomar las decisiones que correspondan dentro del ámbito de la atención que le está brindando el ICBF a los menores de edad que se encuentran bajo su protección y cuidado, como por ejemplo la autorización para toma de exámenes, o actividades lúdicas, traslado de institución o hogar sustituto, etc.</w:t>
      </w:r>
    </w:p>
    <w:p w14:paraId="5083D96C" w14:textId="44CEF02F" w:rsidR="00D66D1D" w:rsidRPr="00D66D1D" w:rsidRDefault="00D66D1D" w:rsidP="00D66D1D">
      <w:pPr>
        <w:jc w:val="both"/>
        <w:rPr>
          <w:rFonts w:ascii="Verdana" w:hAnsi="Verdana"/>
          <w:sz w:val="22"/>
          <w:szCs w:val="22"/>
        </w:rPr>
      </w:pPr>
      <w:r w:rsidRPr="00D66D1D">
        <w:rPr>
          <w:rFonts w:ascii="Verdana" w:hAnsi="Verdana"/>
          <w:sz w:val="22"/>
          <w:szCs w:val="22"/>
        </w:rPr>
        <w:t>Finalmente, es preciso indicar que el presente concepto </w:t>
      </w:r>
      <w:r w:rsidRPr="00D66D1D">
        <w:rPr>
          <w:rFonts w:ascii="Verdana" w:hAnsi="Verdana"/>
          <w:sz w:val="22"/>
          <w:szCs w:val="22"/>
          <w:vertAlign w:val="superscript"/>
        </w:rPr>
        <w:t>[8]</w:t>
      </w:r>
      <w:r w:rsidRPr="00D66D1D">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obstante lo anterior, tiene carácter vinculante para las dependencias internas del Instituto y terceros que colaboren en la prestación del servicio público c en el desarrollo de </w:t>
      </w:r>
      <w:r w:rsidRPr="00D66D1D">
        <w:rPr>
          <w:rFonts w:ascii="Verdana" w:hAnsi="Verdana"/>
          <w:sz w:val="22"/>
          <w:szCs w:val="22"/>
        </w:rPr>
        <w:lastRenderedPageBreak/>
        <w:t>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D38D933" w14:textId="77777777" w:rsidR="00D66D1D" w:rsidRDefault="00D66D1D" w:rsidP="00D66D1D">
      <w:pPr>
        <w:jc w:val="both"/>
        <w:rPr>
          <w:rFonts w:ascii="Verdana" w:hAnsi="Verdana"/>
          <w:sz w:val="22"/>
          <w:szCs w:val="22"/>
        </w:rPr>
      </w:pPr>
      <w:r w:rsidRPr="00D66D1D">
        <w:rPr>
          <w:rFonts w:ascii="Verdana" w:hAnsi="Verdana"/>
          <w:sz w:val="22"/>
          <w:szCs w:val="22"/>
        </w:rPr>
        <w:t>Cordialmente,</w:t>
      </w:r>
    </w:p>
    <w:p w14:paraId="5FAB3228" w14:textId="77777777" w:rsidR="00D66D1D" w:rsidRPr="00D66D1D" w:rsidRDefault="00D66D1D" w:rsidP="00D66D1D">
      <w:pPr>
        <w:jc w:val="both"/>
        <w:rPr>
          <w:rFonts w:ascii="Verdana" w:hAnsi="Verdana"/>
          <w:sz w:val="22"/>
          <w:szCs w:val="22"/>
        </w:rPr>
      </w:pPr>
    </w:p>
    <w:p w14:paraId="38F178FB" w14:textId="77777777" w:rsidR="00D66D1D" w:rsidRPr="00D66D1D" w:rsidRDefault="00D66D1D" w:rsidP="00D66D1D">
      <w:pPr>
        <w:jc w:val="both"/>
        <w:rPr>
          <w:rFonts w:ascii="Verdana" w:hAnsi="Verdana"/>
          <w:sz w:val="22"/>
          <w:szCs w:val="22"/>
        </w:rPr>
      </w:pPr>
      <w:r w:rsidRPr="00D66D1D">
        <w:rPr>
          <w:rFonts w:ascii="Verdana" w:hAnsi="Verdana"/>
          <w:b/>
          <w:bCs/>
          <w:sz w:val="22"/>
          <w:szCs w:val="22"/>
        </w:rPr>
        <w:t>LUZ KARIME FERNANDEZ CASTILLO</w:t>
      </w:r>
    </w:p>
    <w:p w14:paraId="22BB0DFA" w14:textId="77777777" w:rsidR="00D66D1D" w:rsidRPr="00D66D1D" w:rsidRDefault="00D66D1D" w:rsidP="00D66D1D">
      <w:pPr>
        <w:jc w:val="both"/>
        <w:rPr>
          <w:rFonts w:ascii="Verdana" w:hAnsi="Verdana"/>
          <w:sz w:val="22"/>
          <w:szCs w:val="22"/>
        </w:rPr>
      </w:pPr>
      <w:r w:rsidRPr="00D66D1D">
        <w:rPr>
          <w:rFonts w:ascii="Verdana" w:hAnsi="Verdana"/>
          <w:sz w:val="22"/>
          <w:szCs w:val="22"/>
        </w:rPr>
        <w:t>Jefe Oficina Asesora Jurídica</w:t>
      </w:r>
    </w:p>
    <w:p w14:paraId="24BF7899" w14:textId="77777777" w:rsidR="00D66D1D" w:rsidRDefault="00D66D1D" w:rsidP="00D66D1D">
      <w:pPr>
        <w:jc w:val="both"/>
        <w:rPr>
          <w:rFonts w:ascii="Verdana" w:hAnsi="Verdana"/>
          <w:sz w:val="22"/>
          <w:szCs w:val="22"/>
        </w:rPr>
      </w:pPr>
    </w:p>
    <w:p w14:paraId="02601D42" w14:textId="1F3E467D" w:rsidR="00D66D1D" w:rsidRPr="00D66D1D" w:rsidRDefault="00D66D1D" w:rsidP="00D66D1D">
      <w:pPr>
        <w:jc w:val="both"/>
        <w:rPr>
          <w:rFonts w:ascii="Verdana" w:hAnsi="Verdana"/>
          <w:b/>
          <w:bCs/>
          <w:sz w:val="22"/>
          <w:szCs w:val="22"/>
        </w:rPr>
      </w:pPr>
      <w:r w:rsidRPr="00D66D1D">
        <w:rPr>
          <w:rFonts w:ascii="Verdana" w:hAnsi="Verdana"/>
          <w:b/>
          <w:bCs/>
          <w:sz w:val="22"/>
          <w:szCs w:val="22"/>
        </w:rPr>
        <w:t>Notas pie de página:</w:t>
      </w:r>
    </w:p>
    <w:p w14:paraId="006AFC1F" w14:textId="608250BC" w:rsidR="00D66D1D" w:rsidRPr="00D66D1D" w:rsidRDefault="00D66D1D" w:rsidP="00D66D1D">
      <w:pPr>
        <w:jc w:val="both"/>
        <w:rPr>
          <w:rFonts w:ascii="Verdana" w:hAnsi="Verdana"/>
          <w:sz w:val="22"/>
          <w:szCs w:val="22"/>
        </w:rPr>
      </w:pPr>
      <w:r w:rsidRPr="00D66D1D">
        <w:rPr>
          <w:rFonts w:ascii="Verdana" w:hAnsi="Verdana"/>
          <w:sz w:val="22"/>
          <w:szCs w:val="22"/>
        </w:rPr>
        <w:t>1. Resolución No 1526 del 23 de febrero de 2016</w:t>
      </w:r>
    </w:p>
    <w:p w14:paraId="2356D3F5" w14:textId="49E1278E" w:rsidR="00D66D1D" w:rsidRPr="00D66D1D" w:rsidRDefault="00D66D1D" w:rsidP="00D66D1D">
      <w:pPr>
        <w:jc w:val="both"/>
        <w:rPr>
          <w:rFonts w:ascii="Verdana" w:hAnsi="Verdana"/>
          <w:sz w:val="22"/>
          <w:szCs w:val="22"/>
        </w:rPr>
      </w:pPr>
      <w:r w:rsidRPr="00D66D1D">
        <w:rPr>
          <w:rFonts w:ascii="Verdana" w:hAnsi="Verdana"/>
          <w:sz w:val="22"/>
          <w:szCs w:val="22"/>
        </w:rPr>
        <w:t>2. Ley 1098 de 2006</w:t>
      </w:r>
    </w:p>
    <w:p w14:paraId="550E154D" w14:textId="1CF1A2DE" w:rsidR="00D66D1D" w:rsidRPr="00D66D1D" w:rsidRDefault="00D66D1D" w:rsidP="00D66D1D">
      <w:pPr>
        <w:jc w:val="both"/>
        <w:rPr>
          <w:rFonts w:ascii="Verdana" w:hAnsi="Verdana"/>
          <w:sz w:val="22"/>
          <w:szCs w:val="22"/>
        </w:rPr>
      </w:pPr>
      <w:r w:rsidRPr="00D66D1D">
        <w:rPr>
          <w:rFonts w:ascii="Verdana" w:hAnsi="Verdana"/>
          <w:sz w:val="22"/>
          <w:szCs w:val="22"/>
        </w:rPr>
        <w:t>3. Artículo 4o de la Ley 1098 de 2006.</w:t>
      </w:r>
    </w:p>
    <w:p w14:paraId="18541244" w14:textId="67362C3E" w:rsidR="00D66D1D" w:rsidRPr="00D66D1D" w:rsidRDefault="00D66D1D" w:rsidP="00D66D1D">
      <w:pPr>
        <w:jc w:val="both"/>
        <w:rPr>
          <w:rFonts w:ascii="Verdana" w:hAnsi="Verdana"/>
          <w:sz w:val="22"/>
          <w:szCs w:val="22"/>
        </w:rPr>
      </w:pPr>
      <w:r w:rsidRPr="00D66D1D">
        <w:rPr>
          <w:rFonts w:ascii="Verdana" w:hAnsi="Verdana"/>
          <w:sz w:val="22"/>
          <w:szCs w:val="22"/>
        </w:rPr>
        <w:t>4. Corte Constitucional, C- 149 del 11 de marzo de 2009 M.P: Dr. Gabriel Eduardo Mendoza Martelo</w:t>
      </w:r>
    </w:p>
    <w:p w14:paraId="6C4D6A0E" w14:textId="5819158F" w:rsidR="00D66D1D" w:rsidRPr="00D66D1D" w:rsidRDefault="00D66D1D" w:rsidP="00D66D1D">
      <w:pPr>
        <w:jc w:val="both"/>
        <w:rPr>
          <w:rFonts w:ascii="Verdana" w:hAnsi="Verdana"/>
          <w:sz w:val="22"/>
          <w:szCs w:val="22"/>
        </w:rPr>
      </w:pPr>
      <w:r w:rsidRPr="00D66D1D">
        <w:rPr>
          <w:rFonts w:ascii="Verdana" w:hAnsi="Verdana"/>
          <w:sz w:val="22"/>
          <w:szCs w:val="22"/>
        </w:rPr>
        <w:t xml:space="preserve">5. Corte Constitucional, sentencia C-690/08 expediente D-6939. M p Nilson Pinilla </w:t>
      </w:r>
      <w:proofErr w:type="spellStart"/>
      <w:r w:rsidRPr="00D66D1D">
        <w:rPr>
          <w:rFonts w:ascii="Verdana" w:hAnsi="Verdana"/>
          <w:sz w:val="22"/>
          <w:szCs w:val="22"/>
        </w:rPr>
        <w:t>Pinilla</w:t>
      </w:r>
      <w:proofErr w:type="spellEnd"/>
    </w:p>
    <w:p w14:paraId="70EA937E" w14:textId="37C83832" w:rsidR="00D66D1D" w:rsidRPr="00D66D1D" w:rsidRDefault="00D66D1D" w:rsidP="00D66D1D">
      <w:pPr>
        <w:jc w:val="both"/>
        <w:rPr>
          <w:rFonts w:ascii="Verdana" w:hAnsi="Verdana"/>
          <w:sz w:val="22"/>
          <w:szCs w:val="22"/>
        </w:rPr>
      </w:pPr>
      <w:r w:rsidRPr="00D66D1D">
        <w:rPr>
          <w:rFonts w:ascii="Verdana" w:hAnsi="Verdana"/>
          <w:sz w:val="22"/>
          <w:szCs w:val="22"/>
        </w:rPr>
        <w:t>6. Numeral 4 del artículo 119 Ley 1098 de 2006</w:t>
      </w:r>
    </w:p>
    <w:p w14:paraId="72294514" w14:textId="4DD3B5C5" w:rsidR="00D66D1D" w:rsidRPr="00D66D1D" w:rsidRDefault="00D66D1D" w:rsidP="00D66D1D">
      <w:pPr>
        <w:jc w:val="both"/>
        <w:rPr>
          <w:rFonts w:ascii="Verdana" w:hAnsi="Verdana"/>
          <w:sz w:val="22"/>
          <w:szCs w:val="22"/>
        </w:rPr>
      </w:pPr>
      <w:r w:rsidRPr="00D66D1D">
        <w:rPr>
          <w:rFonts w:ascii="Verdana" w:hAnsi="Verdana"/>
          <w:sz w:val="22"/>
          <w:szCs w:val="22"/>
        </w:rPr>
        <w:t>7. Aprobado mediante Resolución No 1520 de febrero 23 de 2016 Modificado mediante Resolución No 5663 de junio 22 de 2016 modificado mediante Resolución No 7960 de agosto 10 de 2016 Modificado mediante Resolución No. 13366 de diciembre 23 de 2016 Modificado mediante Resolución No. 244 de enero 20 de 2017</w:t>
      </w:r>
    </w:p>
    <w:p w14:paraId="344BF74B" w14:textId="31EAC258" w:rsidR="00D66D1D" w:rsidRPr="00D66D1D" w:rsidRDefault="00D66D1D" w:rsidP="00D66D1D">
      <w:pPr>
        <w:jc w:val="both"/>
        <w:rPr>
          <w:rFonts w:ascii="Verdana" w:hAnsi="Verdana"/>
          <w:sz w:val="22"/>
          <w:szCs w:val="22"/>
        </w:rPr>
      </w:pPr>
      <w:r w:rsidRPr="00D66D1D">
        <w:rPr>
          <w:rFonts w:ascii="Verdana" w:hAnsi="Verdana"/>
          <w:sz w:val="22"/>
          <w:szCs w:val="22"/>
        </w:rPr>
        <w:t xml:space="preserve">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w:t>
      </w:r>
      <w:r w:rsidRPr="00D66D1D">
        <w:rPr>
          <w:rFonts w:ascii="Verdana" w:hAnsi="Verdana"/>
          <w:sz w:val="22"/>
          <w:szCs w:val="22"/>
        </w:rPr>
        <w:lastRenderedPageBreak/>
        <w:t>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056B4B6F" w14:textId="77777777" w:rsidR="00D66D1D" w:rsidRPr="00D66D1D" w:rsidRDefault="00D66D1D" w:rsidP="00D66D1D">
      <w:pPr>
        <w:jc w:val="both"/>
      </w:pPr>
    </w:p>
    <w:sectPr w:rsidR="00D66D1D" w:rsidRPr="00D66D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1D"/>
    <w:rsid w:val="00D66D1D"/>
    <w:rsid w:val="00FD5B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2C92"/>
  <w15:chartTrackingRefBased/>
  <w15:docId w15:val="{30BDA343-FEC1-491C-8E09-37C196D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6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6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6D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6D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6D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6D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6D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6D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6D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6D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6D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6D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6D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6D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6D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6D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6D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6D1D"/>
    <w:rPr>
      <w:rFonts w:eastAsiaTheme="majorEastAsia" w:cstheme="majorBidi"/>
      <w:color w:val="272727" w:themeColor="text1" w:themeTint="D8"/>
    </w:rPr>
  </w:style>
  <w:style w:type="paragraph" w:styleId="Ttulo">
    <w:name w:val="Title"/>
    <w:basedOn w:val="Normal"/>
    <w:next w:val="Normal"/>
    <w:link w:val="TtuloCar"/>
    <w:uiPriority w:val="10"/>
    <w:qFormat/>
    <w:rsid w:val="00D6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6D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6D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6D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6D1D"/>
    <w:pPr>
      <w:spacing w:before="160"/>
      <w:jc w:val="center"/>
    </w:pPr>
    <w:rPr>
      <w:i/>
      <w:iCs/>
      <w:color w:val="404040" w:themeColor="text1" w:themeTint="BF"/>
    </w:rPr>
  </w:style>
  <w:style w:type="character" w:customStyle="1" w:styleId="CitaCar">
    <w:name w:val="Cita Car"/>
    <w:basedOn w:val="Fuentedeprrafopredeter"/>
    <w:link w:val="Cita"/>
    <w:uiPriority w:val="29"/>
    <w:rsid w:val="00D66D1D"/>
    <w:rPr>
      <w:i/>
      <w:iCs/>
      <w:color w:val="404040" w:themeColor="text1" w:themeTint="BF"/>
    </w:rPr>
  </w:style>
  <w:style w:type="paragraph" w:styleId="Prrafodelista">
    <w:name w:val="List Paragraph"/>
    <w:basedOn w:val="Normal"/>
    <w:uiPriority w:val="34"/>
    <w:qFormat/>
    <w:rsid w:val="00D66D1D"/>
    <w:pPr>
      <w:ind w:left="720"/>
      <w:contextualSpacing/>
    </w:pPr>
  </w:style>
  <w:style w:type="character" w:styleId="nfasisintenso">
    <w:name w:val="Intense Emphasis"/>
    <w:basedOn w:val="Fuentedeprrafopredeter"/>
    <w:uiPriority w:val="21"/>
    <w:qFormat/>
    <w:rsid w:val="00D66D1D"/>
    <w:rPr>
      <w:i/>
      <w:iCs/>
      <w:color w:val="0F4761" w:themeColor="accent1" w:themeShade="BF"/>
    </w:rPr>
  </w:style>
  <w:style w:type="paragraph" w:styleId="Citadestacada">
    <w:name w:val="Intense Quote"/>
    <w:basedOn w:val="Normal"/>
    <w:next w:val="Normal"/>
    <w:link w:val="CitadestacadaCar"/>
    <w:uiPriority w:val="30"/>
    <w:qFormat/>
    <w:rsid w:val="00D66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6D1D"/>
    <w:rPr>
      <w:i/>
      <w:iCs/>
      <w:color w:val="0F4761" w:themeColor="accent1" w:themeShade="BF"/>
    </w:rPr>
  </w:style>
  <w:style w:type="character" w:styleId="Referenciaintensa">
    <w:name w:val="Intense Reference"/>
    <w:basedOn w:val="Fuentedeprrafopredeter"/>
    <w:uiPriority w:val="32"/>
    <w:qFormat/>
    <w:rsid w:val="00D66D1D"/>
    <w:rPr>
      <w:b/>
      <w:bCs/>
      <w:smallCaps/>
      <w:color w:val="0F4761" w:themeColor="accent1" w:themeShade="BF"/>
      <w:spacing w:val="5"/>
    </w:rPr>
  </w:style>
  <w:style w:type="character" w:styleId="Hipervnculo">
    <w:name w:val="Hyperlink"/>
    <w:basedOn w:val="Fuentedeprrafopredeter"/>
    <w:uiPriority w:val="99"/>
    <w:unhideWhenUsed/>
    <w:rsid w:val="00D66D1D"/>
    <w:rPr>
      <w:color w:val="467886" w:themeColor="hyperlink"/>
      <w:u w:val="single"/>
    </w:rPr>
  </w:style>
  <w:style w:type="character" w:styleId="Mencinsinresolver">
    <w:name w:val="Unresolved Mention"/>
    <w:basedOn w:val="Fuentedeprrafopredeter"/>
    <w:uiPriority w:val="99"/>
    <w:semiHidden/>
    <w:unhideWhenUsed/>
    <w:rsid w:val="00D66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30FD1-43A7-4FED-AED5-539F527D5C81}"/>
</file>

<file path=customXml/itemProps2.xml><?xml version="1.0" encoding="utf-8"?>
<ds:datastoreItem xmlns:ds="http://schemas.openxmlformats.org/officeDocument/2006/customXml" ds:itemID="{7391CE81-7E2C-48A7-8610-FB39311E21AD}"/>
</file>

<file path=customXml/itemProps3.xml><?xml version="1.0" encoding="utf-8"?>
<ds:datastoreItem xmlns:ds="http://schemas.openxmlformats.org/officeDocument/2006/customXml" ds:itemID="{CE440A53-8529-4643-A351-600DD734871C}"/>
</file>

<file path=docProps/app.xml><?xml version="1.0" encoding="utf-8"?>
<Properties xmlns="http://schemas.openxmlformats.org/officeDocument/2006/extended-properties" xmlns:vt="http://schemas.openxmlformats.org/officeDocument/2006/docPropsVTypes">
  <Template>Normal</Template>
  <TotalTime>1</TotalTime>
  <Pages>1</Pages>
  <Words>2313</Words>
  <Characters>12726</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2026-04-28T20:54:00Z</dcterms:created>
  <dcterms:modified xsi:type="dcterms:W3CDTF">2026-04-28T20:55:00Z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