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8D51" w14:textId="77777777" w:rsidR="00D21D76" w:rsidRPr="00D21D76" w:rsidRDefault="00D21D76" w:rsidP="00D21D76">
      <w:pPr>
        <w:jc w:val="center"/>
        <w:rPr>
          <w:rFonts w:ascii="Verdana" w:hAnsi="Verdana"/>
          <w:sz w:val="22"/>
          <w:szCs w:val="22"/>
        </w:rPr>
      </w:pPr>
      <w:r w:rsidRPr="00D21D76">
        <w:rPr>
          <w:rFonts w:ascii="Verdana" w:hAnsi="Verdana"/>
          <w:b/>
          <w:bCs/>
          <w:sz w:val="22"/>
          <w:szCs w:val="22"/>
        </w:rPr>
        <w:t>CONCEPTO 27 DE 2017</w:t>
      </w:r>
    </w:p>
    <w:p w14:paraId="0CA05E81" w14:textId="77777777" w:rsidR="00D21D76" w:rsidRPr="00D21D76" w:rsidRDefault="00D21D76" w:rsidP="00D21D76">
      <w:pPr>
        <w:jc w:val="center"/>
        <w:rPr>
          <w:rFonts w:ascii="Verdana" w:hAnsi="Verdana"/>
          <w:sz w:val="22"/>
          <w:szCs w:val="22"/>
        </w:rPr>
      </w:pPr>
      <w:r w:rsidRPr="00D21D76">
        <w:rPr>
          <w:rFonts w:ascii="Verdana" w:hAnsi="Verdana"/>
          <w:sz w:val="22"/>
          <w:szCs w:val="22"/>
        </w:rPr>
        <w:t>(marzo 21)</w:t>
      </w:r>
    </w:p>
    <w:p w14:paraId="2A1F7B8D" w14:textId="77777777" w:rsidR="00D21D76" w:rsidRPr="00D21D76" w:rsidRDefault="00D21D76" w:rsidP="00D21D76">
      <w:pPr>
        <w:jc w:val="center"/>
        <w:rPr>
          <w:rFonts w:ascii="Verdana" w:hAnsi="Verdana"/>
          <w:sz w:val="22"/>
          <w:szCs w:val="22"/>
        </w:rPr>
      </w:pPr>
      <w:r w:rsidRPr="00D21D76">
        <w:rPr>
          <w:rFonts w:ascii="Verdana" w:hAnsi="Verdana"/>
          <w:b/>
          <w:bCs/>
          <w:sz w:val="22"/>
          <w:szCs w:val="22"/>
        </w:rPr>
        <w:t>INSTITUTO COLOMBIANO DE BIENESTAR FAMILIAR</w:t>
      </w:r>
    </w:p>
    <w:p w14:paraId="5AF7076D" w14:textId="77777777" w:rsidR="00D21D76" w:rsidRPr="00D21D76" w:rsidRDefault="00D21D76" w:rsidP="00D21D76">
      <w:pPr>
        <w:jc w:val="both"/>
        <w:rPr>
          <w:rFonts w:ascii="Verdana" w:hAnsi="Verdana"/>
          <w:sz w:val="22"/>
          <w:szCs w:val="22"/>
        </w:rPr>
      </w:pPr>
      <w:r w:rsidRPr="00D21D76">
        <w:rPr>
          <w:rFonts w:ascii="Verdana" w:hAnsi="Verdana"/>
          <w:sz w:val="22"/>
          <w:szCs w:val="22"/>
        </w:rPr>
        <w:t>ASUNTO: Solicitud de concepto de acuerdo ha radicado en el ICBF No. 096194 del 28 de febrero de 2017.</w:t>
      </w:r>
    </w:p>
    <w:p w14:paraId="51E4D470" w14:textId="2CEE9987" w:rsidR="00D21D76" w:rsidRPr="00D21D76" w:rsidRDefault="00D21D76" w:rsidP="00D21D76">
      <w:pPr>
        <w:jc w:val="both"/>
        <w:rPr>
          <w:rFonts w:ascii="Verdana" w:hAnsi="Verdana"/>
          <w:sz w:val="22"/>
          <w:szCs w:val="22"/>
        </w:rPr>
      </w:pPr>
      <w:r w:rsidRPr="00D21D76">
        <w:rPr>
          <w:rFonts w:ascii="Verdana" w:hAnsi="Verdana"/>
          <w:sz w:val="22"/>
          <w:szCs w:val="22"/>
        </w:rPr>
        <w:t>De manera atenta, en relación con el asunto de la referencia, en los términos previstos en los artículos 26 del Código Civil, Ley 1755 de 2015, y el artículo 6</w:t>
      </w:r>
      <w:r w:rsidRPr="00D21D76">
        <w:rPr>
          <w:rFonts w:ascii="Verdana" w:hAnsi="Verdana"/>
          <w:sz w:val="22"/>
          <w:szCs w:val="22"/>
          <w:vertAlign w:val="superscript"/>
        </w:rPr>
        <w:t>o</w:t>
      </w:r>
      <w:r w:rsidRPr="00D21D76">
        <w:rPr>
          <w:rFonts w:ascii="Verdana" w:hAnsi="Verdana"/>
          <w:sz w:val="22"/>
          <w:szCs w:val="22"/>
        </w:rPr>
        <w:t>, numeral 4, del Decreto 987 de 2012, se responde la consulta, sobre el caso en cuestión, en los términos que siguen:</w:t>
      </w:r>
    </w:p>
    <w:p w14:paraId="52B69F7C" w14:textId="77777777" w:rsidR="00D21D76" w:rsidRPr="00D21D76" w:rsidRDefault="00D21D76" w:rsidP="00D21D76">
      <w:pPr>
        <w:jc w:val="both"/>
        <w:rPr>
          <w:rFonts w:ascii="Verdana" w:hAnsi="Verdana"/>
          <w:sz w:val="22"/>
          <w:szCs w:val="22"/>
        </w:rPr>
      </w:pPr>
      <w:r w:rsidRPr="00D21D76">
        <w:rPr>
          <w:rFonts w:ascii="Verdana" w:hAnsi="Verdana"/>
          <w:b/>
          <w:bCs/>
          <w:sz w:val="22"/>
          <w:szCs w:val="22"/>
          <w:u w:val="single"/>
        </w:rPr>
        <w:t>1. PROBLEMA JURÍDICO</w:t>
      </w:r>
    </w:p>
    <w:p w14:paraId="431126DF" w14:textId="57894AC9" w:rsidR="00D21D76" w:rsidRPr="00D21D76" w:rsidRDefault="00D21D76" w:rsidP="00D21D76">
      <w:pPr>
        <w:jc w:val="both"/>
        <w:rPr>
          <w:rFonts w:ascii="Verdana" w:hAnsi="Verdana"/>
          <w:sz w:val="22"/>
          <w:szCs w:val="22"/>
        </w:rPr>
      </w:pPr>
      <w:r w:rsidRPr="00D21D76">
        <w:rPr>
          <w:rFonts w:ascii="Verdana" w:hAnsi="Verdana"/>
          <w:sz w:val="22"/>
          <w:szCs w:val="22"/>
        </w:rPr>
        <w:t>¿Pueden los Comisarios de Familia en virtud de la competencia subsidiaria, promover los procesos judiciales de que trata el artículo 82 numeral 11 de la Ley 1098 de 2006, cuando estos han adelantado las conciliaciones de los usuarios que solicitan dicha intervención?</w:t>
      </w:r>
    </w:p>
    <w:p w14:paraId="040D1627" w14:textId="77777777" w:rsidR="00D21D76" w:rsidRPr="00D21D76" w:rsidRDefault="00D21D76" w:rsidP="00D21D76">
      <w:pPr>
        <w:jc w:val="both"/>
        <w:rPr>
          <w:rFonts w:ascii="Verdana" w:hAnsi="Verdana"/>
          <w:sz w:val="22"/>
          <w:szCs w:val="22"/>
        </w:rPr>
      </w:pPr>
      <w:r w:rsidRPr="00D21D76">
        <w:rPr>
          <w:rFonts w:ascii="Verdana" w:hAnsi="Verdana"/>
          <w:b/>
          <w:bCs/>
          <w:sz w:val="22"/>
          <w:szCs w:val="22"/>
          <w:u w:val="single"/>
        </w:rPr>
        <w:t>2. ANÁLISIS DEL PROBLEMA JURÍDICO</w:t>
      </w:r>
    </w:p>
    <w:p w14:paraId="0517812E" w14:textId="77777777" w:rsidR="00D21D76" w:rsidRPr="00D21D76" w:rsidRDefault="00D21D76" w:rsidP="00D21D76">
      <w:pPr>
        <w:jc w:val="both"/>
        <w:rPr>
          <w:rFonts w:ascii="Verdana" w:hAnsi="Verdana"/>
          <w:sz w:val="22"/>
          <w:szCs w:val="22"/>
        </w:rPr>
      </w:pPr>
      <w:r w:rsidRPr="00D21D76">
        <w:rPr>
          <w:rFonts w:ascii="Verdana" w:hAnsi="Verdana"/>
          <w:sz w:val="22"/>
          <w:szCs w:val="22"/>
        </w:rPr>
        <w:t>Se abordará el tema analizando: (2.1) naturaleza y funciones de las Comisarías de familia; (2.2) Sobre la competencia de las autoridades administrativas para conocer del proceso administrativo de restablecimiento de derechos y la Competencia Subsidiaria de las Comisarias de Familia y (2.3) Las preguntas en concreto.</w:t>
      </w:r>
    </w:p>
    <w:p w14:paraId="71C37F39" w14:textId="77777777" w:rsidR="00D21D76" w:rsidRPr="00D21D76" w:rsidRDefault="00D21D76" w:rsidP="00D21D76">
      <w:pPr>
        <w:jc w:val="both"/>
        <w:rPr>
          <w:rFonts w:ascii="Verdana" w:hAnsi="Verdana"/>
          <w:sz w:val="22"/>
          <w:szCs w:val="22"/>
        </w:rPr>
      </w:pPr>
      <w:r w:rsidRPr="00D21D76">
        <w:rPr>
          <w:rFonts w:ascii="Verdana" w:hAnsi="Verdana"/>
          <w:b/>
          <w:bCs/>
          <w:sz w:val="22"/>
          <w:szCs w:val="22"/>
          <w:u w:val="single"/>
        </w:rPr>
        <w:t>2.1. Naturaleza y funciones en las Comisarias de Familia</w:t>
      </w:r>
    </w:p>
    <w:p w14:paraId="73F4B2C7" w14:textId="77777777" w:rsidR="00D21D76" w:rsidRPr="00D21D76" w:rsidRDefault="00D21D76" w:rsidP="00D21D76">
      <w:pPr>
        <w:jc w:val="both"/>
        <w:rPr>
          <w:rFonts w:ascii="Verdana" w:hAnsi="Verdana"/>
          <w:sz w:val="22"/>
          <w:szCs w:val="22"/>
        </w:rPr>
      </w:pPr>
      <w:r w:rsidRPr="00D21D76">
        <w:rPr>
          <w:rFonts w:ascii="Verdana" w:hAnsi="Verdana"/>
          <w:sz w:val="22"/>
          <w:szCs w:val="22"/>
        </w:rPr>
        <w:t>Las Comisarías de Familia fueron creadas por el Decreto 2737 de 1989,</w:t>
      </w:r>
      <w:r w:rsidRPr="00D21D76">
        <w:rPr>
          <w:rFonts w:ascii="Verdana" w:hAnsi="Verdana"/>
          <w:sz w:val="22"/>
          <w:szCs w:val="22"/>
          <w:vertAlign w:val="superscript"/>
        </w:rPr>
        <w:t>[1]</w:t>
      </w:r>
      <w:r w:rsidRPr="00D21D76">
        <w:rPr>
          <w:rFonts w:ascii="Verdana" w:hAnsi="Verdana"/>
          <w:sz w:val="22"/>
          <w:szCs w:val="22"/>
        </w:rPr>
        <w:t>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0D7B6CEA" w14:textId="57D49A1E" w:rsidR="00D21D76" w:rsidRPr="00D21D76" w:rsidRDefault="00D21D76" w:rsidP="00D21D76">
      <w:pPr>
        <w:jc w:val="both"/>
        <w:rPr>
          <w:rFonts w:ascii="Verdana" w:hAnsi="Verdana"/>
          <w:sz w:val="22"/>
          <w:szCs w:val="22"/>
        </w:rPr>
      </w:pPr>
      <w:r w:rsidRPr="00D21D76">
        <w:rPr>
          <w:rFonts w:ascii="Verdana" w:hAnsi="Verdana"/>
          <w:sz w:val="22"/>
          <w:szCs w:val="22"/>
        </w:rPr>
        <w:t>Corno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o dispuesto en los numerales 1, 4 y 5 del Artículo 86 de la Ley 1098 de 2006 y Decreto 1069 de 2015 (Decreto único reglamentario del sector justicia y del derecho).</w:t>
      </w:r>
    </w:p>
    <w:p w14:paraId="530E00C8" w14:textId="686E6241" w:rsidR="00D21D76" w:rsidRPr="00D21D76" w:rsidRDefault="00D21D76" w:rsidP="00D21D76">
      <w:pPr>
        <w:jc w:val="both"/>
        <w:rPr>
          <w:rFonts w:ascii="Verdana" w:hAnsi="Verdana"/>
          <w:sz w:val="22"/>
          <w:szCs w:val="22"/>
        </w:rPr>
      </w:pPr>
      <w:r w:rsidRPr="00D21D76">
        <w:rPr>
          <w:rFonts w:ascii="Verdana" w:hAnsi="Verdana"/>
          <w:sz w:val="22"/>
          <w:szCs w:val="22"/>
        </w:rPr>
        <w:t xml:space="preserve">Como autoridad Administrativa de orden policivo ejercen la vigilancia, protección, promoción, control y sanción en relación con las normas protectoras </w:t>
      </w:r>
      <w:r w:rsidRPr="00D21D76">
        <w:rPr>
          <w:rFonts w:ascii="Verdana" w:hAnsi="Verdana"/>
          <w:sz w:val="22"/>
          <w:szCs w:val="22"/>
        </w:rPr>
        <w:lastRenderedPageBreak/>
        <w:t xml:space="preserve">de la familia, la niñez, la mujer, la juventud y la tercera edad, de conformidad con el numeral 9 del artículo 86, en concordancia con los arts. 106 y 190 de la Ley 1098 de 2006 y Código General del Proceso y </w:t>
      </w:r>
      <w:proofErr w:type="gramStart"/>
      <w:r w:rsidRPr="00D21D76">
        <w:rPr>
          <w:rFonts w:ascii="Verdana" w:hAnsi="Verdana"/>
          <w:sz w:val="22"/>
          <w:szCs w:val="22"/>
        </w:rPr>
        <w:t>de acuerdo a</w:t>
      </w:r>
      <w:proofErr w:type="gramEnd"/>
      <w:r w:rsidRPr="00D21D76">
        <w:rPr>
          <w:rFonts w:ascii="Verdana" w:hAnsi="Verdana"/>
          <w:sz w:val="22"/>
          <w:szCs w:val="22"/>
        </w:rPr>
        <w:t xml:space="preserve"> las funciones o a las competencias que en cada caso particular le asignen los Concejos municipales o distritales.</w:t>
      </w:r>
    </w:p>
    <w:p w14:paraId="5B40E633" w14:textId="22729D96" w:rsidR="00D21D76" w:rsidRPr="00D21D76" w:rsidRDefault="00D21D76" w:rsidP="00D21D76">
      <w:pPr>
        <w:jc w:val="both"/>
        <w:rPr>
          <w:rFonts w:ascii="Verdana" w:hAnsi="Verdana"/>
          <w:sz w:val="22"/>
          <w:szCs w:val="22"/>
        </w:rPr>
      </w:pPr>
      <w:r w:rsidRPr="00D21D76">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63CC21CB" w14:textId="619A7B52" w:rsidR="00D21D76" w:rsidRPr="00D21D76" w:rsidRDefault="00D21D76" w:rsidP="00D21D76">
      <w:pPr>
        <w:jc w:val="both"/>
        <w:rPr>
          <w:rFonts w:ascii="Verdana" w:hAnsi="Verdana"/>
          <w:sz w:val="22"/>
          <w:szCs w:val="22"/>
        </w:rPr>
      </w:pPr>
      <w:r w:rsidRPr="00D21D76">
        <w:rPr>
          <w:rFonts w:ascii="Verdana" w:hAnsi="Verdana"/>
          <w:sz w:val="22"/>
          <w:szCs w:val="22"/>
        </w:rPr>
        <w:t>La Ley 1098 de 2006 </w:t>
      </w:r>
      <w:r w:rsidRPr="00D21D76">
        <w:rPr>
          <w:rFonts w:ascii="Verdana" w:hAnsi="Verdana"/>
          <w:sz w:val="22"/>
          <w:szCs w:val="22"/>
          <w:vertAlign w:val="superscript"/>
        </w:rPr>
        <w:t>[2]</w:t>
      </w:r>
      <w:r w:rsidRPr="00D21D76">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29395ED6" w14:textId="77777777" w:rsidR="00D21D76" w:rsidRPr="00D21D76" w:rsidRDefault="00D21D76" w:rsidP="00D21D76">
      <w:pPr>
        <w:jc w:val="both"/>
        <w:rPr>
          <w:rFonts w:ascii="Verdana" w:hAnsi="Verdana"/>
          <w:sz w:val="22"/>
          <w:szCs w:val="22"/>
        </w:rPr>
      </w:pPr>
      <w:r w:rsidRPr="00D21D76">
        <w:rPr>
          <w:rFonts w:ascii="Verdana" w:hAnsi="Verdana"/>
          <w:b/>
          <w:bCs/>
          <w:sz w:val="22"/>
          <w:szCs w:val="22"/>
          <w:u w:val="single"/>
        </w:rPr>
        <w:t>(2.2) Sobre la competencia de las autoridades administrativas para conocer del proceso administrativo de restablecimiento de derechos y la competencia Subsidiaria de las Comisarias de Familia</w:t>
      </w:r>
    </w:p>
    <w:p w14:paraId="18F7F569" w14:textId="72C86D74" w:rsidR="00D21D76" w:rsidRPr="00D21D76" w:rsidRDefault="00D21D76" w:rsidP="00D21D76">
      <w:pPr>
        <w:jc w:val="both"/>
        <w:rPr>
          <w:rFonts w:ascii="Verdana" w:hAnsi="Verdana"/>
          <w:sz w:val="22"/>
          <w:szCs w:val="22"/>
        </w:rPr>
      </w:pPr>
      <w:r w:rsidRPr="00D21D76">
        <w:rPr>
          <w:rFonts w:ascii="Verdana" w:hAnsi="Verdana"/>
          <w:sz w:val="22"/>
          <w:szCs w:val="22"/>
        </w:rPr>
        <w:t>El Código de la Infancia y la Adolescencia en su artículo 82, numerales 11 y 12 contempla la intervención del Defensor de Familia en los procesos y trámites judiciales en defensa de los niños, niñas y adolescentes en los que se discutan sus derechos, así mismo, para representar a los niños, las niñas o los adolescentes en las actuaciones judiciales o administrativas cuando no asista su representante legal o cuando éste sea quien amenaza o vulnera sus derechos.</w:t>
      </w:r>
    </w:p>
    <w:p w14:paraId="7B8E836D" w14:textId="18D3D925" w:rsidR="00D21D76" w:rsidRPr="00D21D76" w:rsidRDefault="00D21D76" w:rsidP="00D21D76">
      <w:pPr>
        <w:jc w:val="both"/>
        <w:rPr>
          <w:rFonts w:ascii="Verdana" w:hAnsi="Verdana"/>
          <w:sz w:val="22"/>
          <w:szCs w:val="22"/>
        </w:rPr>
      </w:pPr>
      <w:r w:rsidRPr="00D21D76">
        <w:rPr>
          <w:rFonts w:ascii="Verdana" w:hAnsi="Verdana"/>
          <w:sz w:val="22"/>
          <w:szCs w:val="22"/>
        </w:rPr>
        <w:t>Las funciones del Defensor de Familia, relacionadas con la representación judicial en su jurisdicción, donde se debaten derechos de los niños, las niñas y los adolescentes, tienen un fundamento de rango constitucional conforme a lo dispuesto en los artículos 5, 42 y 44, al amparar y proteger la familia como institución básica de la sociedad y proteger los derechos fundamentales de los niños.</w:t>
      </w:r>
    </w:p>
    <w:p w14:paraId="2554D4FA" w14:textId="7D4FA041" w:rsidR="00D21D76" w:rsidRPr="00D21D76" w:rsidRDefault="00D21D76" w:rsidP="00D21D76">
      <w:pPr>
        <w:jc w:val="both"/>
        <w:rPr>
          <w:rFonts w:ascii="Verdana" w:hAnsi="Verdana"/>
          <w:sz w:val="22"/>
          <w:szCs w:val="22"/>
        </w:rPr>
      </w:pPr>
      <w:r w:rsidRPr="00D21D76">
        <w:rPr>
          <w:rFonts w:ascii="Verdana" w:hAnsi="Verdana"/>
          <w:sz w:val="22"/>
          <w:szCs w:val="22"/>
        </w:rPr>
        <w:t>Antes de la expedición de la Ley 1098 de 2006, la función de representación judicial era exclusiva del Defensor de Familia, pero a raíz de la llamada "Competencia Subsidiaria" de manera automática se trasladó esta función al Comisario de Familia, pues la norma expresamente dice que en los municipios en donde no haya Defensorías de Familia, las funciones de éste, estarán en cabeza del Comisario de Familia, en ausencia de este último, las funciones asignadas al Defensor y al Comisario de Familia corresponderán al Inspector de Policía.</w:t>
      </w:r>
    </w:p>
    <w:p w14:paraId="427B2F58" w14:textId="733890DD" w:rsidR="00D21D76" w:rsidRPr="00D21D76" w:rsidRDefault="00D21D76" w:rsidP="00D21D76">
      <w:pPr>
        <w:jc w:val="both"/>
        <w:rPr>
          <w:rFonts w:ascii="Verdana" w:hAnsi="Verdana"/>
          <w:sz w:val="22"/>
          <w:szCs w:val="22"/>
        </w:rPr>
      </w:pPr>
      <w:r w:rsidRPr="00D21D76">
        <w:rPr>
          <w:rFonts w:ascii="Verdana" w:hAnsi="Verdana"/>
          <w:sz w:val="22"/>
          <w:szCs w:val="22"/>
        </w:rPr>
        <w:lastRenderedPageBreak/>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0AD42979" w14:textId="77777777" w:rsidR="00D21D76" w:rsidRPr="00D21D76" w:rsidRDefault="00D21D76" w:rsidP="00D21D76">
      <w:pPr>
        <w:jc w:val="both"/>
        <w:rPr>
          <w:rFonts w:ascii="Verdana" w:hAnsi="Verdana"/>
          <w:sz w:val="22"/>
          <w:szCs w:val="22"/>
        </w:rPr>
      </w:pPr>
      <w:r w:rsidRPr="00D21D76">
        <w:rPr>
          <w:rFonts w:ascii="Verdana" w:hAnsi="Verdana"/>
          <w:sz w:val="22"/>
          <w:szCs w:val="22"/>
        </w:rPr>
        <w:t xml:space="preserve">En ese sentido, la competencia que se le otorga al Comisario de Familia de asumir las funciones del Defensor de Familia es de carácter supletorio, en el entendido </w:t>
      </w:r>
      <w:proofErr w:type="gramStart"/>
      <w:r w:rsidRPr="00D21D76">
        <w:rPr>
          <w:rFonts w:ascii="Verdana" w:hAnsi="Verdana"/>
          <w:sz w:val="22"/>
          <w:szCs w:val="22"/>
        </w:rPr>
        <w:t>que</w:t>
      </w:r>
      <w:proofErr w:type="gramEnd"/>
      <w:r w:rsidRPr="00D21D76">
        <w:rPr>
          <w:rFonts w:ascii="Verdana" w:hAnsi="Verdana"/>
          <w:sz w:val="22"/>
          <w:szCs w:val="22"/>
        </w:rPr>
        <w:t xml:space="preserve"> en ausencia de éste, es la autoridad administrativa mejor capacitada para asumir dicha labor.</w:t>
      </w:r>
    </w:p>
    <w:p w14:paraId="0847CD05" w14:textId="308A9E37" w:rsidR="00D21D76" w:rsidRPr="00D21D76" w:rsidRDefault="00D21D76" w:rsidP="00D21D76">
      <w:pPr>
        <w:jc w:val="both"/>
        <w:rPr>
          <w:rFonts w:ascii="Verdana" w:hAnsi="Verdana"/>
          <w:sz w:val="22"/>
          <w:szCs w:val="22"/>
        </w:rPr>
      </w:pPr>
      <w:r w:rsidRPr="00D21D76">
        <w:rPr>
          <w:rFonts w:ascii="Verdana" w:hAnsi="Verdana"/>
          <w:sz w:val="22"/>
          <w:szCs w:val="22"/>
        </w:rPr>
        <w:t>El Decreto 4840 del 17 de diciembre de 2007,</w:t>
      </w:r>
      <w:r w:rsidRPr="00D21D76">
        <w:rPr>
          <w:rFonts w:ascii="Verdana" w:hAnsi="Verdana"/>
          <w:sz w:val="22"/>
          <w:szCs w:val="22"/>
          <w:vertAlign w:val="superscript"/>
        </w:rPr>
        <w:t>[3]</w:t>
      </w:r>
      <w:r w:rsidRPr="00D21D76">
        <w:rPr>
          <w:rFonts w:ascii="Verdana" w:hAnsi="Verdana"/>
          <w:sz w:val="22"/>
          <w:szCs w:val="22"/>
        </w:rPr>
        <w:t> incorporado al Decreto 1069 de 2015,</w:t>
      </w:r>
      <w:r w:rsidRPr="00D21D76">
        <w:rPr>
          <w:rFonts w:ascii="Verdana" w:hAnsi="Verdana"/>
          <w:sz w:val="22"/>
          <w:szCs w:val="22"/>
          <w:vertAlign w:val="superscript"/>
        </w:rPr>
        <w:t>[4]</w:t>
      </w:r>
      <w:r w:rsidRPr="00D21D76">
        <w:rPr>
          <w:rFonts w:ascii="Verdana" w:hAnsi="Verdana"/>
          <w:sz w:val="22"/>
          <w:szCs w:val="22"/>
        </w:rPr>
        <w:t> regula lo relacionado con la competencia subsidiaria prevista en el artículo 98 de la Ley 1098 de 2006.</w:t>
      </w:r>
    </w:p>
    <w:p w14:paraId="4590E5EC" w14:textId="3FD6A04B" w:rsidR="00D21D76" w:rsidRPr="00D21D76" w:rsidRDefault="00D21D76" w:rsidP="00D21D76">
      <w:pPr>
        <w:jc w:val="both"/>
        <w:rPr>
          <w:rFonts w:ascii="Verdana" w:hAnsi="Verdana"/>
          <w:sz w:val="22"/>
          <w:szCs w:val="22"/>
        </w:rPr>
      </w:pPr>
      <w:r w:rsidRPr="00D21D76">
        <w:rPr>
          <w:rFonts w:ascii="Verdana" w:hAnsi="Verdana"/>
          <w:b/>
          <w:bCs/>
          <w:i/>
          <w:iCs/>
          <w:sz w:val="22"/>
          <w:szCs w:val="22"/>
        </w:rPr>
        <w:t>"Parágrafo 2</w:t>
      </w:r>
      <w:r w:rsidRPr="00D21D76">
        <w:rPr>
          <w:rFonts w:ascii="Verdana" w:hAnsi="Verdana"/>
          <w:i/>
          <w:iCs/>
          <w:sz w:val="22"/>
          <w:szCs w:val="22"/>
        </w:rPr>
        <w:t>°. Para efectos de la competencia subsidiaría prevista en el artículo 98 de la Ley 1098 de 2006, se entenderá que en un municipio no hay Defensor de Familia cuando el respectivo Centro Zonal del Instituto Colombiano de Bienestar Familiar no hubiere designado un Defensor de Familia para su atención o hasta tanto el Defensor de Familia designado no esté desempeñando sus funciones de manera permanente y continua.</w:t>
      </w:r>
    </w:p>
    <w:p w14:paraId="62D175E9" w14:textId="77777777" w:rsidR="00D21D76" w:rsidRPr="00D21D76" w:rsidRDefault="00D21D76" w:rsidP="00D21D76">
      <w:pPr>
        <w:jc w:val="both"/>
        <w:rPr>
          <w:rFonts w:ascii="Verdana" w:hAnsi="Verdana"/>
          <w:sz w:val="22"/>
          <w:szCs w:val="22"/>
        </w:rPr>
      </w:pPr>
      <w:r w:rsidRPr="00D21D76">
        <w:rPr>
          <w:rFonts w:ascii="Verdana" w:hAnsi="Verdana"/>
          <w:i/>
          <w:iCs/>
          <w:sz w:val="22"/>
          <w:szCs w:val="22"/>
        </w:rPr>
        <w:t>Se entenderá que no hay Comisario de Familia en los municipios en los cuales no ha sido designado el funcionario o cuando no opere una Comisaria Intermunicipal para la jurisdicción territorial correspondiente, o hasta tanto el Comisario de Familia Municipal o Intermunicipal no esté desempeñando sus funciones de manera permanente y continua.</w:t>
      </w:r>
    </w:p>
    <w:p w14:paraId="18A54A0F" w14:textId="491CEE89" w:rsidR="00D21D76" w:rsidRPr="00D21D76" w:rsidRDefault="00D21D76" w:rsidP="00D21D76">
      <w:pPr>
        <w:jc w:val="both"/>
        <w:rPr>
          <w:rFonts w:ascii="Verdana" w:hAnsi="Verdana"/>
          <w:sz w:val="22"/>
          <w:szCs w:val="22"/>
        </w:rPr>
      </w:pPr>
      <w:r w:rsidRPr="00D21D76">
        <w:rPr>
          <w:rFonts w:ascii="Verdana" w:hAnsi="Verdana"/>
          <w:i/>
          <w:iCs/>
          <w:sz w:val="22"/>
          <w:szCs w:val="22"/>
        </w:rPr>
        <w:t>La competencia subsidiaría del Inspector de Policía en todo caso será de carácter temporal hasta la creación de la Comisaría de Familia en la respectiva entidad territorial, lo cual no impide que en todo tiempo deba dar cumplimiento a la obligación contenida en el artículo 51 de la Ley 1098 de 2006.</w:t>
      </w:r>
    </w:p>
    <w:p w14:paraId="1816CFD5" w14:textId="77777777" w:rsidR="00D21D76" w:rsidRPr="00D21D76" w:rsidRDefault="00D21D76" w:rsidP="00D21D76">
      <w:pPr>
        <w:jc w:val="both"/>
        <w:rPr>
          <w:rFonts w:ascii="Verdana" w:hAnsi="Verdana"/>
          <w:sz w:val="22"/>
          <w:szCs w:val="22"/>
        </w:rPr>
      </w:pPr>
      <w:r w:rsidRPr="00D21D76">
        <w:rPr>
          <w:rFonts w:ascii="Verdana" w:hAnsi="Verdana"/>
          <w:i/>
          <w:iCs/>
          <w:sz w:val="22"/>
          <w:szCs w:val="22"/>
        </w:rPr>
        <w:t xml:space="preserve">La competencia subsidiaria del Comisario de Familia o Inspector de </w:t>
      </w:r>
      <w:proofErr w:type="gramStart"/>
      <w:r w:rsidRPr="00D21D76">
        <w:rPr>
          <w:rFonts w:ascii="Verdana" w:hAnsi="Verdana"/>
          <w:i/>
          <w:iCs/>
          <w:sz w:val="22"/>
          <w:szCs w:val="22"/>
        </w:rPr>
        <w:t>Policía,</w:t>
      </w:r>
      <w:proofErr w:type="gramEnd"/>
      <w:r w:rsidRPr="00D21D76">
        <w:rPr>
          <w:rFonts w:ascii="Verdana" w:hAnsi="Verdana"/>
          <w:i/>
          <w:iCs/>
          <w:sz w:val="22"/>
          <w:szCs w:val="22"/>
        </w:rPr>
        <w:t xml:space="preserve"> se entiende referida a las funciones que el Código de la Infancia y la Adolescencia otorga al Defensor de Familia y Comisario de Familia respectivamente, salvo la declaratoria de adoptabilidad que es competencia exclusiva del Defensor de Familia".</w:t>
      </w:r>
    </w:p>
    <w:p w14:paraId="3E2FE290" w14:textId="77777777" w:rsidR="00D21D76" w:rsidRPr="00D21D76" w:rsidRDefault="00D21D76" w:rsidP="00D21D76">
      <w:pPr>
        <w:jc w:val="both"/>
        <w:rPr>
          <w:rFonts w:ascii="Verdana" w:hAnsi="Verdana"/>
          <w:sz w:val="22"/>
          <w:szCs w:val="22"/>
        </w:rPr>
      </w:pPr>
      <w:r w:rsidRPr="00D21D76">
        <w:rPr>
          <w:rFonts w:ascii="Verdana" w:hAnsi="Verdana"/>
          <w:sz w:val="22"/>
          <w:szCs w:val="22"/>
        </w:rPr>
        <w:t xml:space="preserve">Es tan extenso el ámbito de intervención de la autoridad administrativa en el campo de protección y defensa de los derechos de los niños, las niñas y los adolescentes, que las funciones emanadas de la Constitución y la </w:t>
      </w:r>
      <w:proofErr w:type="gramStart"/>
      <w:r w:rsidRPr="00D21D76">
        <w:rPr>
          <w:rFonts w:ascii="Verdana" w:hAnsi="Verdana"/>
          <w:sz w:val="22"/>
          <w:szCs w:val="22"/>
        </w:rPr>
        <w:t>ley,</w:t>
      </w:r>
      <w:proofErr w:type="gramEnd"/>
      <w:r w:rsidRPr="00D21D76">
        <w:rPr>
          <w:rFonts w:ascii="Verdana" w:hAnsi="Verdana"/>
          <w:sz w:val="22"/>
          <w:szCs w:val="22"/>
        </w:rPr>
        <w:t xml:space="preserve"> le asignan el deber de ejercer la representación de los menores de edad en las distintas jurisdicciones donde estén en discusión sus derechos.</w:t>
      </w:r>
    </w:p>
    <w:p w14:paraId="4E139364" w14:textId="77777777" w:rsidR="00D21D76" w:rsidRPr="00D21D76" w:rsidRDefault="00D21D76" w:rsidP="00D21D76">
      <w:pPr>
        <w:jc w:val="both"/>
        <w:rPr>
          <w:rFonts w:ascii="Verdana" w:hAnsi="Verdana"/>
          <w:sz w:val="22"/>
          <w:szCs w:val="22"/>
        </w:rPr>
      </w:pPr>
      <w:r w:rsidRPr="00D21D76">
        <w:rPr>
          <w:rFonts w:ascii="Verdana" w:hAnsi="Verdana"/>
          <w:sz w:val="22"/>
          <w:szCs w:val="22"/>
        </w:rPr>
        <w:lastRenderedPageBreak/>
        <w:t xml:space="preserve">Así las </w:t>
      </w:r>
      <w:proofErr w:type="gramStart"/>
      <w:r w:rsidRPr="00D21D76">
        <w:rPr>
          <w:rFonts w:ascii="Verdana" w:hAnsi="Verdana"/>
          <w:sz w:val="22"/>
          <w:szCs w:val="22"/>
        </w:rPr>
        <w:t>cosas</w:t>
      </w:r>
      <w:proofErr w:type="gramEnd"/>
      <w:r w:rsidRPr="00D21D76">
        <w:rPr>
          <w:rFonts w:ascii="Verdana" w:hAnsi="Verdana"/>
          <w:sz w:val="22"/>
          <w:szCs w:val="22"/>
        </w:rPr>
        <w:t xml:space="preserve"> el Comisario de Familia que se abstenga de ejercer su intervención en defensa de los niños, niñas y adolescentes en los procesos ante los jueces, estaría actuando en sentido contrario a los principios constitucionales y legales que garantizan un debido proceso, el derecho de la defensa y el derecho al acceso a la justicia, por parte de los menores de edad e incurrirán en las sanciones a que haya lugar.</w:t>
      </w:r>
    </w:p>
    <w:p w14:paraId="600A3E70" w14:textId="013D5A2F" w:rsidR="00D21D76" w:rsidRPr="00D21D76" w:rsidRDefault="00D21D76" w:rsidP="00D21D76">
      <w:pPr>
        <w:jc w:val="both"/>
        <w:rPr>
          <w:rFonts w:ascii="Verdana" w:hAnsi="Verdana"/>
          <w:sz w:val="22"/>
          <w:szCs w:val="22"/>
        </w:rPr>
      </w:pPr>
      <w:r w:rsidRPr="00D21D76">
        <w:rPr>
          <w:rFonts w:ascii="Verdana" w:hAnsi="Verdana"/>
          <w:sz w:val="22"/>
          <w:szCs w:val="22"/>
        </w:rPr>
        <w:t>De acuerdo con las anteriores disposiciones, es claro que en materia de infancia y adolescencia, las personas naturales y jurídicas públicas y privadas que desarrollen programas que tengan responsabilidades en asuntos de niños, niñas y adolescentes deben tomar siempre en cuenta el interés superior previsto en el artículo 44 de la Constitución Política y demás normas concordantes; principio aplicable en todas las actuaciones, especialmente las que adelanten los Defensores de Familia, Comisarios de familia y demás servidores públicos que integran el Sistema Nacional de Bienestar Familiar.</w:t>
      </w:r>
    </w:p>
    <w:p w14:paraId="040A4A19" w14:textId="77777777" w:rsidR="00D21D76" w:rsidRPr="00D21D76" w:rsidRDefault="00D21D76" w:rsidP="00D21D76">
      <w:pPr>
        <w:jc w:val="both"/>
        <w:rPr>
          <w:rFonts w:ascii="Verdana" w:hAnsi="Verdana"/>
          <w:sz w:val="22"/>
          <w:szCs w:val="22"/>
        </w:rPr>
      </w:pPr>
      <w:r w:rsidRPr="00D21D76">
        <w:rPr>
          <w:rFonts w:ascii="Verdana" w:hAnsi="Verdana"/>
          <w:b/>
          <w:bCs/>
          <w:sz w:val="22"/>
          <w:szCs w:val="22"/>
          <w:u w:val="single"/>
        </w:rPr>
        <w:t>(2.3.) Las preguntas en concreto</w:t>
      </w:r>
    </w:p>
    <w:p w14:paraId="19C95AC8" w14:textId="77777777" w:rsidR="00D21D76" w:rsidRPr="00D21D76" w:rsidRDefault="00D21D76" w:rsidP="00D21D76">
      <w:pPr>
        <w:jc w:val="both"/>
        <w:rPr>
          <w:rFonts w:ascii="Verdana" w:hAnsi="Verdana"/>
          <w:sz w:val="22"/>
          <w:szCs w:val="22"/>
        </w:rPr>
      </w:pPr>
      <w:r w:rsidRPr="00D21D76">
        <w:rPr>
          <w:rFonts w:ascii="Verdana" w:hAnsi="Verdana"/>
          <w:b/>
          <w:bCs/>
          <w:i/>
          <w:iCs/>
          <w:sz w:val="22"/>
          <w:szCs w:val="22"/>
        </w:rPr>
        <w:t xml:space="preserve">1. </w:t>
      </w:r>
      <w:proofErr w:type="gramStart"/>
      <w:r w:rsidRPr="00D21D76">
        <w:rPr>
          <w:rFonts w:ascii="Verdana" w:hAnsi="Verdana"/>
          <w:b/>
          <w:bCs/>
          <w:i/>
          <w:iCs/>
          <w:sz w:val="22"/>
          <w:szCs w:val="22"/>
        </w:rPr>
        <w:t>Cuando el Comisario de familia define provisionalmente, sobre la custodia y cuidado de personal (sic), la cuota de alimentos y la reglamentación de visitas, lo realiza en calidad de conciliador?</w:t>
      </w:r>
      <w:proofErr w:type="gramEnd"/>
    </w:p>
    <w:p w14:paraId="5CAC58E3" w14:textId="4EFFDCE3" w:rsidR="00D21D76" w:rsidRPr="00D21D76" w:rsidRDefault="00D21D76" w:rsidP="00D21D76">
      <w:pPr>
        <w:jc w:val="both"/>
        <w:rPr>
          <w:rFonts w:ascii="Verdana" w:hAnsi="Verdana"/>
          <w:sz w:val="22"/>
          <w:szCs w:val="22"/>
        </w:rPr>
      </w:pPr>
      <w:r w:rsidRPr="00D21D76">
        <w:rPr>
          <w:rFonts w:ascii="Verdana" w:hAnsi="Verdana"/>
          <w:sz w:val="22"/>
          <w:szCs w:val="22"/>
        </w:rPr>
        <w:t>Cuando el Comisario de Familia define provisionalmente sobre la custodia y cuidado personal, la cuota de alimentos y la reglamentación de visitas, lo hace en su calidad de conciliador, en cumplimiento de la competencia subsidiaria que le confiere la Ley 1098 de 2006 y la competencia establecida en la Ley 640 de 2001.</w:t>
      </w:r>
    </w:p>
    <w:p w14:paraId="5ADAD913" w14:textId="18040A9E" w:rsidR="00D21D76" w:rsidRPr="00D21D76" w:rsidRDefault="00D21D76" w:rsidP="00D21D76">
      <w:pPr>
        <w:jc w:val="both"/>
        <w:rPr>
          <w:rFonts w:ascii="Verdana" w:hAnsi="Verdana"/>
          <w:sz w:val="22"/>
          <w:szCs w:val="22"/>
        </w:rPr>
      </w:pPr>
      <w:r w:rsidRPr="00D21D76">
        <w:rPr>
          <w:rFonts w:ascii="Verdana" w:hAnsi="Verdana"/>
          <w:b/>
          <w:bCs/>
          <w:i/>
          <w:iCs/>
          <w:sz w:val="22"/>
          <w:szCs w:val="22"/>
        </w:rPr>
        <w:t>2. En caso afirmativo a la primera pregunta, al Comisario de Familia le opera la inhabilidad consagrada en el artículo </w:t>
      </w:r>
      <w:r w:rsidRPr="00D21D76">
        <w:rPr>
          <w:rFonts w:ascii="Verdana" w:hAnsi="Verdana"/>
          <w:i/>
          <w:iCs/>
          <w:sz w:val="22"/>
          <w:szCs w:val="22"/>
        </w:rPr>
        <w:t>17</w:t>
      </w:r>
      <w:r w:rsidRPr="00D21D76">
        <w:rPr>
          <w:rFonts w:ascii="Verdana" w:hAnsi="Verdana"/>
          <w:b/>
          <w:bCs/>
          <w:i/>
          <w:iCs/>
          <w:sz w:val="22"/>
          <w:szCs w:val="22"/>
        </w:rPr>
        <w:t> de la Ley 640 de 2001.</w:t>
      </w:r>
    </w:p>
    <w:p w14:paraId="18C69B3A" w14:textId="72AA9AD8" w:rsidR="00D21D76" w:rsidRPr="00D21D76" w:rsidRDefault="00D21D76" w:rsidP="00D21D76">
      <w:pPr>
        <w:jc w:val="both"/>
        <w:rPr>
          <w:rFonts w:ascii="Verdana" w:hAnsi="Verdana"/>
          <w:sz w:val="22"/>
          <w:szCs w:val="22"/>
        </w:rPr>
      </w:pPr>
      <w:r w:rsidRPr="00D21D76">
        <w:rPr>
          <w:rFonts w:ascii="Verdana" w:hAnsi="Verdana"/>
          <w:sz w:val="22"/>
          <w:szCs w:val="22"/>
        </w:rPr>
        <w:t>No existe ninguna inhabilidad para que el Comisario de Familia actué en representación de los niños, niñas y adolescentes, es claro que este funcionario no actúa en calidad de árbitro ni mucho menos de apoderado, sino como garante de la protección de los derechos de los niños, niñas y adolescentes, razón por la cual es su deber y obligación acatar lo establecido en la Ley 1098 de 2006.</w:t>
      </w:r>
    </w:p>
    <w:p w14:paraId="163DB413" w14:textId="653B4D80" w:rsidR="00D21D76" w:rsidRPr="00D21D76" w:rsidRDefault="00D21D76" w:rsidP="00D21D76">
      <w:pPr>
        <w:jc w:val="both"/>
        <w:rPr>
          <w:rFonts w:ascii="Verdana" w:hAnsi="Verdana"/>
          <w:sz w:val="22"/>
          <w:szCs w:val="22"/>
        </w:rPr>
      </w:pPr>
      <w:r w:rsidRPr="00D21D76">
        <w:rPr>
          <w:rFonts w:ascii="Verdana" w:hAnsi="Verdana"/>
          <w:b/>
          <w:bCs/>
          <w:i/>
          <w:iCs/>
          <w:sz w:val="22"/>
          <w:szCs w:val="22"/>
        </w:rPr>
        <w:t>3. También, deseo que sea aclarado, si en el presente caso, se aplica la Ley especial, siendo la Ley </w:t>
      </w:r>
      <w:r w:rsidRPr="00D21D76">
        <w:rPr>
          <w:rFonts w:ascii="Verdana" w:hAnsi="Verdana"/>
          <w:i/>
          <w:iCs/>
          <w:sz w:val="22"/>
          <w:szCs w:val="22"/>
        </w:rPr>
        <w:t>1098</w:t>
      </w:r>
      <w:r w:rsidRPr="00D21D76">
        <w:rPr>
          <w:rFonts w:ascii="Verdana" w:hAnsi="Verdana"/>
          <w:b/>
          <w:bCs/>
          <w:i/>
          <w:iCs/>
          <w:sz w:val="22"/>
          <w:szCs w:val="22"/>
        </w:rPr>
        <w:t> de 2006, por lo cual, las Comisarias de Familia estarían en la obligación de adelantar y promover las acciones judiciales (ejecutivo de alimentos) sin importar que haya sido esta entidad la que fijará de manera provisional los alimentos.</w:t>
      </w:r>
    </w:p>
    <w:p w14:paraId="5831F2A0" w14:textId="7662AC98" w:rsidR="00D21D76" w:rsidRPr="00D21D76" w:rsidRDefault="00D21D76" w:rsidP="00D21D76">
      <w:pPr>
        <w:jc w:val="both"/>
        <w:rPr>
          <w:rFonts w:ascii="Verdana" w:hAnsi="Verdana"/>
          <w:sz w:val="22"/>
          <w:szCs w:val="22"/>
        </w:rPr>
      </w:pPr>
      <w:r w:rsidRPr="00D21D76">
        <w:rPr>
          <w:rFonts w:ascii="Verdana" w:hAnsi="Verdana"/>
          <w:sz w:val="22"/>
          <w:szCs w:val="22"/>
        </w:rPr>
        <w:t>Establece el artículo 5 de la Ley 1098 de 2006, que: </w:t>
      </w:r>
      <w:r w:rsidRPr="00D21D76">
        <w:rPr>
          <w:rFonts w:ascii="Verdana" w:hAnsi="Verdana"/>
          <w:i/>
          <w:iCs/>
          <w:sz w:val="22"/>
          <w:szCs w:val="22"/>
        </w:rPr>
        <w:t>“las</w:t>
      </w:r>
      <w:r w:rsidRPr="00D21D76">
        <w:rPr>
          <w:rFonts w:ascii="Verdana" w:hAnsi="Verdana"/>
          <w:sz w:val="22"/>
          <w:szCs w:val="22"/>
        </w:rPr>
        <w:t> </w:t>
      </w:r>
      <w:r w:rsidRPr="00D21D76">
        <w:rPr>
          <w:rFonts w:ascii="Verdana" w:hAnsi="Verdana"/>
          <w:i/>
          <w:iCs/>
          <w:sz w:val="22"/>
          <w:szCs w:val="22"/>
        </w:rPr>
        <w:t>normas sobre los niños, las niñas y los adolescentes contenidas en este código </w:t>
      </w:r>
      <w:r w:rsidRPr="00D21D76">
        <w:rPr>
          <w:rFonts w:ascii="Verdana" w:hAnsi="Verdana"/>
          <w:i/>
          <w:iCs/>
          <w:sz w:val="22"/>
          <w:szCs w:val="22"/>
          <w:u w:val="single"/>
        </w:rPr>
        <w:t xml:space="preserve">son de orden público, de </w:t>
      </w:r>
      <w:r w:rsidRPr="00D21D76">
        <w:rPr>
          <w:rFonts w:ascii="Verdana" w:hAnsi="Verdana"/>
          <w:i/>
          <w:iCs/>
          <w:sz w:val="22"/>
          <w:szCs w:val="22"/>
          <w:u w:val="single"/>
        </w:rPr>
        <w:lastRenderedPageBreak/>
        <w:t>carácter irrenunciable v los</w:t>
      </w:r>
      <w:r w:rsidRPr="00D21D76">
        <w:rPr>
          <w:rFonts w:ascii="Verdana" w:hAnsi="Verdana"/>
          <w:i/>
          <w:iCs/>
          <w:sz w:val="22"/>
          <w:szCs w:val="22"/>
        </w:rPr>
        <w:t> </w:t>
      </w:r>
      <w:r w:rsidRPr="00D21D76">
        <w:rPr>
          <w:rFonts w:ascii="Verdana" w:hAnsi="Verdana"/>
          <w:i/>
          <w:iCs/>
          <w:sz w:val="22"/>
          <w:szCs w:val="22"/>
          <w:u w:val="single"/>
        </w:rPr>
        <w:t>principios</w:t>
      </w:r>
      <w:r w:rsidRPr="00D21D76">
        <w:rPr>
          <w:rFonts w:ascii="Verdana" w:hAnsi="Verdana"/>
          <w:sz w:val="22"/>
          <w:szCs w:val="22"/>
          <w:u w:val="single"/>
        </w:rPr>
        <w:t> y </w:t>
      </w:r>
      <w:r w:rsidRPr="00D21D76">
        <w:rPr>
          <w:rFonts w:ascii="Verdana" w:hAnsi="Verdana"/>
          <w:i/>
          <w:iCs/>
          <w:sz w:val="22"/>
          <w:szCs w:val="22"/>
          <w:u w:val="single"/>
        </w:rPr>
        <w:t>las reglas en ellas consagradas se aplicarán de preferencia a las disposiciones</w:t>
      </w:r>
      <w:r w:rsidRPr="00D21D76">
        <w:rPr>
          <w:rFonts w:ascii="Verdana" w:hAnsi="Verdana"/>
          <w:i/>
          <w:iCs/>
          <w:sz w:val="22"/>
          <w:szCs w:val="22"/>
        </w:rPr>
        <w:t> </w:t>
      </w:r>
      <w:r w:rsidRPr="00D21D76">
        <w:rPr>
          <w:rFonts w:ascii="Verdana" w:hAnsi="Verdana"/>
          <w:i/>
          <w:iCs/>
          <w:sz w:val="22"/>
          <w:szCs w:val="22"/>
          <w:u w:val="single"/>
        </w:rPr>
        <w:t>contenidas en otras leyes".</w:t>
      </w:r>
      <w:r w:rsidRPr="00D21D76">
        <w:rPr>
          <w:rFonts w:ascii="Verdana" w:hAnsi="Verdana"/>
          <w:sz w:val="22"/>
          <w:szCs w:val="22"/>
        </w:rPr>
        <w:t xml:space="preserve"> (Subrayado fuera de texto), así las </w:t>
      </w:r>
      <w:proofErr w:type="gramStart"/>
      <w:r w:rsidRPr="00D21D76">
        <w:rPr>
          <w:rFonts w:ascii="Verdana" w:hAnsi="Verdana"/>
          <w:sz w:val="22"/>
          <w:szCs w:val="22"/>
        </w:rPr>
        <w:t>cosas</w:t>
      </w:r>
      <w:proofErr w:type="gramEnd"/>
      <w:r w:rsidRPr="00D21D76">
        <w:rPr>
          <w:rFonts w:ascii="Verdana" w:hAnsi="Verdana"/>
          <w:sz w:val="22"/>
          <w:szCs w:val="22"/>
        </w:rPr>
        <w:t xml:space="preserve"> es de imperativo cumplimiento lo establecido en el numeral 11, artículo 82 de la Ley 1098, por parte del Comisario de familia, sin importar que haya sido dicha entidad la que fijará de manera provisional la cuota de alimentos.</w:t>
      </w:r>
    </w:p>
    <w:p w14:paraId="0F35C709" w14:textId="77777777" w:rsidR="00D21D76" w:rsidRPr="00D21D76" w:rsidRDefault="00D21D76" w:rsidP="00D21D76">
      <w:pPr>
        <w:jc w:val="both"/>
        <w:rPr>
          <w:rFonts w:ascii="Verdana" w:hAnsi="Verdana"/>
          <w:sz w:val="22"/>
          <w:szCs w:val="22"/>
        </w:rPr>
      </w:pPr>
      <w:r w:rsidRPr="00D21D76">
        <w:rPr>
          <w:rFonts w:ascii="Verdana" w:hAnsi="Verdana"/>
          <w:sz w:val="22"/>
          <w:szCs w:val="22"/>
        </w:rPr>
        <w:t xml:space="preserve">Así las cosas, es pertinente recordar </w:t>
      </w:r>
      <w:proofErr w:type="gramStart"/>
      <w:r w:rsidRPr="00D21D76">
        <w:rPr>
          <w:rFonts w:ascii="Verdana" w:hAnsi="Verdana"/>
          <w:sz w:val="22"/>
          <w:szCs w:val="22"/>
        </w:rPr>
        <w:t>que</w:t>
      </w:r>
      <w:proofErr w:type="gramEnd"/>
      <w:r w:rsidRPr="00D21D76">
        <w:rPr>
          <w:rFonts w:ascii="Verdana" w:hAnsi="Verdana"/>
          <w:sz w:val="22"/>
          <w:szCs w:val="22"/>
        </w:rPr>
        <w:t xml:space="preserve"> en toda actuación administrativa, siempre debe prevalecer el interés superior del niño, niña o adolescente atendiendo la Constitución Política, los Convenios y Tratados Internacionales que hoy hacen parte de nuestro sistema jurídico, evitando la dilación injustificada de los procesos.</w:t>
      </w:r>
    </w:p>
    <w:p w14:paraId="1D214EC2" w14:textId="2530DCE1" w:rsidR="00D21D76" w:rsidRPr="00D21D76" w:rsidRDefault="00D21D76" w:rsidP="00D21D76">
      <w:pPr>
        <w:jc w:val="both"/>
        <w:rPr>
          <w:rFonts w:ascii="Verdana" w:hAnsi="Verdana"/>
          <w:sz w:val="22"/>
          <w:szCs w:val="22"/>
        </w:rPr>
      </w:pPr>
      <w:r w:rsidRPr="00D21D76">
        <w:rPr>
          <w:rFonts w:ascii="Verdana" w:hAnsi="Verdana"/>
          <w:sz w:val="22"/>
          <w:szCs w:val="22"/>
        </w:rPr>
        <w:t>Por último, es preciso indicar que el presente concepto </w:t>
      </w:r>
      <w:r w:rsidRPr="00D21D76">
        <w:rPr>
          <w:rFonts w:ascii="Verdana" w:hAnsi="Verdana"/>
          <w:sz w:val="22"/>
          <w:szCs w:val="22"/>
          <w:vertAlign w:val="superscript"/>
        </w:rPr>
        <w:t>[5]</w:t>
      </w:r>
      <w:r w:rsidRPr="00D21D7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D21D76">
        <w:rPr>
          <w:rFonts w:ascii="Verdana" w:hAnsi="Verdana"/>
          <w:sz w:val="22"/>
          <w:szCs w:val="22"/>
        </w:rPr>
        <w:t>obstante</w:t>
      </w:r>
      <w:proofErr w:type="gramEnd"/>
      <w:r w:rsidRPr="00D21D7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1D71B94" w14:textId="77777777" w:rsidR="00D21D76" w:rsidRDefault="00D21D76" w:rsidP="00D21D76">
      <w:pPr>
        <w:jc w:val="both"/>
        <w:rPr>
          <w:rFonts w:ascii="Verdana" w:hAnsi="Verdana"/>
          <w:sz w:val="22"/>
          <w:szCs w:val="22"/>
        </w:rPr>
      </w:pPr>
      <w:r w:rsidRPr="00D21D76">
        <w:rPr>
          <w:rFonts w:ascii="Verdana" w:hAnsi="Verdana"/>
          <w:sz w:val="22"/>
          <w:szCs w:val="22"/>
        </w:rPr>
        <w:t>Cordialmente,</w:t>
      </w:r>
    </w:p>
    <w:p w14:paraId="2BE5FCCE" w14:textId="77777777" w:rsidR="00D21D76" w:rsidRPr="00D21D76" w:rsidRDefault="00D21D76" w:rsidP="00D21D76">
      <w:pPr>
        <w:jc w:val="both"/>
        <w:rPr>
          <w:rFonts w:ascii="Verdana" w:hAnsi="Verdana"/>
          <w:sz w:val="22"/>
          <w:szCs w:val="22"/>
        </w:rPr>
      </w:pPr>
    </w:p>
    <w:p w14:paraId="5449D1F5" w14:textId="77777777" w:rsidR="00D21D76" w:rsidRPr="00D21D76" w:rsidRDefault="00D21D76" w:rsidP="00D21D76">
      <w:pPr>
        <w:jc w:val="both"/>
        <w:rPr>
          <w:rFonts w:ascii="Verdana" w:hAnsi="Verdana"/>
          <w:sz w:val="22"/>
          <w:szCs w:val="22"/>
        </w:rPr>
      </w:pPr>
      <w:r w:rsidRPr="00D21D76">
        <w:rPr>
          <w:rFonts w:ascii="Verdana" w:hAnsi="Verdana"/>
          <w:b/>
          <w:bCs/>
          <w:sz w:val="22"/>
          <w:szCs w:val="22"/>
        </w:rPr>
        <w:t>LUZ KARIME FERNANDEZ CASTILLO</w:t>
      </w:r>
    </w:p>
    <w:p w14:paraId="2F089200" w14:textId="77777777" w:rsidR="00D21D76" w:rsidRPr="00D21D76" w:rsidRDefault="00D21D76" w:rsidP="00D21D76">
      <w:pPr>
        <w:jc w:val="both"/>
        <w:rPr>
          <w:rFonts w:ascii="Verdana" w:hAnsi="Verdana"/>
          <w:sz w:val="22"/>
          <w:szCs w:val="22"/>
        </w:rPr>
      </w:pPr>
      <w:r w:rsidRPr="00D21D76">
        <w:rPr>
          <w:rFonts w:ascii="Verdana" w:hAnsi="Verdana"/>
          <w:sz w:val="22"/>
          <w:szCs w:val="22"/>
        </w:rPr>
        <w:t>Jefe Oficina Asesora Jurídica</w:t>
      </w:r>
    </w:p>
    <w:p w14:paraId="5FC6A32A" w14:textId="77777777" w:rsidR="00D21D76" w:rsidRDefault="00D21D76" w:rsidP="00D21D76">
      <w:pPr>
        <w:jc w:val="both"/>
        <w:rPr>
          <w:rFonts w:ascii="Verdana" w:hAnsi="Verdana"/>
          <w:sz w:val="22"/>
          <w:szCs w:val="22"/>
        </w:rPr>
      </w:pPr>
    </w:p>
    <w:p w14:paraId="402EACFA" w14:textId="1A0BA283" w:rsidR="00D21D76" w:rsidRPr="00D21D76" w:rsidRDefault="00D21D76" w:rsidP="00D21D76">
      <w:pPr>
        <w:jc w:val="both"/>
        <w:rPr>
          <w:rFonts w:ascii="Verdana" w:hAnsi="Verdana"/>
          <w:b/>
          <w:bCs/>
          <w:sz w:val="22"/>
          <w:szCs w:val="22"/>
        </w:rPr>
      </w:pPr>
      <w:r w:rsidRPr="00D21D76">
        <w:rPr>
          <w:rFonts w:ascii="Verdana" w:hAnsi="Verdana"/>
          <w:b/>
          <w:bCs/>
          <w:sz w:val="22"/>
          <w:szCs w:val="22"/>
        </w:rPr>
        <w:t>Notas pie de página:</w:t>
      </w:r>
    </w:p>
    <w:p w14:paraId="048D180F" w14:textId="626E653C" w:rsidR="00D21D76" w:rsidRPr="00D21D76" w:rsidRDefault="00D21D76" w:rsidP="00D21D76">
      <w:pPr>
        <w:jc w:val="both"/>
        <w:rPr>
          <w:rFonts w:ascii="Verdana" w:hAnsi="Verdana"/>
          <w:sz w:val="22"/>
          <w:szCs w:val="22"/>
        </w:rPr>
      </w:pPr>
      <w:r w:rsidRPr="00D21D76">
        <w:rPr>
          <w:rFonts w:ascii="Verdana" w:hAnsi="Verdana"/>
          <w:sz w:val="22"/>
          <w:szCs w:val="22"/>
        </w:rPr>
        <w:t xml:space="preserve">1 </w:t>
      </w:r>
      <w:proofErr w:type="gramStart"/>
      <w:r w:rsidRPr="00D21D76">
        <w:rPr>
          <w:rFonts w:ascii="Verdana" w:hAnsi="Verdana"/>
          <w:sz w:val="22"/>
          <w:szCs w:val="22"/>
        </w:rPr>
        <w:t>Código</w:t>
      </w:r>
      <w:proofErr w:type="gramEnd"/>
      <w:r w:rsidRPr="00D21D76">
        <w:rPr>
          <w:rFonts w:ascii="Verdana" w:hAnsi="Verdana"/>
          <w:sz w:val="22"/>
          <w:szCs w:val="22"/>
        </w:rPr>
        <w:t xml:space="preserve"> del Menor. Título Cuarto Comisarias de Familia Artículo 299.</w:t>
      </w:r>
    </w:p>
    <w:p w14:paraId="33E0B784" w14:textId="7468BC74" w:rsidR="00D21D76" w:rsidRPr="00D21D76" w:rsidRDefault="00D21D76" w:rsidP="00D21D76">
      <w:pPr>
        <w:jc w:val="both"/>
        <w:rPr>
          <w:rFonts w:ascii="Verdana" w:hAnsi="Verdana"/>
          <w:sz w:val="22"/>
          <w:szCs w:val="22"/>
        </w:rPr>
      </w:pPr>
      <w:r w:rsidRPr="00D21D76">
        <w:rPr>
          <w:rFonts w:ascii="Verdana" w:hAnsi="Verdana"/>
          <w:sz w:val="22"/>
          <w:szCs w:val="22"/>
        </w:rPr>
        <w:t xml:space="preserve">2 </w:t>
      </w:r>
      <w:proofErr w:type="gramStart"/>
      <w:r w:rsidRPr="00D21D76">
        <w:rPr>
          <w:rFonts w:ascii="Verdana" w:hAnsi="Verdana"/>
          <w:sz w:val="22"/>
          <w:szCs w:val="22"/>
        </w:rPr>
        <w:t>Ley</w:t>
      </w:r>
      <w:proofErr w:type="gramEnd"/>
      <w:r w:rsidRPr="00D21D76">
        <w:rPr>
          <w:rFonts w:ascii="Verdana" w:hAnsi="Verdana"/>
          <w:sz w:val="22"/>
          <w:szCs w:val="22"/>
        </w:rPr>
        <w:t xml:space="preserve"> 1098 de 2006 Artículo 83.</w:t>
      </w:r>
    </w:p>
    <w:p w14:paraId="4EED020B" w14:textId="720B2CF4" w:rsidR="00D21D76" w:rsidRPr="00D21D76" w:rsidRDefault="00D21D76" w:rsidP="00D21D76">
      <w:pPr>
        <w:jc w:val="both"/>
        <w:rPr>
          <w:rFonts w:ascii="Verdana" w:hAnsi="Verdana"/>
          <w:sz w:val="22"/>
          <w:szCs w:val="22"/>
        </w:rPr>
      </w:pPr>
      <w:r w:rsidRPr="00D21D76">
        <w:rPr>
          <w:rFonts w:ascii="Verdana" w:hAnsi="Verdana"/>
          <w:sz w:val="22"/>
          <w:szCs w:val="22"/>
        </w:rPr>
        <w:t>3 por el cual se reglamentan los artículos 52 77 79. 82. 83, 84 86 87. 96. 98. 99 100, 105 111 de la Ley 1098 de 2006.</w:t>
      </w:r>
    </w:p>
    <w:p w14:paraId="75743796" w14:textId="77777777" w:rsidR="00D21D76" w:rsidRPr="00D21D76" w:rsidRDefault="00D21D76" w:rsidP="00D21D76">
      <w:pPr>
        <w:jc w:val="both"/>
        <w:rPr>
          <w:rFonts w:ascii="Verdana" w:hAnsi="Verdana"/>
          <w:sz w:val="22"/>
          <w:szCs w:val="22"/>
        </w:rPr>
      </w:pPr>
      <w:r w:rsidRPr="00D21D76">
        <w:rPr>
          <w:rFonts w:ascii="Verdana" w:hAnsi="Verdana"/>
          <w:sz w:val="22"/>
          <w:szCs w:val="22"/>
        </w:rPr>
        <w:t>4 "Por medio del cual se expide el decreto único reglamentario del sector justicia y del derecho"</w:t>
      </w:r>
    </w:p>
    <w:p w14:paraId="06855C4C" w14:textId="307A3BE1" w:rsidR="00D21D76" w:rsidRPr="00D21D76" w:rsidRDefault="00D21D76" w:rsidP="00D21D76">
      <w:pPr>
        <w:jc w:val="both"/>
        <w:rPr>
          <w:rFonts w:ascii="Verdana" w:hAnsi="Verdana"/>
          <w:sz w:val="22"/>
          <w:szCs w:val="22"/>
        </w:rPr>
      </w:pPr>
      <w:r w:rsidRPr="00D21D76">
        <w:rPr>
          <w:rFonts w:ascii="Verdana" w:hAnsi="Verdana"/>
          <w:sz w:val="22"/>
          <w:szCs w:val="22"/>
        </w:rPr>
        <w:t xml:space="preserve">“Como al realizar las referidas intervenciones la Administración debe aplicar el derecho, no siempre a través de funcionarios con conocimientos jurídicos, o </w:t>
      </w:r>
      <w:r w:rsidRPr="00D21D76">
        <w:rPr>
          <w:rFonts w:ascii="Verdana" w:hAnsi="Verdana"/>
          <w:sz w:val="22"/>
          <w:szCs w:val="22"/>
        </w:rPr>
        <w:lastRenderedPageBreak/>
        <w:t>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78F0AFA" w14:textId="77777777" w:rsidR="00D21D76" w:rsidRPr="00D21D76" w:rsidRDefault="00D21D76" w:rsidP="00D21D76">
      <w:pPr>
        <w:jc w:val="both"/>
        <w:rPr>
          <w:rFonts w:ascii="Verdana" w:hAnsi="Verdana"/>
          <w:sz w:val="22"/>
          <w:szCs w:val="22"/>
        </w:rPr>
      </w:pPr>
    </w:p>
    <w:p w14:paraId="58848C82" w14:textId="77777777" w:rsidR="00D21D76" w:rsidRPr="00D21D76" w:rsidRDefault="00D21D76">
      <w:pPr>
        <w:jc w:val="both"/>
        <w:rPr>
          <w:rFonts w:ascii="Verdana" w:hAnsi="Verdana"/>
          <w:sz w:val="22"/>
          <w:szCs w:val="22"/>
        </w:rPr>
      </w:pPr>
    </w:p>
    <w:sectPr w:rsidR="00D21D76" w:rsidRPr="00D21D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76"/>
    <w:rsid w:val="00C54388"/>
    <w:rsid w:val="00D21D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AFDE"/>
  <w15:chartTrackingRefBased/>
  <w15:docId w15:val="{C0C5CB7D-FA8B-4966-924C-86EDC6A5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1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D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D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D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D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D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D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D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D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D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D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D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D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D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D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D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D76"/>
    <w:rPr>
      <w:rFonts w:eastAsiaTheme="majorEastAsia" w:cstheme="majorBidi"/>
      <w:color w:val="272727" w:themeColor="text1" w:themeTint="D8"/>
    </w:rPr>
  </w:style>
  <w:style w:type="paragraph" w:styleId="Ttulo">
    <w:name w:val="Title"/>
    <w:basedOn w:val="Normal"/>
    <w:next w:val="Normal"/>
    <w:link w:val="TtuloCar"/>
    <w:uiPriority w:val="10"/>
    <w:qFormat/>
    <w:rsid w:val="00D21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D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D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D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D76"/>
    <w:pPr>
      <w:spacing w:before="160"/>
      <w:jc w:val="center"/>
    </w:pPr>
    <w:rPr>
      <w:i/>
      <w:iCs/>
      <w:color w:val="404040" w:themeColor="text1" w:themeTint="BF"/>
    </w:rPr>
  </w:style>
  <w:style w:type="character" w:customStyle="1" w:styleId="CitaCar">
    <w:name w:val="Cita Car"/>
    <w:basedOn w:val="Fuentedeprrafopredeter"/>
    <w:link w:val="Cita"/>
    <w:uiPriority w:val="29"/>
    <w:rsid w:val="00D21D76"/>
    <w:rPr>
      <w:i/>
      <w:iCs/>
      <w:color w:val="404040" w:themeColor="text1" w:themeTint="BF"/>
    </w:rPr>
  </w:style>
  <w:style w:type="paragraph" w:styleId="Prrafodelista">
    <w:name w:val="List Paragraph"/>
    <w:basedOn w:val="Normal"/>
    <w:uiPriority w:val="34"/>
    <w:qFormat/>
    <w:rsid w:val="00D21D76"/>
    <w:pPr>
      <w:ind w:left="720"/>
      <w:contextualSpacing/>
    </w:pPr>
  </w:style>
  <w:style w:type="character" w:styleId="nfasisintenso">
    <w:name w:val="Intense Emphasis"/>
    <w:basedOn w:val="Fuentedeprrafopredeter"/>
    <w:uiPriority w:val="21"/>
    <w:qFormat/>
    <w:rsid w:val="00D21D76"/>
    <w:rPr>
      <w:i/>
      <w:iCs/>
      <w:color w:val="0F4761" w:themeColor="accent1" w:themeShade="BF"/>
    </w:rPr>
  </w:style>
  <w:style w:type="paragraph" w:styleId="Citadestacada">
    <w:name w:val="Intense Quote"/>
    <w:basedOn w:val="Normal"/>
    <w:next w:val="Normal"/>
    <w:link w:val="CitadestacadaCar"/>
    <w:uiPriority w:val="30"/>
    <w:qFormat/>
    <w:rsid w:val="00D21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D76"/>
    <w:rPr>
      <w:i/>
      <w:iCs/>
      <w:color w:val="0F4761" w:themeColor="accent1" w:themeShade="BF"/>
    </w:rPr>
  </w:style>
  <w:style w:type="character" w:styleId="Referenciaintensa">
    <w:name w:val="Intense Reference"/>
    <w:basedOn w:val="Fuentedeprrafopredeter"/>
    <w:uiPriority w:val="32"/>
    <w:qFormat/>
    <w:rsid w:val="00D21D76"/>
    <w:rPr>
      <w:b/>
      <w:bCs/>
      <w:smallCaps/>
      <w:color w:val="0F4761" w:themeColor="accent1" w:themeShade="BF"/>
      <w:spacing w:val="5"/>
    </w:rPr>
  </w:style>
  <w:style w:type="character" w:styleId="Hipervnculo">
    <w:name w:val="Hyperlink"/>
    <w:basedOn w:val="Fuentedeprrafopredeter"/>
    <w:uiPriority w:val="99"/>
    <w:unhideWhenUsed/>
    <w:rsid w:val="00D21D76"/>
    <w:rPr>
      <w:color w:val="467886" w:themeColor="hyperlink"/>
      <w:u w:val="single"/>
    </w:rPr>
  </w:style>
  <w:style w:type="character" w:styleId="Mencinsinresolver">
    <w:name w:val="Unresolved Mention"/>
    <w:basedOn w:val="Fuentedeprrafopredeter"/>
    <w:uiPriority w:val="99"/>
    <w:semiHidden/>
    <w:unhideWhenUsed/>
    <w:rsid w:val="00D2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4C664-1FAF-4FBF-9056-FEAA557AB0AC}"/>
</file>

<file path=customXml/itemProps2.xml><?xml version="1.0" encoding="utf-8"?>
<ds:datastoreItem xmlns:ds="http://schemas.openxmlformats.org/officeDocument/2006/customXml" ds:itemID="{5C515DE4-B6C5-409D-9D7E-97B780AA0BCE}"/>
</file>

<file path=customXml/itemProps3.xml><?xml version="1.0" encoding="utf-8"?>
<ds:datastoreItem xmlns:ds="http://schemas.openxmlformats.org/officeDocument/2006/customXml" ds:itemID="{11771446-0643-451B-9E41-CAA71FED3F2B}"/>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11455</Characters>
  <Application>Microsoft Office Word</Application>
  <DocSecurity>0</DocSecurity>
  <Lines>95</Lines>
  <Paragraphs>27</Paragraphs>
  <ScaleCrop>false</ScaleCrop>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2026-04-28T20:53:00Z</dcterms:created>
  <dcterms:modified xsi:type="dcterms:W3CDTF">2026-04-28T20:54:00Z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