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01C69" w14:textId="77777777" w:rsidR="00F916FD" w:rsidRPr="00F916FD" w:rsidRDefault="00F916FD" w:rsidP="00EF28C7">
      <w:pPr>
        <w:jc w:val="center"/>
        <w:rPr>
          <w:rFonts w:ascii="Verdana" w:hAnsi="Verdana"/>
          <w:sz w:val="22"/>
          <w:szCs w:val="22"/>
        </w:rPr>
      </w:pPr>
      <w:r w:rsidRPr="00F916FD">
        <w:rPr>
          <w:rFonts w:ascii="Verdana" w:hAnsi="Verdana"/>
          <w:b/>
          <w:bCs/>
          <w:sz w:val="22"/>
          <w:szCs w:val="22"/>
        </w:rPr>
        <w:t>CONCEPTO 27 DE 2014</w:t>
      </w:r>
    </w:p>
    <w:p w14:paraId="106EE1E8" w14:textId="1E12CCD4" w:rsidR="00F916FD" w:rsidRPr="00F916FD" w:rsidRDefault="00F916FD" w:rsidP="00EF28C7">
      <w:pPr>
        <w:jc w:val="center"/>
        <w:rPr>
          <w:rFonts w:ascii="Verdana" w:hAnsi="Verdana"/>
          <w:sz w:val="22"/>
          <w:szCs w:val="22"/>
        </w:rPr>
      </w:pPr>
      <w:r w:rsidRPr="00F916FD">
        <w:rPr>
          <w:rFonts w:ascii="Verdana" w:hAnsi="Verdana"/>
          <w:sz w:val="22"/>
          <w:szCs w:val="22"/>
        </w:rPr>
        <w:t>(</w:t>
      </w:r>
      <w:r w:rsidR="00EF28C7" w:rsidRPr="00F916FD">
        <w:rPr>
          <w:rFonts w:ascii="Verdana" w:hAnsi="Verdana"/>
          <w:sz w:val="22"/>
          <w:szCs w:val="22"/>
        </w:rPr>
        <w:t>marzo</w:t>
      </w:r>
      <w:r w:rsidRPr="00F916FD">
        <w:rPr>
          <w:rFonts w:ascii="Verdana" w:hAnsi="Verdana"/>
          <w:sz w:val="22"/>
          <w:szCs w:val="22"/>
        </w:rPr>
        <w:t xml:space="preserve"> 6)</w:t>
      </w:r>
    </w:p>
    <w:p w14:paraId="2A321D28" w14:textId="77777777" w:rsidR="00F916FD" w:rsidRPr="00F916FD" w:rsidRDefault="00F916FD" w:rsidP="00EF28C7">
      <w:pPr>
        <w:jc w:val="center"/>
        <w:rPr>
          <w:rFonts w:ascii="Verdana" w:hAnsi="Verdana"/>
          <w:sz w:val="22"/>
          <w:szCs w:val="22"/>
        </w:rPr>
      </w:pPr>
      <w:r w:rsidRPr="00F916FD">
        <w:rPr>
          <w:rFonts w:ascii="Verdana" w:hAnsi="Verdana"/>
          <w:b/>
          <w:bCs/>
          <w:sz w:val="22"/>
          <w:szCs w:val="22"/>
        </w:rPr>
        <w:t>INSTITUTO COLOMBIANO DE BIENESTAR FAMILIAR – ICBF</w:t>
      </w:r>
    </w:p>
    <w:p w14:paraId="4D607A7D" w14:textId="77777777" w:rsidR="00EF28C7" w:rsidRDefault="00EF28C7" w:rsidP="00F916FD">
      <w:pPr>
        <w:jc w:val="both"/>
        <w:rPr>
          <w:rFonts w:ascii="Verdana" w:hAnsi="Verdana"/>
          <w:sz w:val="22"/>
          <w:szCs w:val="22"/>
        </w:rPr>
      </w:pPr>
    </w:p>
    <w:p w14:paraId="2CB47BA8" w14:textId="7FCBED6D" w:rsidR="00F916FD" w:rsidRPr="00F916FD" w:rsidRDefault="00F916FD" w:rsidP="00F916FD">
      <w:pPr>
        <w:jc w:val="both"/>
        <w:rPr>
          <w:rFonts w:ascii="Verdana" w:hAnsi="Verdana"/>
          <w:sz w:val="22"/>
          <w:szCs w:val="22"/>
        </w:rPr>
      </w:pPr>
      <w:r w:rsidRPr="00F916FD">
        <w:rPr>
          <w:rFonts w:ascii="Verdana" w:hAnsi="Verdana"/>
          <w:b/>
          <w:bCs/>
          <w:sz w:val="22"/>
          <w:szCs w:val="22"/>
        </w:rPr>
        <w:t>Asunto:</w:t>
      </w:r>
      <w:r w:rsidRPr="00F916FD">
        <w:rPr>
          <w:rFonts w:ascii="Verdana" w:hAnsi="Verdana"/>
          <w:sz w:val="22"/>
          <w:szCs w:val="22"/>
        </w:rPr>
        <w:t> Consulta sobre dependencia económica de hijos mayores de edad.</w:t>
      </w:r>
    </w:p>
    <w:p w14:paraId="22F89C52" w14:textId="2F0762B5" w:rsidR="00F916FD" w:rsidRPr="00F916FD" w:rsidRDefault="00F916FD" w:rsidP="00F916FD">
      <w:pPr>
        <w:jc w:val="both"/>
        <w:rPr>
          <w:rFonts w:ascii="Verdana" w:hAnsi="Verdana"/>
          <w:sz w:val="22"/>
          <w:szCs w:val="22"/>
        </w:rPr>
      </w:pPr>
      <w:r w:rsidRPr="00F916FD">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ampliación de concepto definitivo sobre el caso en cuestión, en los términos que siguen:</w:t>
      </w:r>
    </w:p>
    <w:p w14:paraId="3691C9C9" w14:textId="467C045A" w:rsidR="00F916FD" w:rsidRPr="00F916FD" w:rsidRDefault="00EF28C7" w:rsidP="00F916FD">
      <w:pPr>
        <w:jc w:val="both"/>
        <w:rPr>
          <w:rFonts w:ascii="Verdana" w:hAnsi="Verdana"/>
          <w:sz w:val="22"/>
          <w:szCs w:val="22"/>
        </w:rPr>
      </w:pPr>
      <w:r w:rsidRPr="00F916FD">
        <w:rPr>
          <w:rFonts w:ascii="Verdana" w:hAnsi="Verdana"/>
          <w:b/>
          <w:bCs/>
          <w:i/>
          <w:iCs/>
          <w:sz w:val="22"/>
          <w:szCs w:val="22"/>
        </w:rPr>
        <w:t>¿A la Pregunta “¿Pueden ser beneficiario (sic) de los programas de bienestar de los que habla el decreto antes mencionado, los hijos de un anterior matrimonio de la compañera o compañero del funcionario o funcionaria vinculada con la entidad que otorga los programas de bienestar y legalmente no están adoptados o reconocidos como tales por dicho funcionario?</w:t>
      </w:r>
      <w:r w:rsidR="00F916FD" w:rsidRPr="00F916FD">
        <w:rPr>
          <w:rFonts w:ascii="Verdana" w:hAnsi="Verdana"/>
          <w:b/>
          <w:bCs/>
          <w:i/>
          <w:iCs/>
          <w:sz w:val="22"/>
          <w:szCs w:val="22"/>
        </w:rPr>
        <w:t xml:space="preserve"> (haciendo alusión al Decreto 1227 de 2005, artículo </w:t>
      </w:r>
      <w:r w:rsidR="00F916FD" w:rsidRPr="00F916FD">
        <w:rPr>
          <w:rFonts w:ascii="Verdana" w:hAnsi="Verdana"/>
          <w:i/>
          <w:iCs/>
          <w:sz w:val="22"/>
          <w:szCs w:val="22"/>
        </w:rPr>
        <w:t>70</w:t>
      </w:r>
      <w:r w:rsidR="00F916FD" w:rsidRPr="00F916FD">
        <w:rPr>
          <w:rFonts w:ascii="Verdana" w:hAnsi="Verdana"/>
          <w:b/>
          <w:bCs/>
          <w:i/>
          <w:iCs/>
          <w:sz w:val="22"/>
          <w:szCs w:val="22"/>
        </w:rPr>
        <w:t>, parágrafo 2o)?</w:t>
      </w:r>
    </w:p>
    <w:p w14:paraId="11F6EF40" w14:textId="7DF339CE" w:rsidR="00F916FD" w:rsidRPr="00F916FD" w:rsidRDefault="00F916FD" w:rsidP="00F916FD">
      <w:pPr>
        <w:jc w:val="both"/>
        <w:rPr>
          <w:rFonts w:ascii="Verdana" w:hAnsi="Verdana"/>
          <w:sz w:val="22"/>
          <w:szCs w:val="22"/>
        </w:rPr>
      </w:pPr>
      <w:r w:rsidRPr="00F916FD">
        <w:rPr>
          <w:rFonts w:ascii="Verdana" w:hAnsi="Verdana"/>
          <w:sz w:val="22"/>
          <w:szCs w:val="22"/>
        </w:rPr>
        <w:t xml:space="preserve">En el concepto emitido por </w:t>
      </w:r>
      <w:r w:rsidR="00EF28C7" w:rsidRPr="00F916FD">
        <w:rPr>
          <w:rFonts w:ascii="Verdana" w:hAnsi="Verdana"/>
          <w:sz w:val="22"/>
          <w:szCs w:val="22"/>
        </w:rPr>
        <w:t>esta</w:t>
      </w:r>
      <w:r w:rsidRPr="00F916FD">
        <w:rPr>
          <w:rFonts w:ascii="Verdana" w:hAnsi="Verdana"/>
          <w:sz w:val="22"/>
          <w:szCs w:val="22"/>
        </w:rPr>
        <w:t xml:space="preserve"> Oficina mediante Radicado No. 0534, del 20 de enero de 2014, dijimos que de conformidad con el artículo 411 del Código Civil, se deben alimentos a:</w:t>
      </w:r>
    </w:p>
    <w:p w14:paraId="49452BD0"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1o) Al cónyuge.</w:t>
      </w:r>
    </w:p>
    <w:p w14:paraId="7DAEA1ED" w14:textId="77777777" w:rsidR="00F916FD" w:rsidRPr="00F916FD" w:rsidRDefault="00F916FD" w:rsidP="00F916FD">
      <w:pPr>
        <w:jc w:val="both"/>
        <w:rPr>
          <w:rFonts w:ascii="Verdana" w:hAnsi="Verdana"/>
          <w:sz w:val="22"/>
          <w:szCs w:val="22"/>
        </w:rPr>
      </w:pPr>
      <w:r w:rsidRPr="00F916FD">
        <w:rPr>
          <w:rFonts w:ascii="Verdana" w:hAnsi="Verdana"/>
          <w:b/>
          <w:bCs/>
          <w:i/>
          <w:iCs/>
          <w:sz w:val="22"/>
          <w:szCs w:val="22"/>
        </w:rPr>
        <w:t>2o) A los descendientes.</w:t>
      </w:r>
    </w:p>
    <w:p w14:paraId="2F86F95C"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3o) A los ascendientes.</w:t>
      </w:r>
    </w:p>
    <w:p w14:paraId="6819066D"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4o) A cargo del cónyuge culpable, al cónyuge divorciado o separado de cuerpo sin su culpa.</w:t>
      </w:r>
    </w:p>
    <w:p w14:paraId="231872CB"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5o) A los hijos naturales, su posteridad y a los nietos naturales.</w:t>
      </w:r>
    </w:p>
    <w:p w14:paraId="7BF89E80"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6o) A los Ascendientes Naturales</w:t>
      </w:r>
    </w:p>
    <w:p w14:paraId="0BE57CA7"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7o) A los hijos adoptivos.</w:t>
      </w:r>
    </w:p>
    <w:p w14:paraId="7DEBD8B9"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8o) A los padres adoptantes.</w:t>
      </w:r>
    </w:p>
    <w:p w14:paraId="5BE62B0A"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9o) A los hermanos </w:t>
      </w:r>
      <w:r w:rsidRPr="00F916FD">
        <w:rPr>
          <w:rFonts w:ascii="Verdana" w:hAnsi="Verdana"/>
          <w:i/>
          <w:iCs/>
          <w:sz w:val="22"/>
          <w:szCs w:val="22"/>
          <w:u w:val="single"/>
        </w:rPr>
        <w:t>legítimos</w:t>
      </w:r>
      <w:r w:rsidRPr="00F916FD">
        <w:rPr>
          <w:rFonts w:ascii="Verdana" w:hAnsi="Verdana"/>
          <w:i/>
          <w:iCs/>
          <w:sz w:val="22"/>
          <w:szCs w:val="22"/>
        </w:rPr>
        <w:t>.</w:t>
      </w:r>
    </w:p>
    <w:p w14:paraId="280E05F6"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10) Al que hizo una donación cuantiosa si no hubiere sido rescindida o revocada.</w:t>
      </w:r>
    </w:p>
    <w:p w14:paraId="3D07745A"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t>La acción del donante se dirigirá contra el donatario.</w:t>
      </w:r>
    </w:p>
    <w:p w14:paraId="62076D32" w14:textId="77777777" w:rsidR="00F916FD" w:rsidRPr="00F916FD" w:rsidRDefault="00F916FD" w:rsidP="00F916FD">
      <w:pPr>
        <w:jc w:val="both"/>
        <w:rPr>
          <w:rFonts w:ascii="Verdana" w:hAnsi="Verdana"/>
          <w:sz w:val="22"/>
          <w:szCs w:val="22"/>
        </w:rPr>
      </w:pPr>
      <w:r w:rsidRPr="00F916FD">
        <w:rPr>
          <w:rFonts w:ascii="Verdana" w:hAnsi="Verdana"/>
          <w:i/>
          <w:iCs/>
          <w:sz w:val="22"/>
          <w:szCs w:val="22"/>
        </w:rPr>
        <w:lastRenderedPageBreak/>
        <w:t>No se deben alimentos a las personas aquí designadas en los casos en que una ley se los niegue, (subrayado fuera de texto).</w:t>
      </w:r>
    </w:p>
    <w:p w14:paraId="51F50276" w14:textId="77777777" w:rsidR="00F916FD" w:rsidRPr="00F916FD" w:rsidRDefault="00F916FD" w:rsidP="00F916FD">
      <w:pPr>
        <w:jc w:val="both"/>
        <w:rPr>
          <w:rFonts w:ascii="Verdana" w:hAnsi="Verdana"/>
          <w:sz w:val="22"/>
          <w:szCs w:val="22"/>
        </w:rPr>
      </w:pPr>
      <w:r w:rsidRPr="00F916FD">
        <w:rPr>
          <w:rFonts w:ascii="Verdana" w:hAnsi="Verdana"/>
          <w:sz w:val="22"/>
          <w:szCs w:val="22"/>
        </w:rPr>
        <w:t>Por su parte, la Corte Constitucional definió los alimentos como: </w:t>
      </w:r>
      <w:r w:rsidRPr="00F916FD">
        <w:rPr>
          <w:rFonts w:ascii="Verdana" w:hAnsi="Verdana"/>
          <w:i/>
          <w:iCs/>
          <w:sz w:val="22"/>
          <w:szCs w:val="22"/>
        </w:rPr>
        <w:t xml:space="preserve">"El derecho de alimentos es aquel que fe asiste a una persona para reclamar de la persona obligada legalmente a darlos, lo necesario para su subsistencia, cuando no está en capacidad de procurárselo por sus propios medios. Así la obligación alimentaria está en cabeza de </w:t>
      </w:r>
      <w:proofErr w:type="gramStart"/>
      <w:r w:rsidRPr="00F916FD">
        <w:rPr>
          <w:rFonts w:ascii="Verdana" w:hAnsi="Verdana"/>
          <w:i/>
          <w:iCs/>
          <w:sz w:val="22"/>
          <w:szCs w:val="22"/>
        </w:rPr>
        <w:t>quien</w:t>
      </w:r>
      <w:proofErr w:type="gramEnd"/>
      <w:r w:rsidRPr="00F916FD">
        <w:rPr>
          <w:rFonts w:ascii="Verdana" w:hAnsi="Verdana"/>
          <w:i/>
          <w:iCs/>
          <w:sz w:val="22"/>
          <w:szCs w:val="22"/>
        </w:rPr>
        <w:t xml:space="preserve"> por ley, debe sacrificar parte de su propiedad con el fin de garantizar la supervivencia y desarrollo del acreedor de alimentos".</w:t>
      </w:r>
      <w:r w:rsidRPr="00F916FD">
        <w:rPr>
          <w:rFonts w:ascii="Verdana" w:hAnsi="Verdana"/>
          <w:b/>
          <w:bCs/>
          <w:sz w:val="22"/>
          <w:szCs w:val="22"/>
          <w:vertAlign w:val="superscript"/>
        </w:rPr>
        <w:t>[1]</w:t>
      </w:r>
    </w:p>
    <w:p w14:paraId="3F6C46E7" w14:textId="77777777" w:rsidR="00F916FD" w:rsidRPr="00F916FD" w:rsidRDefault="00F916FD" w:rsidP="00F916FD">
      <w:pPr>
        <w:jc w:val="both"/>
        <w:rPr>
          <w:rFonts w:ascii="Verdana" w:hAnsi="Verdana"/>
          <w:sz w:val="22"/>
          <w:szCs w:val="22"/>
        </w:rPr>
      </w:pPr>
      <w:r w:rsidRPr="00F916FD">
        <w:rPr>
          <w:rFonts w:ascii="Verdana" w:hAnsi="Verdana"/>
          <w:sz w:val="22"/>
          <w:szCs w:val="22"/>
        </w:rPr>
        <w:t>En conclusión, el derecho de alimentos se deriva sin lugar a equívocos del vínculo familiar y es una obligación que tiene fundamento en el principio de la solidaridad, con la premisa que el alimentario no está en la capacidad de asegurarse su propia subsistencia.</w:t>
      </w:r>
    </w:p>
    <w:p w14:paraId="37E8E42F" w14:textId="77777777" w:rsidR="00F916FD" w:rsidRPr="00F916FD" w:rsidRDefault="00F916FD" w:rsidP="00F916FD">
      <w:pPr>
        <w:jc w:val="both"/>
        <w:rPr>
          <w:rFonts w:ascii="Verdana" w:hAnsi="Verdana"/>
          <w:sz w:val="22"/>
          <w:szCs w:val="22"/>
        </w:rPr>
      </w:pPr>
      <w:proofErr w:type="gramStart"/>
      <w:r w:rsidRPr="00F916FD">
        <w:rPr>
          <w:rFonts w:ascii="Verdana" w:hAnsi="Verdana"/>
          <w:sz w:val="22"/>
          <w:szCs w:val="22"/>
        </w:rPr>
        <w:t>De acuerdo a</w:t>
      </w:r>
      <w:proofErr w:type="gramEnd"/>
      <w:r w:rsidRPr="00F916FD">
        <w:rPr>
          <w:rFonts w:ascii="Verdana" w:hAnsi="Verdana"/>
          <w:sz w:val="22"/>
          <w:szCs w:val="22"/>
        </w:rPr>
        <w:t xml:space="preserve"> lo anterior, puede concluirse que los hijos de un anterior matrimonio del compañero o compañera o esposa del funcionario o funcionaria vinculada con una entidad que otorga diferentes programas de </w:t>
      </w:r>
      <w:proofErr w:type="gramStart"/>
      <w:r w:rsidRPr="00F916FD">
        <w:rPr>
          <w:rFonts w:ascii="Verdana" w:hAnsi="Verdana"/>
          <w:sz w:val="22"/>
          <w:szCs w:val="22"/>
        </w:rPr>
        <w:t>bienestar,</w:t>
      </w:r>
      <w:proofErr w:type="gramEnd"/>
      <w:r w:rsidRPr="00F916FD">
        <w:rPr>
          <w:rFonts w:ascii="Verdana" w:hAnsi="Verdana"/>
          <w:sz w:val="22"/>
          <w:szCs w:val="22"/>
        </w:rPr>
        <w:t xml:space="preserve"> no tienen ningún vínculo familiar o consanguíneo del cual se derive una obligación legal alimentaria. Sin embargo, las entidades públicas o </w:t>
      </w:r>
      <w:proofErr w:type="gramStart"/>
      <w:r w:rsidRPr="00F916FD">
        <w:rPr>
          <w:rFonts w:ascii="Verdana" w:hAnsi="Verdana"/>
          <w:sz w:val="22"/>
          <w:szCs w:val="22"/>
        </w:rPr>
        <w:t>privadas,</w:t>
      </w:r>
      <w:proofErr w:type="gramEnd"/>
      <w:r w:rsidRPr="00F916FD">
        <w:rPr>
          <w:rFonts w:ascii="Verdana" w:hAnsi="Verdana"/>
          <w:sz w:val="22"/>
          <w:szCs w:val="22"/>
        </w:rPr>
        <w:t xml:space="preserve"> podrán establecer </w:t>
      </w:r>
      <w:proofErr w:type="gramStart"/>
      <w:r w:rsidRPr="00F916FD">
        <w:rPr>
          <w:rFonts w:ascii="Verdana" w:hAnsi="Verdana"/>
          <w:sz w:val="22"/>
          <w:szCs w:val="22"/>
        </w:rPr>
        <w:t>de acuerdo a</w:t>
      </w:r>
      <w:proofErr w:type="gramEnd"/>
      <w:r w:rsidRPr="00F916FD">
        <w:rPr>
          <w:rFonts w:ascii="Verdana" w:hAnsi="Verdana"/>
          <w:sz w:val="22"/>
          <w:szCs w:val="22"/>
        </w:rPr>
        <w:t xml:space="preserve"> sus políticas otorgar o no a </w:t>
      </w:r>
      <w:proofErr w:type="gramStart"/>
      <w:r w:rsidRPr="00F916FD">
        <w:rPr>
          <w:rFonts w:ascii="Verdana" w:hAnsi="Verdana"/>
          <w:sz w:val="22"/>
          <w:szCs w:val="22"/>
        </w:rPr>
        <w:t>éstas</w:t>
      </w:r>
      <w:proofErr w:type="gramEnd"/>
      <w:r w:rsidRPr="00F916FD">
        <w:rPr>
          <w:rFonts w:ascii="Verdana" w:hAnsi="Verdana"/>
          <w:sz w:val="22"/>
          <w:szCs w:val="22"/>
        </w:rPr>
        <w:t xml:space="preserve"> personas los beneficios de los programas que tienen.</w:t>
      </w:r>
    </w:p>
    <w:p w14:paraId="7C86B7DC" w14:textId="63092969" w:rsidR="00F916FD" w:rsidRPr="00F916FD" w:rsidRDefault="00F916FD" w:rsidP="00F916FD">
      <w:pPr>
        <w:jc w:val="both"/>
        <w:rPr>
          <w:rFonts w:ascii="Verdana" w:hAnsi="Verdana"/>
          <w:sz w:val="22"/>
          <w:szCs w:val="22"/>
        </w:rPr>
      </w:pPr>
      <w:r w:rsidRPr="00F916FD">
        <w:rPr>
          <w:rFonts w:ascii="Verdana" w:hAnsi="Verdana"/>
          <w:sz w:val="22"/>
          <w:szCs w:val="22"/>
        </w:rPr>
        <w:t xml:space="preserve">Por </w:t>
      </w:r>
      <w:proofErr w:type="gramStart"/>
      <w:r w:rsidRPr="00F916FD">
        <w:rPr>
          <w:rFonts w:ascii="Verdana" w:hAnsi="Verdana"/>
          <w:sz w:val="22"/>
          <w:szCs w:val="22"/>
        </w:rPr>
        <w:t>último</w:t>
      </w:r>
      <w:proofErr w:type="gramEnd"/>
      <w:r w:rsidRPr="00F916FD">
        <w:rPr>
          <w:rFonts w:ascii="Verdana" w:hAnsi="Verdana"/>
          <w:sz w:val="22"/>
          <w:szCs w:val="22"/>
        </w:rPr>
        <w:t xml:space="preserve"> es preciso indicar que et presente </w:t>
      </w:r>
      <w:proofErr w:type="gramStart"/>
      <w:r w:rsidRPr="00F916FD">
        <w:rPr>
          <w:rFonts w:ascii="Verdana" w:hAnsi="Verdana"/>
          <w:sz w:val="22"/>
          <w:szCs w:val="22"/>
        </w:rPr>
        <w:t>concepto</w:t>
      </w:r>
      <w:r w:rsidRPr="00F916FD">
        <w:rPr>
          <w:rFonts w:ascii="Verdana" w:hAnsi="Verdana"/>
          <w:b/>
          <w:bCs/>
          <w:sz w:val="22"/>
          <w:szCs w:val="22"/>
          <w:vertAlign w:val="superscript"/>
        </w:rPr>
        <w:t>[</w:t>
      </w:r>
      <w:proofErr w:type="gramEnd"/>
      <w:r w:rsidRPr="00F916FD">
        <w:rPr>
          <w:rFonts w:ascii="Verdana" w:hAnsi="Verdana"/>
          <w:b/>
          <w:bCs/>
          <w:sz w:val="22"/>
          <w:szCs w:val="22"/>
          <w:vertAlign w:val="superscript"/>
        </w:rPr>
        <w:t>2]</w:t>
      </w:r>
      <w:r w:rsidRPr="00F916FD">
        <w:rPr>
          <w:rFonts w:ascii="Verdana" w:hAnsi="Verdana"/>
          <w:sz w:val="22"/>
          <w:szCs w:val="22"/>
        </w:rPr>
        <w:t xml:space="preserve"> no es de obligatorio cumplimiento o ejecución para particulares o agentes externos, de conformidad con lo establecido en el artículo 28 de la ley 1447 de 2011 &lt;sic, es 1437&gt;, Código de Procedimiento Administrativo y de lo Contencioso Administrativo. No </w:t>
      </w:r>
      <w:proofErr w:type="gramStart"/>
      <w:r w:rsidRPr="00F916FD">
        <w:rPr>
          <w:rFonts w:ascii="Verdana" w:hAnsi="Verdana"/>
          <w:sz w:val="22"/>
          <w:szCs w:val="22"/>
        </w:rPr>
        <w:t>obstante</w:t>
      </w:r>
      <w:proofErr w:type="gramEnd"/>
      <w:r w:rsidRPr="00F916FD">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75F9FF3" w14:textId="77777777" w:rsidR="00EF28C7" w:rsidRDefault="00EF28C7" w:rsidP="00F916FD">
      <w:pPr>
        <w:jc w:val="both"/>
        <w:rPr>
          <w:rFonts w:ascii="Verdana" w:hAnsi="Verdana"/>
          <w:sz w:val="22"/>
          <w:szCs w:val="22"/>
        </w:rPr>
      </w:pPr>
    </w:p>
    <w:p w14:paraId="57487C7D" w14:textId="1D2674E8" w:rsidR="00F916FD" w:rsidRPr="00F916FD" w:rsidRDefault="00F916FD" w:rsidP="00F916FD">
      <w:pPr>
        <w:jc w:val="both"/>
        <w:rPr>
          <w:rFonts w:ascii="Verdana" w:hAnsi="Verdana"/>
          <w:sz w:val="22"/>
          <w:szCs w:val="22"/>
        </w:rPr>
      </w:pPr>
      <w:r w:rsidRPr="00F916FD">
        <w:rPr>
          <w:rFonts w:ascii="Verdana" w:hAnsi="Verdana"/>
          <w:sz w:val="22"/>
          <w:szCs w:val="22"/>
        </w:rPr>
        <w:t>Cordialmente,</w:t>
      </w:r>
    </w:p>
    <w:p w14:paraId="12DCB422" w14:textId="77777777" w:rsidR="00F916FD" w:rsidRPr="00F916FD" w:rsidRDefault="00F916FD" w:rsidP="00F916FD">
      <w:pPr>
        <w:jc w:val="both"/>
        <w:rPr>
          <w:rFonts w:ascii="Verdana" w:hAnsi="Verdana"/>
          <w:sz w:val="22"/>
          <w:szCs w:val="22"/>
        </w:rPr>
      </w:pPr>
      <w:r w:rsidRPr="00F916FD">
        <w:rPr>
          <w:rFonts w:ascii="Verdana" w:hAnsi="Verdana"/>
          <w:b/>
          <w:bCs/>
          <w:sz w:val="22"/>
          <w:szCs w:val="22"/>
        </w:rPr>
        <w:t>LUISA MARINA BALLESTEROS ARISTIZABAL</w:t>
      </w:r>
    </w:p>
    <w:p w14:paraId="37F74555" w14:textId="77777777" w:rsidR="00F916FD" w:rsidRPr="00F916FD" w:rsidRDefault="00F916FD" w:rsidP="00F916FD">
      <w:pPr>
        <w:jc w:val="both"/>
        <w:rPr>
          <w:rFonts w:ascii="Verdana" w:hAnsi="Verdana"/>
          <w:sz w:val="22"/>
          <w:szCs w:val="22"/>
        </w:rPr>
      </w:pPr>
      <w:r w:rsidRPr="00F916FD">
        <w:rPr>
          <w:rFonts w:ascii="Verdana" w:hAnsi="Verdana"/>
          <w:sz w:val="22"/>
          <w:szCs w:val="22"/>
        </w:rPr>
        <w:t>Jefe Oficina Asesora Jurídica</w:t>
      </w:r>
    </w:p>
    <w:p w14:paraId="35093C13" w14:textId="77777777" w:rsidR="00EF28C7" w:rsidRDefault="00EF28C7" w:rsidP="00F916FD">
      <w:pPr>
        <w:jc w:val="both"/>
        <w:rPr>
          <w:rFonts w:ascii="Verdana" w:hAnsi="Verdana"/>
          <w:b/>
          <w:bCs/>
          <w:sz w:val="22"/>
          <w:szCs w:val="22"/>
        </w:rPr>
      </w:pPr>
    </w:p>
    <w:p w14:paraId="242BA493" w14:textId="5A882BE8" w:rsidR="00F916FD" w:rsidRPr="00F916FD" w:rsidRDefault="00F916FD" w:rsidP="00F916FD">
      <w:pPr>
        <w:jc w:val="both"/>
        <w:rPr>
          <w:rFonts w:ascii="Verdana" w:hAnsi="Verdana"/>
          <w:sz w:val="22"/>
          <w:szCs w:val="22"/>
        </w:rPr>
      </w:pPr>
      <w:r w:rsidRPr="00F916FD">
        <w:rPr>
          <w:rFonts w:ascii="Verdana" w:hAnsi="Verdana"/>
          <w:b/>
          <w:bCs/>
          <w:sz w:val="22"/>
          <w:szCs w:val="22"/>
        </w:rPr>
        <w:t>N</w:t>
      </w:r>
      <w:r w:rsidR="00EF28C7">
        <w:rPr>
          <w:rFonts w:ascii="Verdana" w:hAnsi="Verdana"/>
          <w:b/>
          <w:bCs/>
          <w:sz w:val="22"/>
          <w:szCs w:val="22"/>
        </w:rPr>
        <w:t xml:space="preserve">otas Pie de Página: </w:t>
      </w:r>
    </w:p>
    <w:p w14:paraId="395554F3" w14:textId="37757F58" w:rsidR="00F916FD" w:rsidRPr="00EF28C7" w:rsidRDefault="00F916FD" w:rsidP="00EF28C7">
      <w:pPr>
        <w:pStyle w:val="Prrafodelista"/>
        <w:numPr>
          <w:ilvl w:val="0"/>
          <w:numId w:val="33"/>
        </w:numPr>
        <w:jc w:val="both"/>
        <w:rPr>
          <w:rFonts w:ascii="Verdana" w:hAnsi="Verdana"/>
          <w:sz w:val="22"/>
          <w:szCs w:val="22"/>
        </w:rPr>
      </w:pPr>
      <w:r w:rsidRPr="00EF28C7">
        <w:rPr>
          <w:rFonts w:ascii="Verdana" w:hAnsi="Verdana"/>
          <w:sz w:val="22"/>
          <w:szCs w:val="22"/>
        </w:rPr>
        <w:lastRenderedPageBreak/>
        <w:t>Sentencia C-919 de 2001 M.P. Jalma Araujo Rentería</w:t>
      </w:r>
    </w:p>
    <w:p w14:paraId="19A8B4F0" w14:textId="68D8E70A" w:rsidR="00F916FD" w:rsidRPr="00EF28C7" w:rsidRDefault="00F916FD" w:rsidP="00EF28C7">
      <w:pPr>
        <w:pStyle w:val="Prrafodelista"/>
        <w:numPr>
          <w:ilvl w:val="0"/>
          <w:numId w:val="33"/>
        </w:numPr>
        <w:jc w:val="both"/>
        <w:rPr>
          <w:rFonts w:ascii="Verdana" w:hAnsi="Verdana"/>
          <w:sz w:val="22"/>
          <w:szCs w:val="22"/>
        </w:rPr>
      </w:pPr>
      <w:r w:rsidRPr="00EF28C7">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M.P. Antonio Barrera Carbonel.</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6"/>
  </w:num>
  <w:num w:numId="2" w16cid:durableId="1196507899">
    <w:abstractNumId w:val="15"/>
  </w:num>
  <w:num w:numId="3" w16cid:durableId="960693296">
    <w:abstractNumId w:val="11"/>
  </w:num>
  <w:num w:numId="4" w16cid:durableId="358314340">
    <w:abstractNumId w:val="25"/>
  </w:num>
  <w:num w:numId="5" w16cid:durableId="41293660">
    <w:abstractNumId w:val="14"/>
  </w:num>
  <w:num w:numId="6" w16cid:durableId="921529864">
    <w:abstractNumId w:val="24"/>
  </w:num>
  <w:num w:numId="7" w16cid:durableId="23949278">
    <w:abstractNumId w:val="29"/>
  </w:num>
  <w:num w:numId="8" w16cid:durableId="1015956597">
    <w:abstractNumId w:val="32"/>
  </w:num>
  <w:num w:numId="9" w16cid:durableId="1931308178">
    <w:abstractNumId w:val="28"/>
  </w:num>
  <w:num w:numId="10" w16cid:durableId="1297297334">
    <w:abstractNumId w:val="7"/>
  </w:num>
  <w:num w:numId="11" w16cid:durableId="1978758051">
    <w:abstractNumId w:val="1"/>
  </w:num>
  <w:num w:numId="12" w16cid:durableId="1341619597">
    <w:abstractNumId w:val="21"/>
  </w:num>
  <w:num w:numId="13" w16cid:durableId="366225028">
    <w:abstractNumId w:val="4"/>
  </w:num>
  <w:num w:numId="14" w16cid:durableId="917203800">
    <w:abstractNumId w:val="22"/>
  </w:num>
  <w:num w:numId="15" w16cid:durableId="1363091354">
    <w:abstractNumId w:val="8"/>
  </w:num>
  <w:num w:numId="16" w16cid:durableId="1256015573">
    <w:abstractNumId w:val="5"/>
  </w:num>
  <w:num w:numId="17" w16cid:durableId="676229082">
    <w:abstractNumId w:val="18"/>
  </w:num>
  <w:num w:numId="18" w16cid:durableId="1997806842">
    <w:abstractNumId w:val="16"/>
  </w:num>
  <w:num w:numId="19" w16cid:durableId="1175802387">
    <w:abstractNumId w:val="27"/>
  </w:num>
  <w:num w:numId="20" w16cid:durableId="129058303">
    <w:abstractNumId w:val="3"/>
  </w:num>
  <w:num w:numId="21" w16cid:durableId="972255551">
    <w:abstractNumId w:val="31"/>
  </w:num>
  <w:num w:numId="22" w16cid:durableId="415785170">
    <w:abstractNumId w:val="9"/>
  </w:num>
  <w:num w:numId="23" w16cid:durableId="859002360">
    <w:abstractNumId w:val="19"/>
  </w:num>
  <w:num w:numId="24" w16cid:durableId="1878354869">
    <w:abstractNumId w:val="12"/>
  </w:num>
  <w:num w:numId="25" w16cid:durableId="1439645944">
    <w:abstractNumId w:val="23"/>
  </w:num>
  <w:num w:numId="26" w16cid:durableId="1516112727">
    <w:abstractNumId w:val="10"/>
  </w:num>
  <w:num w:numId="27" w16cid:durableId="1631936836">
    <w:abstractNumId w:val="6"/>
  </w:num>
  <w:num w:numId="28" w16cid:durableId="93282053">
    <w:abstractNumId w:val="0"/>
  </w:num>
  <w:num w:numId="29" w16cid:durableId="653340151">
    <w:abstractNumId w:val="30"/>
  </w:num>
  <w:num w:numId="30" w16cid:durableId="1253667125">
    <w:abstractNumId w:val="13"/>
  </w:num>
  <w:num w:numId="31" w16cid:durableId="1654528347">
    <w:abstractNumId w:val="2"/>
  </w:num>
  <w:num w:numId="32" w16cid:durableId="191649102">
    <w:abstractNumId w:val="17"/>
  </w:num>
  <w:num w:numId="33" w16cid:durableId="1428189387">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EA1"/>
    <w:rsid w:val="00F74742"/>
    <w:rsid w:val="00F74B7A"/>
    <w:rsid w:val="00F916FD"/>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278</TotalTime>
  <Pages>3</Pages>
  <Words>845</Words>
  <Characters>4653</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191</cp:revision>
  <dcterms:created xsi:type="dcterms:W3CDTF">2026-05-08T19:08:00Z</dcterms:created>
  <dcterms:modified xsi:type="dcterms:W3CDTF">2026-07-21T02:09:00Z</dcterms:modified>
</cp:coreProperties>
</file>