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4570" w14:textId="77777777" w:rsidR="00F83643" w:rsidRPr="00F83643" w:rsidRDefault="00F83643" w:rsidP="00F83643">
      <w:pPr>
        <w:jc w:val="center"/>
        <w:rPr>
          <w:rFonts w:ascii="Verdana" w:hAnsi="Verdana"/>
          <w:sz w:val="22"/>
          <w:szCs w:val="22"/>
        </w:rPr>
      </w:pPr>
      <w:r w:rsidRPr="00F83643">
        <w:rPr>
          <w:rFonts w:ascii="Verdana" w:hAnsi="Verdana"/>
          <w:b/>
          <w:bCs/>
          <w:sz w:val="22"/>
          <w:szCs w:val="22"/>
        </w:rPr>
        <w:t>CONCEPTO 26 DE 2014</w:t>
      </w:r>
    </w:p>
    <w:p w14:paraId="6259C535" w14:textId="73B0536F" w:rsidR="00F83643" w:rsidRPr="00F83643" w:rsidRDefault="00F83643" w:rsidP="00F83643">
      <w:pPr>
        <w:jc w:val="center"/>
        <w:rPr>
          <w:rFonts w:ascii="Verdana" w:hAnsi="Verdana"/>
          <w:sz w:val="22"/>
          <w:szCs w:val="22"/>
        </w:rPr>
      </w:pPr>
      <w:r w:rsidRPr="00F83643">
        <w:rPr>
          <w:rFonts w:ascii="Verdana" w:hAnsi="Verdana"/>
          <w:sz w:val="22"/>
          <w:szCs w:val="22"/>
        </w:rPr>
        <w:t>(</w:t>
      </w:r>
      <w:r w:rsidRPr="00F83643">
        <w:rPr>
          <w:rFonts w:ascii="Verdana" w:hAnsi="Verdana"/>
          <w:sz w:val="22"/>
          <w:szCs w:val="22"/>
        </w:rPr>
        <w:t>marzo</w:t>
      </w:r>
      <w:r w:rsidRPr="00F83643">
        <w:rPr>
          <w:rFonts w:ascii="Verdana" w:hAnsi="Verdana"/>
          <w:sz w:val="22"/>
          <w:szCs w:val="22"/>
        </w:rPr>
        <w:t xml:space="preserve"> 5)</w:t>
      </w:r>
    </w:p>
    <w:p w14:paraId="0572AAF1" w14:textId="77777777" w:rsidR="00F83643" w:rsidRPr="00F83643" w:rsidRDefault="00F83643" w:rsidP="00F83643">
      <w:pPr>
        <w:jc w:val="center"/>
        <w:rPr>
          <w:rFonts w:ascii="Verdana" w:hAnsi="Verdana"/>
          <w:sz w:val="22"/>
          <w:szCs w:val="22"/>
        </w:rPr>
      </w:pPr>
      <w:r w:rsidRPr="00F83643">
        <w:rPr>
          <w:rFonts w:ascii="Verdana" w:hAnsi="Verdana"/>
          <w:b/>
          <w:bCs/>
          <w:sz w:val="22"/>
          <w:szCs w:val="22"/>
        </w:rPr>
        <w:t>INSTITUTO COLOMBIANO DE BIENESTAR FAMILIAR – ICBF</w:t>
      </w:r>
    </w:p>
    <w:p w14:paraId="5CD38B9A" w14:textId="77777777" w:rsidR="00F83643" w:rsidRDefault="00F83643" w:rsidP="00F83643">
      <w:pPr>
        <w:jc w:val="both"/>
        <w:rPr>
          <w:rFonts w:ascii="Verdana" w:hAnsi="Verdana"/>
          <w:b/>
          <w:bCs/>
          <w:sz w:val="22"/>
          <w:szCs w:val="22"/>
        </w:rPr>
      </w:pPr>
    </w:p>
    <w:p w14:paraId="6E2E5CC6" w14:textId="322BFE9D" w:rsidR="00F83643" w:rsidRPr="00F83643" w:rsidRDefault="00F83643" w:rsidP="00F83643">
      <w:pPr>
        <w:jc w:val="both"/>
        <w:rPr>
          <w:rFonts w:ascii="Verdana" w:hAnsi="Verdana"/>
          <w:sz w:val="22"/>
          <w:szCs w:val="22"/>
        </w:rPr>
      </w:pPr>
      <w:r w:rsidRPr="00F83643">
        <w:rPr>
          <w:rFonts w:ascii="Verdana" w:hAnsi="Verdana"/>
          <w:b/>
          <w:bCs/>
          <w:sz w:val="22"/>
          <w:szCs w:val="22"/>
        </w:rPr>
        <w:t>Para:</w:t>
      </w:r>
      <w:r w:rsidRPr="00F83643">
        <w:rPr>
          <w:rFonts w:ascii="Verdana" w:hAnsi="Verdana"/>
          <w:b/>
          <w:bCs/>
          <w:sz w:val="22"/>
          <w:szCs w:val="22"/>
        </w:rPr>
        <w:tab/>
      </w:r>
      <w:r w:rsidRPr="00F83643">
        <w:rPr>
          <w:rFonts w:ascii="Verdana" w:hAnsi="Verdana"/>
          <w:sz w:val="22"/>
          <w:szCs w:val="22"/>
        </w:rPr>
        <w:t>Coordinadora Grupo Jurídico</w:t>
      </w:r>
      <w:r>
        <w:rPr>
          <w:rFonts w:ascii="Verdana" w:hAnsi="Verdana"/>
          <w:sz w:val="22"/>
          <w:szCs w:val="22"/>
        </w:rPr>
        <w:t xml:space="preserve"> </w:t>
      </w:r>
      <w:r w:rsidRPr="00F83643">
        <w:rPr>
          <w:rFonts w:ascii="Verdana" w:hAnsi="Verdana"/>
          <w:sz w:val="22"/>
          <w:szCs w:val="22"/>
        </w:rPr>
        <w:t>Regional ICBF Quindío</w:t>
      </w:r>
    </w:p>
    <w:p w14:paraId="40BBF01D" w14:textId="71F7F90E" w:rsidR="00F83643" w:rsidRDefault="00F83643" w:rsidP="00F83643">
      <w:pPr>
        <w:jc w:val="both"/>
        <w:rPr>
          <w:rFonts w:ascii="Verdana" w:hAnsi="Verdana"/>
          <w:sz w:val="22"/>
          <w:szCs w:val="22"/>
        </w:rPr>
      </w:pPr>
      <w:r w:rsidRPr="00F83643">
        <w:rPr>
          <w:rFonts w:ascii="Verdana" w:hAnsi="Verdana"/>
          <w:b/>
          <w:bCs/>
          <w:sz w:val="22"/>
          <w:szCs w:val="22"/>
        </w:rPr>
        <w:t>Asunto:</w:t>
      </w:r>
      <w:r>
        <w:rPr>
          <w:rFonts w:ascii="Verdana" w:hAnsi="Verdana"/>
          <w:sz w:val="22"/>
          <w:szCs w:val="22"/>
        </w:rPr>
        <w:t xml:space="preserve"> </w:t>
      </w:r>
      <w:r w:rsidRPr="00F83643">
        <w:rPr>
          <w:rFonts w:ascii="Verdana" w:hAnsi="Verdana"/>
          <w:sz w:val="22"/>
          <w:szCs w:val="22"/>
        </w:rPr>
        <w:t>Competencia de los Defensores de Familia y Comisarios de Familia para conocer del proceso de alimentos de mayores de 18 años cuando estudian.</w:t>
      </w:r>
    </w:p>
    <w:p w14:paraId="4AF98E2B" w14:textId="77777777" w:rsidR="00F83643" w:rsidRDefault="00F83643" w:rsidP="00F83643">
      <w:pPr>
        <w:jc w:val="both"/>
        <w:rPr>
          <w:rFonts w:ascii="Verdana" w:hAnsi="Verdana"/>
          <w:sz w:val="22"/>
          <w:szCs w:val="22"/>
        </w:rPr>
      </w:pPr>
    </w:p>
    <w:p w14:paraId="3FD1C380" w14:textId="5EF038B2" w:rsidR="00F83643" w:rsidRPr="00F83643" w:rsidRDefault="00F83643" w:rsidP="00F83643">
      <w:pPr>
        <w:jc w:val="both"/>
        <w:rPr>
          <w:rFonts w:ascii="Verdana" w:hAnsi="Verdana"/>
          <w:sz w:val="22"/>
          <w:szCs w:val="22"/>
        </w:rPr>
      </w:pPr>
      <w:r w:rsidRPr="00F83643">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6D45EDA6" w14:textId="77777777" w:rsidR="00F83643" w:rsidRPr="00F83643" w:rsidRDefault="00F83643" w:rsidP="00F83643">
      <w:pPr>
        <w:jc w:val="both"/>
        <w:rPr>
          <w:rFonts w:ascii="Verdana" w:hAnsi="Verdana"/>
          <w:b/>
          <w:bCs/>
          <w:sz w:val="22"/>
          <w:szCs w:val="22"/>
        </w:rPr>
      </w:pPr>
      <w:r w:rsidRPr="00F83643">
        <w:rPr>
          <w:rFonts w:ascii="Verdana" w:hAnsi="Verdana"/>
          <w:b/>
          <w:bCs/>
          <w:sz w:val="22"/>
          <w:szCs w:val="22"/>
        </w:rPr>
        <w:t>1. PROBLEMA JURÍDICO</w:t>
      </w:r>
    </w:p>
    <w:p w14:paraId="2EBAE594" w14:textId="77777777" w:rsidR="00F83643" w:rsidRPr="00F83643" w:rsidRDefault="00F83643" w:rsidP="00F83643">
      <w:pPr>
        <w:jc w:val="both"/>
        <w:rPr>
          <w:rFonts w:ascii="Verdana" w:hAnsi="Verdana"/>
          <w:sz w:val="22"/>
          <w:szCs w:val="22"/>
        </w:rPr>
      </w:pPr>
      <w:r w:rsidRPr="00F83643">
        <w:rPr>
          <w:rFonts w:ascii="Verdana" w:hAnsi="Verdana"/>
          <w:sz w:val="22"/>
          <w:szCs w:val="22"/>
        </w:rPr>
        <w:t>¿Es competencia de los Defensores y Comisarios de Familia conocer de los procesos de alimentos de las personas que cumplen 18 años y estudian?</w:t>
      </w:r>
    </w:p>
    <w:p w14:paraId="53062460" w14:textId="77777777" w:rsidR="00F83643" w:rsidRPr="00F83643" w:rsidRDefault="00F83643" w:rsidP="00F83643">
      <w:pPr>
        <w:jc w:val="both"/>
        <w:rPr>
          <w:rFonts w:ascii="Verdana" w:hAnsi="Verdana"/>
          <w:b/>
          <w:bCs/>
          <w:sz w:val="22"/>
          <w:szCs w:val="22"/>
        </w:rPr>
      </w:pPr>
      <w:r w:rsidRPr="00F83643">
        <w:rPr>
          <w:rFonts w:ascii="Verdana" w:hAnsi="Verdana"/>
          <w:b/>
          <w:bCs/>
          <w:sz w:val="22"/>
          <w:szCs w:val="22"/>
        </w:rPr>
        <w:t>2. ANÁLISIS DEL PROBLEMA JURÍDICO</w:t>
      </w:r>
    </w:p>
    <w:p w14:paraId="2DAE46E6" w14:textId="77777777" w:rsidR="00F83643" w:rsidRPr="00F83643" w:rsidRDefault="00F83643" w:rsidP="00F83643">
      <w:pPr>
        <w:jc w:val="both"/>
        <w:rPr>
          <w:rFonts w:ascii="Verdana" w:hAnsi="Verdana"/>
          <w:sz w:val="22"/>
          <w:szCs w:val="22"/>
        </w:rPr>
      </w:pPr>
      <w:r w:rsidRPr="00F83643">
        <w:rPr>
          <w:rFonts w:ascii="Verdana" w:hAnsi="Verdana"/>
          <w:sz w:val="22"/>
          <w:szCs w:val="22"/>
        </w:rPr>
        <w:t>Se abordará el tema analizando: (2.1) El derecho de alimentos; (2.2) El derecho de alimentos para los hijos mayores de 18 años; (2.3) Funciones de los Defensores de Familia; (2.4) las Comisarías de Familia; (2.5) La competencia Subsidiaria; (2.6) conciliación extrajudicial en materia de familia y (2.7) Proceso de alimentos para mayores de 18 años.</w:t>
      </w:r>
    </w:p>
    <w:p w14:paraId="11E2BF19" w14:textId="77777777" w:rsidR="00F83643" w:rsidRPr="00F83643" w:rsidRDefault="00F83643" w:rsidP="00F83643">
      <w:pPr>
        <w:jc w:val="both"/>
        <w:rPr>
          <w:rFonts w:ascii="Verdana" w:hAnsi="Verdana"/>
          <w:sz w:val="22"/>
          <w:szCs w:val="22"/>
        </w:rPr>
      </w:pPr>
      <w:r w:rsidRPr="00F83643">
        <w:rPr>
          <w:rFonts w:ascii="Verdana" w:hAnsi="Verdana"/>
          <w:b/>
          <w:bCs/>
          <w:sz w:val="22"/>
          <w:szCs w:val="22"/>
        </w:rPr>
        <w:t>(2.1) El derecho de Alimentos</w:t>
      </w:r>
    </w:p>
    <w:p w14:paraId="42C9D7E1" w14:textId="559523A3" w:rsidR="00F83643" w:rsidRPr="00F83643" w:rsidRDefault="00F83643" w:rsidP="00F83643">
      <w:pPr>
        <w:jc w:val="both"/>
        <w:rPr>
          <w:rFonts w:ascii="Verdana" w:hAnsi="Verdana"/>
          <w:sz w:val="22"/>
          <w:szCs w:val="22"/>
        </w:rPr>
      </w:pPr>
      <w:r w:rsidRPr="00F83643">
        <w:rPr>
          <w:rFonts w:ascii="Verdana" w:hAnsi="Verdana"/>
          <w:sz w:val="22"/>
          <w:szCs w:val="22"/>
        </w:rPr>
        <w:t>La Constitución Política de Colombia reconoce a los niños, las niñas y los adolescentes como sujetos titulares de derechos y consagra en sus artículos 44 y 45 su protección integral y la prevalencia de sus derechos sobre los derechos de los demás.</w:t>
      </w:r>
    </w:p>
    <w:p w14:paraId="546BBC9C" w14:textId="77777777" w:rsidR="00F83643" w:rsidRPr="00F83643" w:rsidRDefault="00F83643" w:rsidP="00F83643">
      <w:pPr>
        <w:jc w:val="both"/>
        <w:rPr>
          <w:rFonts w:ascii="Verdana" w:hAnsi="Verdana"/>
          <w:sz w:val="22"/>
          <w:szCs w:val="22"/>
        </w:rPr>
      </w:pPr>
      <w:r w:rsidRPr="00F83643">
        <w:rPr>
          <w:rFonts w:ascii="Verdana" w:hAnsi="Verdana"/>
          <w:sz w:val="22"/>
          <w:szCs w:val="22"/>
        </w:rPr>
        <w:t>El derecho de alimentos es aquél que le asiste a una persona para reclamar de quien está obligado legalmente a dar, lo necesario para su subsistencia, cuando no está en capacidad de procurársela por sus propios medios. La obligación alimentaria se radica por ley en cabeza de una persona que debe sacrificar parte de su propiedad con el fin de garantizar la supervivencia y desarrollo del acreedor de los alimentos y tiene su sustento en el deber de solidaridad que une a los miembros más cercanos de una familia.</w:t>
      </w:r>
    </w:p>
    <w:p w14:paraId="442F9FC3" w14:textId="77777777" w:rsidR="00F83643" w:rsidRPr="00F83643" w:rsidRDefault="00F83643" w:rsidP="00F83643">
      <w:pPr>
        <w:jc w:val="both"/>
        <w:rPr>
          <w:rFonts w:ascii="Verdana" w:hAnsi="Verdana"/>
          <w:sz w:val="22"/>
          <w:szCs w:val="22"/>
        </w:rPr>
      </w:pPr>
      <w:r w:rsidRPr="00F83643">
        <w:rPr>
          <w:rFonts w:ascii="Verdana" w:hAnsi="Verdana"/>
          <w:sz w:val="22"/>
          <w:szCs w:val="22"/>
        </w:rPr>
        <w:lastRenderedPageBreak/>
        <w:t>El deber de asistencia alimentaria se establece sobre dos requisitos fundamentales: la necesidad del beneficiario y la capacidad del deudor, quien debe ayudar a la subsistencia de sus parientes, sin que ello implique el sacrificio de su propia existencia.</w:t>
      </w:r>
    </w:p>
    <w:p w14:paraId="7210D5AD" w14:textId="77777777" w:rsidR="00F83643" w:rsidRPr="00F83643" w:rsidRDefault="00F83643" w:rsidP="00F83643">
      <w:pPr>
        <w:jc w:val="both"/>
        <w:rPr>
          <w:rFonts w:ascii="Verdana" w:hAnsi="Verdana"/>
          <w:sz w:val="22"/>
          <w:szCs w:val="22"/>
        </w:rPr>
      </w:pPr>
      <w:r w:rsidRPr="00F83643">
        <w:rPr>
          <w:rFonts w:ascii="Verdana" w:hAnsi="Verdana"/>
          <w:sz w:val="22"/>
          <w:szCs w:val="22"/>
        </w:rPr>
        <w:t>Los términos de la obligación aparecen regulados en la ley, que contiene normas sobre los titulares del derecho, las clases de alimentos, las reglas para tasarlos, la duración de la obligación, los alimentos provisionales; el concepto de la obligación, las vías judiciales para reclamarlos, el procedimiento que debe agotarse para el efecto, y el trámite judicial para reclamar alimentos para mayores de edad.</w:t>
      </w:r>
    </w:p>
    <w:p w14:paraId="0AE245E3" w14:textId="67CA7818" w:rsidR="00F83643" w:rsidRPr="00F83643" w:rsidRDefault="00F83643" w:rsidP="00F83643">
      <w:pPr>
        <w:jc w:val="both"/>
        <w:rPr>
          <w:rFonts w:ascii="Verdana" w:hAnsi="Verdana"/>
          <w:sz w:val="22"/>
          <w:szCs w:val="22"/>
        </w:rPr>
      </w:pPr>
      <w:r w:rsidRPr="00F83643">
        <w:rPr>
          <w:rFonts w:ascii="Verdana" w:hAnsi="Verdana"/>
          <w:sz w:val="22"/>
          <w:szCs w:val="22"/>
        </w:rPr>
        <w:t>El artículo 24</w:t>
      </w:r>
      <w:r w:rsidRPr="00F83643">
        <w:rPr>
          <w:rFonts w:ascii="Verdana" w:hAnsi="Verdana"/>
          <w:b/>
          <w:bCs/>
          <w:sz w:val="22"/>
          <w:szCs w:val="22"/>
          <w:vertAlign w:val="superscript"/>
        </w:rPr>
        <w:t>(1)</w:t>
      </w:r>
      <w:r w:rsidRPr="00F83643">
        <w:rPr>
          <w:rFonts w:ascii="Verdana" w:hAnsi="Verdana"/>
          <w:sz w:val="22"/>
          <w:szCs w:val="22"/>
        </w:rPr>
        <w:t> de la Ley 1098 de 2006 consagra el derecho a los alimentos entendiendo por ellos todo lo que es necesario para el desarrollo integral de los niños, las niñas y los adolescentes y lo que es indispensable para su sustento, habitación, vestido, asistencia médica, recreación, educación o instrucción que garantice su desarrollo físico, psicológico, espiritual, moral, cultural y social, de acuerdo con la capacidad económica del alimentante.</w:t>
      </w:r>
    </w:p>
    <w:p w14:paraId="259FC8A5" w14:textId="41091DE5" w:rsidR="00F83643" w:rsidRPr="00F83643" w:rsidRDefault="00F83643" w:rsidP="00F83643">
      <w:pPr>
        <w:jc w:val="both"/>
        <w:rPr>
          <w:rFonts w:ascii="Verdana" w:hAnsi="Verdana"/>
          <w:sz w:val="22"/>
          <w:szCs w:val="22"/>
        </w:rPr>
      </w:pPr>
      <w:r w:rsidRPr="00F83643">
        <w:rPr>
          <w:rFonts w:ascii="Verdana" w:hAnsi="Verdana"/>
          <w:sz w:val="22"/>
          <w:szCs w:val="22"/>
        </w:rPr>
        <w:t>El proceso de alimentos se encuentra consagrado en el Decreto 2737 de 1989-Código del Menor-, norma que pese a haber sido derogada por la Ley 1098 de 2006 - Código de la Infancia y la Adolescencia-, por expresa disposición del artículo 217 de este estatuto, mantuvo vigentes entre otros los artículos referentes al proceso de alimentos, para fijar la cuota alimentaria se puede acudir por vía administrativa a conciliar la misma, ante la Defensoría de Familia, Comisario de Familia o Inspector de Policía del sitio donde reside los hijos, en dicha conciliación se determinará la cuantía de la obligación alimentaría, el lugar y forma de su cumplimiento, la persona a quien debe hacerse el pago, los descuentos salariales, sus garantías y demás aspectos que se estimen necesarios, requisito de procedibilidad para acudir en caso necesario y de no llegar a un acuerdo a la jurisdicción de familia.</w:t>
      </w:r>
    </w:p>
    <w:p w14:paraId="7DE117BD" w14:textId="77777777" w:rsidR="00F83643" w:rsidRPr="00F83643" w:rsidRDefault="00F83643" w:rsidP="00F83643">
      <w:pPr>
        <w:jc w:val="both"/>
        <w:rPr>
          <w:rFonts w:ascii="Verdana" w:hAnsi="Verdana"/>
          <w:sz w:val="22"/>
          <w:szCs w:val="22"/>
        </w:rPr>
      </w:pPr>
      <w:r w:rsidRPr="00F83643">
        <w:rPr>
          <w:rFonts w:ascii="Verdana" w:hAnsi="Verdana"/>
          <w:b/>
          <w:bCs/>
          <w:sz w:val="22"/>
          <w:szCs w:val="22"/>
          <w:u w:val="single"/>
        </w:rPr>
        <w:t>(2.2) El derecho de los alimentos para los hijos mayores de edad</w:t>
      </w:r>
    </w:p>
    <w:p w14:paraId="3F589789" w14:textId="24616661" w:rsidR="00F83643" w:rsidRPr="00F83643" w:rsidRDefault="00F83643" w:rsidP="00F83643">
      <w:pPr>
        <w:jc w:val="both"/>
        <w:rPr>
          <w:rFonts w:ascii="Verdana" w:hAnsi="Verdana"/>
          <w:sz w:val="22"/>
          <w:szCs w:val="22"/>
        </w:rPr>
      </w:pPr>
      <w:r w:rsidRPr="00F83643">
        <w:rPr>
          <w:rFonts w:ascii="Verdana" w:hAnsi="Verdana"/>
          <w:sz w:val="22"/>
          <w:szCs w:val="22"/>
        </w:rPr>
        <w:t>La ley establece como edad límite para la obligación alimentaria los dieciocho (18) años, en concordancia con la Ley 27 de 1977 y las normas especiales sobre patria potestad que traen el Código Civil y sus normas complementarias, pero establece dos excepciones en el artículo 422 </w:t>
      </w:r>
      <w:proofErr w:type="spellStart"/>
      <w:r w:rsidRPr="00F83643">
        <w:rPr>
          <w:rFonts w:ascii="Verdana" w:hAnsi="Verdana"/>
          <w:sz w:val="22"/>
          <w:szCs w:val="22"/>
        </w:rPr>
        <w:t>ibídem</w:t>
      </w:r>
      <w:proofErr w:type="spellEnd"/>
      <w:r w:rsidRPr="00F83643">
        <w:rPr>
          <w:rFonts w:ascii="Verdana" w:hAnsi="Verdana"/>
          <w:sz w:val="22"/>
          <w:szCs w:val="22"/>
        </w:rPr>
        <w:t>, así:</w:t>
      </w:r>
    </w:p>
    <w:p w14:paraId="44BA2F92" w14:textId="0ADAAFCF" w:rsidR="00F83643" w:rsidRPr="00F83643" w:rsidRDefault="00F83643" w:rsidP="00F83643">
      <w:pPr>
        <w:jc w:val="both"/>
        <w:rPr>
          <w:rFonts w:ascii="Verdana" w:hAnsi="Verdana"/>
          <w:sz w:val="22"/>
          <w:szCs w:val="22"/>
        </w:rPr>
      </w:pPr>
      <w:r w:rsidRPr="00F83643">
        <w:rPr>
          <w:rFonts w:ascii="Verdana" w:hAnsi="Verdana"/>
          <w:sz w:val="22"/>
          <w:szCs w:val="22"/>
        </w:rPr>
        <w:t>1. Es el caso de la persona impedida físicamente para trabajar, lo cual también se encuentra establecido en la Constitución Política en su artículo 42, inciso 6.</w:t>
      </w:r>
    </w:p>
    <w:p w14:paraId="35BFD4D9" w14:textId="77777777" w:rsidR="00F83643" w:rsidRPr="00F83643" w:rsidRDefault="00F83643" w:rsidP="00F83643">
      <w:pPr>
        <w:jc w:val="both"/>
        <w:rPr>
          <w:rFonts w:ascii="Verdana" w:hAnsi="Verdana"/>
          <w:sz w:val="22"/>
          <w:szCs w:val="22"/>
        </w:rPr>
      </w:pPr>
      <w:r w:rsidRPr="00F83643">
        <w:rPr>
          <w:rFonts w:ascii="Verdana" w:hAnsi="Verdana"/>
          <w:sz w:val="22"/>
          <w:szCs w:val="22"/>
        </w:rPr>
        <w:t>2. La incapacidad económica, generada por la imposibilidad de ubicación laboral o retribución económica mínima, caso en el cual si el adolescente continúa con sus estudios es obligatorio seguir cumpliendo con la obligación alimentaria.</w:t>
      </w:r>
    </w:p>
    <w:p w14:paraId="1B555663" w14:textId="77777777" w:rsidR="00F83643" w:rsidRPr="00F83643" w:rsidRDefault="00F83643" w:rsidP="00F83643">
      <w:pPr>
        <w:jc w:val="both"/>
        <w:rPr>
          <w:rFonts w:ascii="Verdana" w:hAnsi="Verdana"/>
          <w:sz w:val="22"/>
          <w:szCs w:val="22"/>
        </w:rPr>
      </w:pPr>
      <w:r w:rsidRPr="00F83643">
        <w:rPr>
          <w:rFonts w:ascii="Verdana" w:hAnsi="Verdana"/>
          <w:sz w:val="22"/>
          <w:szCs w:val="22"/>
        </w:rPr>
        <w:lastRenderedPageBreak/>
        <w:t>Pese a todo lo expuesto, el elemento esencial para extinguir la obligación alimentaria lo constituye la superación de las condiciones que dieron origen a la solicitud o requerimiento de alimentos y, mientras no se presente esta circunstancia, el sentido de solidaridad humana y la existencia del parentesco y la filiación no admiten barreras temporales para cesar la ayuda, y así lo han reconocido tanto la justicia ordinaria civil como la constitucional.</w:t>
      </w:r>
    </w:p>
    <w:p w14:paraId="33DFC75E" w14:textId="2E8CC7D4" w:rsidR="00F83643" w:rsidRPr="00F83643" w:rsidRDefault="00F83643" w:rsidP="00F83643">
      <w:pPr>
        <w:jc w:val="both"/>
        <w:rPr>
          <w:rFonts w:ascii="Verdana" w:hAnsi="Verdana"/>
          <w:sz w:val="22"/>
          <w:szCs w:val="22"/>
        </w:rPr>
      </w:pPr>
      <w:r w:rsidRPr="00F83643">
        <w:rPr>
          <w:rFonts w:ascii="Verdana" w:hAnsi="Verdana"/>
          <w:sz w:val="22"/>
          <w:szCs w:val="22"/>
        </w:rPr>
        <w:t>El artículo 422 del Código Civil establece que:</w:t>
      </w:r>
    </w:p>
    <w:p w14:paraId="2AF02BDB"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“DURACION DE LA OBLIGACION. Los alimentos que se deben por ley; se entienden concedidos para toda la vida del alimentario, continuando las circunstancias que legitimaron la demanda.</w:t>
      </w:r>
    </w:p>
    <w:p w14:paraId="5ACF27B4"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 xml:space="preserve">Con todo, ningún varón de aquéllos a quienes sólo se deben alimentos necesarios, podrá pedirlos después que haya cumplido veintiún años, salvo </w:t>
      </w:r>
      <w:proofErr w:type="gramStart"/>
      <w:r w:rsidRPr="00F83643">
        <w:rPr>
          <w:rFonts w:ascii="Verdana" w:hAnsi="Verdana"/>
          <w:i/>
          <w:iCs/>
          <w:sz w:val="22"/>
          <w:szCs w:val="22"/>
        </w:rPr>
        <w:t>que</w:t>
      </w:r>
      <w:proofErr w:type="gramEnd"/>
      <w:r w:rsidRPr="00F83643">
        <w:rPr>
          <w:rFonts w:ascii="Verdana" w:hAnsi="Verdana"/>
          <w:i/>
          <w:iCs/>
          <w:sz w:val="22"/>
          <w:szCs w:val="22"/>
        </w:rPr>
        <w:t xml:space="preserve"> por algún impedimento corporal o mental, se halle inhabilitado para subsistir de su trabajo; pero si posteriormente se inhabilitare, revivirá la obligación de alimentarle".</w:t>
      </w:r>
    </w:p>
    <w:p w14:paraId="5833189A" w14:textId="77777777" w:rsidR="00F83643" w:rsidRPr="00F83643" w:rsidRDefault="00F83643" w:rsidP="00F83643">
      <w:pPr>
        <w:jc w:val="both"/>
        <w:rPr>
          <w:rFonts w:ascii="Verdana" w:hAnsi="Verdana"/>
          <w:sz w:val="22"/>
          <w:szCs w:val="22"/>
        </w:rPr>
      </w:pPr>
      <w:proofErr w:type="gramStart"/>
      <w:r w:rsidRPr="00F83643">
        <w:rPr>
          <w:rFonts w:ascii="Verdana" w:hAnsi="Verdana"/>
          <w:sz w:val="22"/>
          <w:szCs w:val="22"/>
        </w:rPr>
        <w:t>De acuerdo a</w:t>
      </w:r>
      <w:proofErr w:type="gramEnd"/>
      <w:r w:rsidRPr="00F83643">
        <w:rPr>
          <w:rFonts w:ascii="Verdana" w:hAnsi="Verdana"/>
          <w:sz w:val="22"/>
          <w:szCs w:val="22"/>
        </w:rPr>
        <w:t xml:space="preserve"> la anterior normatividad, se deben alimentos necesarios al hijo que estudia </w:t>
      </w:r>
      <w:proofErr w:type="gramStart"/>
      <w:r w:rsidRPr="00F83643">
        <w:rPr>
          <w:rFonts w:ascii="Verdana" w:hAnsi="Verdana"/>
          <w:sz w:val="22"/>
          <w:szCs w:val="22"/>
        </w:rPr>
        <w:t>a pesar que</w:t>
      </w:r>
      <w:proofErr w:type="gramEnd"/>
      <w:r w:rsidRPr="00F83643">
        <w:rPr>
          <w:rFonts w:ascii="Verdana" w:hAnsi="Verdana"/>
          <w:sz w:val="22"/>
          <w:szCs w:val="22"/>
        </w:rPr>
        <w:t xml:space="preserve"> haya cumplido la mayoría de edad, siempre que subsista el impedimento para trabajar, y este derecho estará vigente hasta tanto no se demuestre que han cesado las circunstancias que estructuraron la obligación de dar alimentos, cuales son la necesidad que tiene el alimentario y la capacidad del alimentante de suministrarlos.</w:t>
      </w:r>
    </w:p>
    <w:p w14:paraId="3B43C195" w14:textId="77777777" w:rsidR="00F83643" w:rsidRPr="00F83643" w:rsidRDefault="00F83643" w:rsidP="00F83643">
      <w:pPr>
        <w:jc w:val="both"/>
        <w:rPr>
          <w:rFonts w:ascii="Verdana" w:hAnsi="Verdana"/>
          <w:sz w:val="22"/>
          <w:szCs w:val="22"/>
        </w:rPr>
      </w:pPr>
      <w:r w:rsidRPr="00F83643">
        <w:rPr>
          <w:rFonts w:ascii="Verdana" w:hAnsi="Verdana"/>
          <w:sz w:val="22"/>
          <w:szCs w:val="22"/>
        </w:rPr>
        <w:t>La Corte Suprema de Justicia, ha determinado de manera reiterada que el cumplimiento de la mayoría de edad no constituye razón suficiente para perder los alimentos si el acreedor alimentario se encuentra adelantando estudios y no tiene la disponibilidad de tiempo para realizar una actividad laboral de la cual pueda derivar su subsistencia, en efecto dijo:</w:t>
      </w:r>
    </w:p>
    <w:p w14:paraId="316651B6" w14:textId="0B7C5C97" w:rsidR="00F83643" w:rsidRPr="00F83643" w:rsidRDefault="00F83643" w:rsidP="00F83643">
      <w:pPr>
        <w:jc w:val="both"/>
        <w:rPr>
          <w:rFonts w:ascii="Verdana" w:hAnsi="Verdana"/>
          <w:sz w:val="22"/>
          <w:szCs w:val="22"/>
        </w:rPr>
      </w:pPr>
      <w:r w:rsidRPr="00F83643">
        <w:rPr>
          <w:rFonts w:ascii="Verdana" w:hAnsi="Verdana"/>
          <w:i/>
          <w:iCs/>
          <w:sz w:val="22"/>
          <w:szCs w:val="22"/>
        </w:rPr>
        <w:t>“Para este específico caso ha de tenerse en cuenta lo dicho por esta Corporación al estudiar el alcance que la jurisprudencia le ha dado al artículo 422 del Código Civil, cuándo establece que se deben alimentos necesarios al hijo que estudia, aunque haya alcanzado la mayoría de edad, siempre que no exista la prueba de que subsiste por sus propios medios.</w:t>
      </w:r>
    </w:p>
    <w:p w14:paraId="3D599220"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 xml:space="preserve">En efecto, como se viene de verse, la norma aludida establece que los alimentos que se deben por </w:t>
      </w:r>
      <w:proofErr w:type="gramStart"/>
      <w:r w:rsidRPr="00F83643">
        <w:rPr>
          <w:rFonts w:ascii="Verdana" w:hAnsi="Verdana"/>
          <w:i/>
          <w:iCs/>
          <w:sz w:val="22"/>
          <w:szCs w:val="22"/>
        </w:rPr>
        <w:t>ley,</w:t>
      </w:r>
      <w:proofErr w:type="gramEnd"/>
      <w:r w:rsidRPr="00F83643">
        <w:rPr>
          <w:rFonts w:ascii="Verdana" w:hAnsi="Verdana"/>
          <w:i/>
          <w:iCs/>
          <w:sz w:val="22"/>
          <w:szCs w:val="22"/>
        </w:rPr>
        <w:t xml:space="preserve"> se entienden concedidos por toda la vida del alimentario, mientras se halle inhabilitado o impedido para subsistir de su trabajo, caso de haber llegado a la mayoría de edad."</w:t>
      </w:r>
      <w:r w:rsidRPr="00F83643">
        <w:rPr>
          <w:rFonts w:ascii="Verdana" w:hAnsi="Verdana"/>
          <w:b/>
          <w:bCs/>
          <w:sz w:val="22"/>
          <w:szCs w:val="22"/>
          <w:vertAlign w:val="superscript"/>
        </w:rPr>
        <w:t>(2)</w:t>
      </w:r>
    </w:p>
    <w:p w14:paraId="3047BBC1" w14:textId="77777777" w:rsidR="00F83643" w:rsidRPr="00F83643" w:rsidRDefault="00F83643" w:rsidP="00F83643">
      <w:pPr>
        <w:jc w:val="both"/>
        <w:rPr>
          <w:rFonts w:ascii="Verdana" w:hAnsi="Verdana"/>
          <w:sz w:val="22"/>
          <w:szCs w:val="22"/>
        </w:rPr>
      </w:pPr>
      <w:r w:rsidRPr="00F83643">
        <w:rPr>
          <w:rFonts w:ascii="Verdana" w:hAnsi="Verdana"/>
          <w:sz w:val="22"/>
          <w:szCs w:val="22"/>
        </w:rPr>
        <w:t>En lo que respecta a terminación de la obligación de suministrar alimentos, la Corte dijo:</w:t>
      </w:r>
    </w:p>
    <w:p w14:paraId="4AFAA4B1"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lastRenderedPageBreak/>
        <w:t xml:space="preserve">"... Por otra parte, llegándose a </w:t>
      </w:r>
      <w:proofErr w:type="gramStart"/>
      <w:r w:rsidRPr="00F83643">
        <w:rPr>
          <w:rFonts w:ascii="Verdana" w:hAnsi="Verdana"/>
          <w:i/>
          <w:iCs/>
          <w:sz w:val="22"/>
          <w:szCs w:val="22"/>
        </w:rPr>
        <w:t>darla</w:t>
      </w:r>
      <w:proofErr w:type="gramEnd"/>
      <w:r w:rsidRPr="00F83643">
        <w:rPr>
          <w:rFonts w:ascii="Verdana" w:hAnsi="Verdana"/>
          <w:i/>
          <w:iCs/>
          <w:sz w:val="22"/>
          <w:szCs w:val="22"/>
        </w:rPr>
        <w:t xml:space="preserve"> circunstancia que permita al alimentante exonerarse de su obligación de proporcionar alimentos, esta debe ser alegada por el interesado en que así se declare, a través del proceso correspondiente, sin que le sea permitido al juez, sin presentarse ni siquiera la correspondiente demanda ni aun de oficio, entrar a decretar tal exoneración. (...) Así entonces, en tales circunstancias resulta inequívoco y manifiestamente ilegal el proveimiento consistente en decir que, por haber llegado a la mayoría de edad el alimentario, la obligación de tal naturaleza que a través del proceso correspondiente venía cumpliéndose, queda extinguida y, por lo tanto, tenga que exonerarse sin más de prestar alimentos a quien se encuentra obligado a ello; hacerlo así, no es más ni menos que arremeter contra la normatividad vigente y actuar el funcionario fundado en su propio parecer personal (…)”</w:t>
      </w:r>
      <w:r w:rsidRPr="00F83643">
        <w:rPr>
          <w:rFonts w:ascii="Verdana" w:hAnsi="Verdana"/>
          <w:b/>
          <w:bCs/>
          <w:sz w:val="22"/>
          <w:szCs w:val="22"/>
          <w:vertAlign w:val="superscript"/>
        </w:rPr>
        <w:t>(3)</w:t>
      </w:r>
    </w:p>
    <w:p w14:paraId="0C8D0261" w14:textId="77777777" w:rsidR="00F83643" w:rsidRPr="00F83643" w:rsidRDefault="00F83643" w:rsidP="00F83643">
      <w:pPr>
        <w:jc w:val="both"/>
        <w:rPr>
          <w:rFonts w:ascii="Verdana" w:hAnsi="Verdana"/>
          <w:sz w:val="22"/>
          <w:szCs w:val="22"/>
        </w:rPr>
      </w:pPr>
      <w:r w:rsidRPr="00F83643">
        <w:rPr>
          <w:rFonts w:ascii="Verdana" w:hAnsi="Verdana"/>
          <w:b/>
          <w:bCs/>
          <w:sz w:val="22"/>
          <w:szCs w:val="22"/>
        </w:rPr>
        <w:t>(2.3) Funciones de los Defensores de Familia</w:t>
      </w:r>
    </w:p>
    <w:p w14:paraId="18A1022E" w14:textId="77777777" w:rsidR="00F83643" w:rsidRPr="00F83643" w:rsidRDefault="00F83643" w:rsidP="00F83643">
      <w:pPr>
        <w:jc w:val="both"/>
        <w:rPr>
          <w:rFonts w:ascii="Verdana" w:hAnsi="Verdana"/>
          <w:sz w:val="22"/>
          <w:szCs w:val="22"/>
        </w:rPr>
      </w:pPr>
      <w:r w:rsidRPr="00F83643">
        <w:rPr>
          <w:rFonts w:ascii="Verdana" w:hAnsi="Verdana"/>
          <w:sz w:val="22"/>
          <w:szCs w:val="22"/>
        </w:rPr>
        <w:t>La actividad de todos los operadores del Sistema Nacional de Bienestar Familiar, con mayor énfasis los de naturaleza administrativa creados para asumir la defensa y protección de niños, niñas y adolescentes como esencia del núcleo familiar, es una actividad reglada y determinada por los parámetros constitucionales que indican que no existirán cargos sin que la ley y la Carta Política los hayan previsto con asignación de sus respectivas funciones.</w:t>
      </w:r>
    </w:p>
    <w:p w14:paraId="73DD685D" w14:textId="77777777" w:rsidR="00F83643" w:rsidRPr="00F83643" w:rsidRDefault="00F83643" w:rsidP="00F83643">
      <w:pPr>
        <w:jc w:val="both"/>
        <w:rPr>
          <w:rFonts w:ascii="Verdana" w:hAnsi="Verdana"/>
          <w:sz w:val="22"/>
          <w:szCs w:val="22"/>
        </w:rPr>
      </w:pPr>
      <w:r w:rsidRPr="00F83643">
        <w:rPr>
          <w:rFonts w:ascii="Verdana" w:hAnsi="Verdana"/>
          <w:sz w:val="22"/>
          <w:szCs w:val="22"/>
        </w:rPr>
        <w:t>El Defensor de Familia es un Servidor Público del Estado, dependiente del ICBF, vinculado a través de las disposiciones de carrera administrativa, con funciones administrativas y excepcionalmente judiciales, las cuales están dirigidas a promoverla protección integral, interés superior y prevalencia de los derechos de los niños, niñas y adolescentes, con el fin de evitar su amenaza, inobservancia o vulneración y restablecerlos de manera eficaz, oportuna y efectiva.</w:t>
      </w:r>
    </w:p>
    <w:p w14:paraId="0FF9A6D5" w14:textId="77777777" w:rsidR="00F83643" w:rsidRPr="00F83643" w:rsidRDefault="00F83643" w:rsidP="00F83643">
      <w:pPr>
        <w:jc w:val="both"/>
        <w:rPr>
          <w:rFonts w:ascii="Verdana" w:hAnsi="Verdana"/>
          <w:sz w:val="22"/>
          <w:szCs w:val="22"/>
        </w:rPr>
      </w:pPr>
      <w:r w:rsidRPr="00F83643">
        <w:rPr>
          <w:rFonts w:ascii="Verdana" w:hAnsi="Verdana"/>
          <w:sz w:val="22"/>
          <w:szCs w:val="22"/>
        </w:rPr>
        <w:t>Es importante precisar que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w:t>
      </w:r>
      <w:r w:rsidRPr="00F83643">
        <w:rPr>
          <w:rFonts w:ascii="Verdana" w:hAnsi="Verdana"/>
          <w:b/>
          <w:bCs/>
          <w:sz w:val="22"/>
          <w:szCs w:val="22"/>
          <w:vertAlign w:val="superscript"/>
        </w:rPr>
        <w:t>(4)</w:t>
      </w:r>
      <w:r w:rsidRPr="00F83643">
        <w:rPr>
          <w:rFonts w:ascii="Verdana" w:hAnsi="Verdana"/>
          <w:sz w:val="22"/>
          <w:szCs w:val="22"/>
        </w:rPr>
        <w:t> y prevalencia del derecho sustancial sobre el procedimental.</w:t>
      </w:r>
      <w:r w:rsidRPr="00F83643">
        <w:rPr>
          <w:rFonts w:ascii="Verdana" w:hAnsi="Verdana"/>
          <w:b/>
          <w:bCs/>
          <w:sz w:val="22"/>
          <w:szCs w:val="22"/>
          <w:vertAlign w:val="superscript"/>
        </w:rPr>
        <w:t>(5)</w:t>
      </w:r>
    </w:p>
    <w:p w14:paraId="7781F458" w14:textId="5AC857A0" w:rsidR="00F83643" w:rsidRPr="00F83643" w:rsidRDefault="00F83643" w:rsidP="00F83643">
      <w:pPr>
        <w:jc w:val="both"/>
        <w:rPr>
          <w:rFonts w:ascii="Verdana" w:hAnsi="Verdana"/>
          <w:sz w:val="22"/>
          <w:szCs w:val="22"/>
        </w:rPr>
      </w:pPr>
      <w:r w:rsidRPr="00F83643">
        <w:rPr>
          <w:rFonts w:ascii="Verdana" w:hAnsi="Verdana"/>
          <w:sz w:val="22"/>
          <w:szCs w:val="22"/>
        </w:rPr>
        <w:t>El Código de la Infancia y la Adolescencia, en su artículo 82, numerales 11 y 12, contempla la intervención del Defensor de Familia en los procesos y trámites judiciales en defensa de los niños, niñas y adolescentes en los que se discutan sus derechos; así mismo, para representarlos en las actuaciones judiciales o administrativas cuando no asista su representante legal o cuando éste sea quien amenaza o vulnera sus derechos.</w:t>
      </w:r>
    </w:p>
    <w:p w14:paraId="4F87D24C" w14:textId="77777777" w:rsidR="00F83643" w:rsidRPr="00F83643" w:rsidRDefault="00F83643" w:rsidP="00F83643">
      <w:pPr>
        <w:jc w:val="both"/>
        <w:rPr>
          <w:rFonts w:ascii="Verdana" w:hAnsi="Verdana"/>
          <w:sz w:val="22"/>
          <w:szCs w:val="22"/>
        </w:rPr>
      </w:pPr>
      <w:r w:rsidRPr="00F83643">
        <w:rPr>
          <w:rFonts w:ascii="Verdana" w:hAnsi="Verdana"/>
          <w:sz w:val="22"/>
          <w:szCs w:val="22"/>
        </w:rPr>
        <w:lastRenderedPageBreak/>
        <w:t>Las funciones establecidas en esta ley señalan que la atención a los niños, niñas y adolescentes debe realizarse de manera integral teniéndolos como sujetos de derechos, no solamente cuando sus derechos son vulnerados sino previendo esta circunstancia,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289B910A" w14:textId="2EB08488" w:rsidR="00F83643" w:rsidRPr="00F83643" w:rsidRDefault="00F83643" w:rsidP="00F83643">
      <w:pPr>
        <w:jc w:val="both"/>
        <w:rPr>
          <w:rFonts w:ascii="Verdana" w:hAnsi="Verdana"/>
          <w:sz w:val="22"/>
          <w:szCs w:val="22"/>
        </w:rPr>
      </w:pPr>
      <w:r w:rsidRPr="00F83643">
        <w:rPr>
          <w:rFonts w:ascii="Verdana" w:hAnsi="Verdana"/>
          <w:sz w:val="22"/>
          <w:szCs w:val="22"/>
        </w:rPr>
        <w:t xml:space="preserve">Además de las funciones establecidas en la Ley 1098 de 2006 el Defensor de Familia cumple funciones establecidas en el Código Civil, Ley 75 de 1968, Ley 575 de 2000, Ley 640 de 2001, Código de Procedimiento Civil, Decreto 1260 de </w:t>
      </w:r>
      <w:proofErr w:type="gramStart"/>
      <w:r w:rsidRPr="00F83643">
        <w:rPr>
          <w:rFonts w:ascii="Verdana" w:hAnsi="Verdana"/>
          <w:sz w:val="22"/>
          <w:szCs w:val="22"/>
        </w:rPr>
        <w:t>1970,</w:t>
      </w:r>
      <w:r w:rsidRPr="00F83643">
        <w:rPr>
          <w:rFonts w:ascii="Verdana" w:hAnsi="Verdana"/>
          <w:b/>
          <w:bCs/>
          <w:sz w:val="22"/>
          <w:szCs w:val="22"/>
          <w:vertAlign w:val="superscript"/>
        </w:rPr>
        <w:t>(</w:t>
      </w:r>
      <w:proofErr w:type="gramEnd"/>
      <w:r w:rsidRPr="00F83643">
        <w:rPr>
          <w:rFonts w:ascii="Verdana" w:hAnsi="Verdana"/>
          <w:b/>
          <w:bCs/>
          <w:sz w:val="22"/>
          <w:szCs w:val="22"/>
          <w:vertAlign w:val="superscript"/>
        </w:rPr>
        <w:t>6)</w:t>
      </w:r>
      <w:r w:rsidRPr="00F83643">
        <w:rPr>
          <w:rFonts w:ascii="Verdana" w:hAnsi="Verdana"/>
          <w:sz w:val="22"/>
          <w:szCs w:val="22"/>
        </w:rPr>
        <w:t xml:space="preserve"> Decreto 1379 de 1972, Decreto 2272 de </w:t>
      </w:r>
      <w:proofErr w:type="gramStart"/>
      <w:r w:rsidRPr="00F83643">
        <w:rPr>
          <w:rFonts w:ascii="Verdana" w:hAnsi="Verdana"/>
          <w:sz w:val="22"/>
          <w:szCs w:val="22"/>
        </w:rPr>
        <w:t>1989,</w:t>
      </w:r>
      <w:r w:rsidRPr="00F83643">
        <w:rPr>
          <w:rFonts w:ascii="Verdana" w:hAnsi="Verdana"/>
          <w:b/>
          <w:bCs/>
          <w:sz w:val="22"/>
          <w:szCs w:val="22"/>
          <w:vertAlign w:val="superscript"/>
        </w:rPr>
        <w:t>(</w:t>
      </w:r>
      <w:proofErr w:type="gramEnd"/>
      <w:r w:rsidRPr="00F83643">
        <w:rPr>
          <w:rFonts w:ascii="Verdana" w:hAnsi="Verdana"/>
          <w:b/>
          <w:bCs/>
          <w:sz w:val="22"/>
          <w:szCs w:val="22"/>
          <w:vertAlign w:val="superscript"/>
        </w:rPr>
        <w:t>7)</w:t>
      </w:r>
      <w:r w:rsidRPr="00F83643">
        <w:rPr>
          <w:rFonts w:ascii="Verdana" w:hAnsi="Verdana"/>
          <w:sz w:val="22"/>
          <w:szCs w:val="22"/>
        </w:rPr>
        <w:t> Ley 640 de 2001 entre otras.</w:t>
      </w:r>
    </w:p>
    <w:p w14:paraId="731807E5" w14:textId="77777777" w:rsidR="00F83643" w:rsidRPr="00F83643" w:rsidRDefault="00F83643" w:rsidP="00F83643">
      <w:pPr>
        <w:jc w:val="both"/>
        <w:rPr>
          <w:rFonts w:ascii="Verdana" w:hAnsi="Verdana"/>
          <w:sz w:val="22"/>
          <w:szCs w:val="22"/>
        </w:rPr>
      </w:pPr>
      <w:r w:rsidRPr="00F83643">
        <w:rPr>
          <w:rFonts w:ascii="Verdana" w:hAnsi="Verdana"/>
          <w:b/>
          <w:bCs/>
          <w:sz w:val="22"/>
          <w:szCs w:val="22"/>
        </w:rPr>
        <w:t>(2.4) Las Comisarías de Familia</w:t>
      </w:r>
    </w:p>
    <w:p w14:paraId="7BF3BF2B" w14:textId="2BE17A16" w:rsidR="00F83643" w:rsidRPr="00F83643" w:rsidRDefault="00F83643" w:rsidP="00F83643">
      <w:pPr>
        <w:jc w:val="both"/>
        <w:rPr>
          <w:rFonts w:ascii="Verdana" w:hAnsi="Verdana"/>
          <w:sz w:val="22"/>
          <w:szCs w:val="22"/>
        </w:rPr>
      </w:pPr>
      <w:r w:rsidRPr="00F83643">
        <w:rPr>
          <w:rFonts w:ascii="Verdana" w:hAnsi="Verdana"/>
          <w:sz w:val="22"/>
          <w:szCs w:val="22"/>
        </w:rPr>
        <w:t>El artículo 83 de la Ley de Infancia y la Adolescencia, define las Comisarías de Familia, como entidades distritales o municipales o intermunicipales de carácter administrativo e interdisciplinario, cuya misión es prevenir, garantizar, restablecer y reparar los derechos de los miembros de la familia conculcados por situaciones de violencia intrafamiliar y las demás establecidas por la ley.</w:t>
      </w:r>
    </w:p>
    <w:p w14:paraId="50F9D2E0" w14:textId="527EF4A8" w:rsidR="00F83643" w:rsidRPr="00F83643" w:rsidRDefault="00F83643" w:rsidP="00F83643">
      <w:pPr>
        <w:jc w:val="both"/>
        <w:rPr>
          <w:rFonts w:ascii="Verdana" w:hAnsi="Verdana"/>
          <w:sz w:val="22"/>
          <w:szCs w:val="22"/>
        </w:rPr>
      </w:pPr>
      <w:r w:rsidRPr="00F83643">
        <w:rPr>
          <w:rFonts w:ascii="Verdana" w:hAnsi="Verdana"/>
          <w:sz w:val="22"/>
          <w:szCs w:val="22"/>
        </w:rPr>
        <w:t xml:space="preserve">Las Comisarías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w:t>
      </w:r>
      <w:proofErr w:type="gramStart"/>
      <w:r w:rsidRPr="00F83643">
        <w:rPr>
          <w:rFonts w:ascii="Verdana" w:hAnsi="Verdana"/>
          <w:sz w:val="22"/>
          <w:szCs w:val="22"/>
        </w:rPr>
        <w:t>de acuerdo al</w:t>
      </w:r>
      <w:proofErr w:type="gramEnd"/>
      <w:r w:rsidRPr="00F83643">
        <w:rPr>
          <w:rFonts w:ascii="Verdana" w:hAnsi="Verdana"/>
          <w:sz w:val="22"/>
          <w:szCs w:val="22"/>
        </w:rPr>
        <w:t xml:space="preserve"> artículo 96 de la Ley 1098 de 2006.</w:t>
      </w:r>
    </w:p>
    <w:p w14:paraId="1B1BB7C4" w14:textId="40DB75D3" w:rsidR="00F83643" w:rsidRPr="00F83643" w:rsidRDefault="00F83643" w:rsidP="00F83643">
      <w:pPr>
        <w:jc w:val="both"/>
        <w:rPr>
          <w:rFonts w:ascii="Verdana" w:hAnsi="Verdana"/>
          <w:sz w:val="22"/>
          <w:szCs w:val="22"/>
        </w:rPr>
      </w:pPr>
      <w:r w:rsidRPr="00F83643">
        <w:rPr>
          <w:rFonts w:ascii="Verdana" w:hAnsi="Verdana"/>
          <w:sz w:val="22"/>
          <w:szCs w:val="22"/>
        </w:rPr>
        <w:t xml:space="preserve">Ahora </w:t>
      </w:r>
      <w:proofErr w:type="gramStart"/>
      <w:r w:rsidRPr="00F83643">
        <w:rPr>
          <w:rFonts w:ascii="Verdana" w:hAnsi="Verdana"/>
          <w:sz w:val="22"/>
          <w:szCs w:val="22"/>
        </w:rPr>
        <w:t>bien</w:t>
      </w:r>
      <w:proofErr w:type="gramEnd"/>
      <w:r w:rsidRPr="00F83643">
        <w:rPr>
          <w:rFonts w:ascii="Verdana" w:hAnsi="Verdana"/>
          <w:sz w:val="22"/>
          <w:szCs w:val="22"/>
        </w:rPr>
        <w:t xml:space="preserve"> de conformidad con lo previsto en el artículo 98 de la Ley 1098 de 2006, los Comisarios de Familia asumirán las funciones que la ley de Infancia y Adolescencia les atribuye a los Defensores de Familia a excepción de la declaratoria de adoptabilidad.</w:t>
      </w:r>
    </w:p>
    <w:p w14:paraId="11658C42" w14:textId="77777777" w:rsidR="00F83643" w:rsidRPr="00F83643" w:rsidRDefault="00F83643" w:rsidP="00F83643">
      <w:pPr>
        <w:jc w:val="both"/>
        <w:rPr>
          <w:rFonts w:ascii="Verdana" w:hAnsi="Verdana"/>
          <w:sz w:val="22"/>
          <w:szCs w:val="22"/>
        </w:rPr>
      </w:pPr>
      <w:r w:rsidRPr="00F83643">
        <w:rPr>
          <w:rFonts w:ascii="Verdana" w:hAnsi="Verdana"/>
          <w:b/>
          <w:bCs/>
          <w:sz w:val="22"/>
          <w:szCs w:val="22"/>
          <w:u w:val="single"/>
        </w:rPr>
        <w:t>(2.5) La Competencia Subsidiaria</w:t>
      </w:r>
    </w:p>
    <w:p w14:paraId="7FC28056" w14:textId="5A78511B" w:rsidR="00F83643" w:rsidRPr="00F83643" w:rsidRDefault="00F83643" w:rsidP="00F83643">
      <w:pPr>
        <w:jc w:val="both"/>
        <w:rPr>
          <w:rFonts w:ascii="Verdana" w:hAnsi="Verdana"/>
          <w:sz w:val="22"/>
          <w:szCs w:val="22"/>
        </w:rPr>
      </w:pPr>
      <w:r w:rsidRPr="00F83643">
        <w:rPr>
          <w:rFonts w:ascii="Verdana" w:hAnsi="Verdana"/>
          <w:sz w:val="22"/>
          <w:szCs w:val="22"/>
        </w:rPr>
        <w:t>El artículo 98 de la Ley 1098 de 2006 estableció la Competencia Subsidiaria, la norma expresamente dice que en los municipios en donde no haya Defensor de Familia, las funciones de éste estarán en cabeza del Comisario de Familia; en ausencia de este último, las funciones asignadas al Defensor y al Comisario de Familia corresponderán al Inspector de Policía.</w:t>
      </w:r>
    </w:p>
    <w:p w14:paraId="63C26491" w14:textId="544ACDB9" w:rsidR="00F83643" w:rsidRPr="00F83643" w:rsidRDefault="00F83643" w:rsidP="00F83643">
      <w:pPr>
        <w:jc w:val="both"/>
        <w:rPr>
          <w:rFonts w:ascii="Verdana" w:hAnsi="Verdana"/>
          <w:sz w:val="22"/>
          <w:szCs w:val="22"/>
        </w:rPr>
      </w:pPr>
      <w:r w:rsidRPr="00F83643">
        <w:rPr>
          <w:rFonts w:ascii="Verdana" w:hAnsi="Verdana"/>
          <w:sz w:val="22"/>
          <w:szCs w:val="22"/>
        </w:rPr>
        <w:t xml:space="preserve">El Legislador consagró en los artículos 97 y 98 del Código de la Infancia y la Adolescencia unas reglas por razón del territorio y por razón de la subsidiariedad con el fin de determinar la competencia de las autoridades administrativas para </w:t>
      </w:r>
      <w:r w:rsidRPr="00F83643">
        <w:rPr>
          <w:rFonts w:ascii="Verdana" w:hAnsi="Verdana"/>
          <w:sz w:val="22"/>
          <w:szCs w:val="22"/>
        </w:rPr>
        <w:lastRenderedPageBreak/>
        <w:t>conocer de los casos donde se esté amenazando o vulnerando los derechos de los niños, las niñas y los adolescentes.</w:t>
      </w:r>
    </w:p>
    <w:p w14:paraId="3398FC4C" w14:textId="77777777" w:rsidR="00F83643" w:rsidRPr="00F83643" w:rsidRDefault="00F83643" w:rsidP="00F83643">
      <w:pPr>
        <w:jc w:val="both"/>
        <w:rPr>
          <w:rFonts w:ascii="Verdana" w:hAnsi="Verdana"/>
          <w:sz w:val="22"/>
          <w:szCs w:val="22"/>
        </w:rPr>
      </w:pPr>
      <w:r w:rsidRPr="00F83643">
        <w:rPr>
          <w:rFonts w:ascii="Verdana" w:hAnsi="Verdana"/>
          <w:sz w:val="22"/>
          <w:szCs w:val="22"/>
        </w:rPr>
        <w:t xml:space="preserve">En ese sentido, la competencia que se le otorga al Comisario de Familia de asumir las funciones del Defensor de Familia es de carácter supletorio, en el entendido </w:t>
      </w:r>
      <w:proofErr w:type="gramStart"/>
      <w:r w:rsidRPr="00F83643">
        <w:rPr>
          <w:rFonts w:ascii="Verdana" w:hAnsi="Verdana"/>
          <w:sz w:val="22"/>
          <w:szCs w:val="22"/>
        </w:rPr>
        <w:t>que</w:t>
      </w:r>
      <w:proofErr w:type="gramEnd"/>
      <w:r w:rsidRPr="00F83643">
        <w:rPr>
          <w:rFonts w:ascii="Verdana" w:hAnsi="Verdana"/>
          <w:sz w:val="22"/>
          <w:szCs w:val="22"/>
        </w:rPr>
        <w:t xml:space="preserve"> en ausencia de éste, es la autoridad administrativa mejor capacitada para asumir dicha labor.</w:t>
      </w:r>
    </w:p>
    <w:p w14:paraId="0F13BF7C" w14:textId="77777777" w:rsidR="00F83643" w:rsidRPr="00F83643" w:rsidRDefault="00F83643" w:rsidP="00F83643">
      <w:pPr>
        <w:jc w:val="both"/>
        <w:rPr>
          <w:rFonts w:ascii="Verdana" w:hAnsi="Verdana"/>
          <w:sz w:val="22"/>
          <w:szCs w:val="22"/>
        </w:rPr>
      </w:pPr>
      <w:r w:rsidRPr="00F83643">
        <w:rPr>
          <w:rFonts w:ascii="Verdana" w:hAnsi="Verdana"/>
          <w:b/>
          <w:bCs/>
          <w:sz w:val="22"/>
          <w:szCs w:val="22"/>
          <w:u w:val="single"/>
        </w:rPr>
        <w:t>(2.6) Conciliación extrajudicial en materia de familia</w:t>
      </w:r>
    </w:p>
    <w:p w14:paraId="03A5C3A7" w14:textId="1AF1DB6E" w:rsidR="00F83643" w:rsidRPr="00F83643" w:rsidRDefault="00F83643" w:rsidP="00F83643">
      <w:pPr>
        <w:jc w:val="both"/>
        <w:rPr>
          <w:rFonts w:ascii="Verdana" w:hAnsi="Verdana"/>
          <w:sz w:val="22"/>
          <w:szCs w:val="22"/>
        </w:rPr>
      </w:pPr>
      <w:r w:rsidRPr="00F83643">
        <w:rPr>
          <w:rFonts w:ascii="Verdana" w:hAnsi="Verdana"/>
          <w:sz w:val="22"/>
          <w:szCs w:val="22"/>
        </w:rPr>
        <w:t>El artículo 31 de la Ley 640 de 2001 define que:</w:t>
      </w:r>
    </w:p>
    <w:p w14:paraId="094F9BB6"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“la conciliación extrajudicial en derecho en materia de familia podrá ser adelantada ante los conciliadores de los centros de conciliación, ante los </w:t>
      </w:r>
      <w:r w:rsidRPr="00F83643">
        <w:rPr>
          <w:rFonts w:ascii="Verdana" w:hAnsi="Verdana"/>
          <w:b/>
          <w:bCs/>
          <w:i/>
          <w:iCs/>
          <w:sz w:val="22"/>
          <w:szCs w:val="22"/>
          <w:u w:val="single"/>
        </w:rPr>
        <w:t>defensores y los comisarios de familia</w:t>
      </w:r>
      <w:r w:rsidRPr="00F83643">
        <w:rPr>
          <w:rFonts w:ascii="Verdana" w:hAnsi="Verdana"/>
          <w:i/>
          <w:iCs/>
          <w:sz w:val="22"/>
          <w:szCs w:val="22"/>
        </w:rPr>
        <w:t>, los delegados regionales y seccionales de la defensoría del pueblo, los agentes del ministerio público ante las autoridades judiciales y administrativas en asuntos de familia y ante los notarios. A falta de todos los anteriores en el respectivo municipio, esta conciliación podrá ser adelantada por los personaros y por los jueces civiles o promiscuos municipales.</w:t>
      </w:r>
    </w:p>
    <w:p w14:paraId="4E1557E1" w14:textId="33EAD6DD" w:rsidR="00F83643" w:rsidRPr="00F83643" w:rsidRDefault="00F83643" w:rsidP="00F83643">
      <w:pPr>
        <w:jc w:val="both"/>
        <w:rPr>
          <w:rFonts w:ascii="Verdana" w:hAnsi="Verdana"/>
          <w:sz w:val="22"/>
          <w:szCs w:val="22"/>
        </w:rPr>
      </w:pPr>
      <w:r w:rsidRPr="00F83643">
        <w:rPr>
          <w:rFonts w:ascii="Verdana" w:hAnsi="Verdana"/>
          <w:i/>
          <w:iCs/>
          <w:sz w:val="22"/>
          <w:szCs w:val="22"/>
        </w:rPr>
        <w:t>Estos podrán conciliar en los asuntos a que se refieren el numeral 4 del artículo 277 del Código del Menor y el artículo 47 de la Ley 23 de 1991” (Se subraya para destacar).</w:t>
      </w:r>
    </w:p>
    <w:p w14:paraId="23D92683" w14:textId="77777777" w:rsidR="00F83643" w:rsidRPr="00F83643" w:rsidRDefault="00F83643" w:rsidP="00F83643">
      <w:pPr>
        <w:jc w:val="both"/>
        <w:rPr>
          <w:rFonts w:ascii="Verdana" w:hAnsi="Verdana"/>
          <w:sz w:val="22"/>
          <w:szCs w:val="22"/>
        </w:rPr>
      </w:pPr>
      <w:proofErr w:type="gramStart"/>
      <w:r w:rsidRPr="00F83643">
        <w:rPr>
          <w:rFonts w:ascii="Verdana" w:hAnsi="Verdana"/>
          <w:sz w:val="22"/>
          <w:szCs w:val="22"/>
        </w:rPr>
        <w:t>De acuerdo a</w:t>
      </w:r>
      <w:proofErr w:type="gramEnd"/>
      <w:r w:rsidRPr="00F83643">
        <w:rPr>
          <w:rFonts w:ascii="Verdana" w:hAnsi="Verdana"/>
          <w:sz w:val="22"/>
          <w:szCs w:val="22"/>
        </w:rPr>
        <w:t xml:space="preserve"> la anterior normatividad, los Defensores de Familia y Comisarios de Familia están facultados para adelantar conciliaciones extrajudiciales en materia de familia, con el fin de agotar el requisito de procedibilidad en los siguientes asuntos:</w:t>
      </w:r>
    </w:p>
    <w:p w14:paraId="5CA725E9" w14:textId="77777777" w:rsidR="00F83643" w:rsidRPr="00F83643" w:rsidRDefault="00F83643" w:rsidP="00F83643">
      <w:pPr>
        <w:jc w:val="both"/>
        <w:rPr>
          <w:rFonts w:ascii="Verdana" w:hAnsi="Verdana"/>
          <w:sz w:val="22"/>
          <w:szCs w:val="22"/>
        </w:rPr>
      </w:pPr>
      <w:r w:rsidRPr="00F83643">
        <w:rPr>
          <w:rFonts w:ascii="Verdana" w:hAnsi="Verdana"/>
          <w:sz w:val="22"/>
          <w:szCs w:val="22"/>
        </w:rPr>
        <w:t>- La suspensión de la vida en común de los cónyuges;</w:t>
      </w:r>
    </w:p>
    <w:p w14:paraId="13664FF0" w14:textId="77777777" w:rsidR="00F83643" w:rsidRPr="00F83643" w:rsidRDefault="00F83643" w:rsidP="00F83643">
      <w:pPr>
        <w:jc w:val="both"/>
        <w:rPr>
          <w:rFonts w:ascii="Verdana" w:hAnsi="Verdana"/>
          <w:sz w:val="22"/>
          <w:szCs w:val="22"/>
        </w:rPr>
      </w:pPr>
      <w:r w:rsidRPr="00F83643">
        <w:rPr>
          <w:rFonts w:ascii="Verdana" w:hAnsi="Verdana"/>
          <w:sz w:val="22"/>
          <w:szCs w:val="22"/>
        </w:rPr>
        <w:t>- La custodia y cuidado personal, visita y protección legal de los niños, niñas y adolescentes;</w:t>
      </w:r>
    </w:p>
    <w:p w14:paraId="57155A11" w14:textId="77777777" w:rsidR="00F83643" w:rsidRPr="00F83643" w:rsidRDefault="00F83643" w:rsidP="00F83643">
      <w:pPr>
        <w:jc w:val="both"/>
        <w:rPr>
          <w:rFonts w:ascii="Verdana" w:hAnsi="Verdana"/>
          <w:sz w:val="22"/>
          <w:szCs w:val="22"/>
        </w:rPr>
      </w:pPr>
      <w:r w:rsidRPr="00F83643">
        <w:rPr>
          <w:rFonts w:ascii="Verdana" w:hAnsi="Verdana"/>
          <w:sz w:val="22"/>
          <w:szCs w:val="22"/>
        </w:rPr>
        <w:t>- </w:t>
      </w:r>
      <w:r w:rsidRPr="00F83643">
        <w:rPr>
          <w:rFonts w:ascii="Verdana" w:hAnsi="Verdana"/>
          <w:b/>
          <w:bCs/>
          <w:sz w:val="22"/>
          <w:szCs w:val="22"/>
          <w:u w:val="single"/>
        </w:rPr>
        <w:t>La fijación de la cuota alimentaria:</w:t>
      </w:r>
    </w:p>
    <w:p w14:paraId="692D1AA3" w14:textId="77777777" w:rsidR="00F83643" w:rsidRPr="00F83643" w:rsidRDefault="00F83643" w:rsidP="00F83643">
      <w:pPr>
        <w:jc w:val="both"/>
        <w:rPr>
          <w:rFonts w:ascii="Verdana" w:hAnsi="Verdana"/>
          <w:sz w:val="22"/>
          <w:szCs w:val="22"/>
        </w:rPr>
      </w:pPr>
      <w:r w:rsidRPr="00F83643">
        <w:rPr>
          <w:rFonts w:ascii="Verdana" w:hAnsi="Verdana"/>
          <w:sz w:val="22"/>
          <w:szCs w:val="22"/>
        </w:rPr>
        <w:t>- La separación de cuerpos del matrimonio civil o canónico;</w:t>
      </w:r>
    </w:p>
    <w:p w14:paraId="0263BE9A" w14:textId="77777777" w:rsidR="00F83643" w:rsidRPr="00F83643" w:rsidRDefault="00F83643" w:rsidP="00F83643">
      <w:pPr>
        <w:jc w:val="both"/>
        <w:rPr>
          <w:rFonts w:ascii="Verdana" w:hAnsi="Verdana"/>
          <w:sz w:val="22"/>
          <w:szCs w:val="22"/>
        </w:rPr>
      </w:pPr>
      <w:r w:rsidRPr="00F83643">
        <w:rPr>
          <w:rFonts w:ascii="Verdana" w:hAnsi="Verdana"/>
          <w:sz w:val="22"/>
          <w:szCs w:val="22"/>
        </w:rPr>
        <w:t>- La separación de bienes y la liquidación de sociedades conyugales por causa distinta de la muerte de los cónyuges;</w:t>
      </w:r>
    </w:p>
    <w:p w14:paraId="4793D630" w14:textId="5F534DB5" w:rsidR="00F83643" w:rsidRPr="00F83643" w:rsidRDefault="00F83643" w:rsidP="00F83643">
      <w:pPr>
        <w:jc w:val="both"/>
        <w:rPr>
          <w:rFonts w:ascii="Verdana" w:hAnsi="Verdana"/>
          <w:sz w:val="22"/>
          <w:szCs w:val="22"/>
        </w:rPr>
      </w:pPr>
      <w:r w:rsidRPr="00F83643">
        <w:rPr>
          <w:rFonts w:ascii="Verdana" w:hAnsi="Verdana"/>
          <w:sz w:val="22"/>
          <w:szCs w:val="22"/>
        </w:rPr>
        <w:t xml:space="preserve">- Los procesos contenciosos sobre el régimen económico del matrimonio y derechos </w:t>
      </w:r>
      <w:proofErr w:type="spellStart"/>
      <w:r w:rsidRPr="00F83643">
        <w:rPr>
          <w:rFonts w:ascii="Verdana" w:hAnsi="Verdana"/>
          <w:sz w:val="22"/>
          <w:szCs w:val="22"/>
        </w:rPr>
        <w:t>sucesorales</w:t>
      </w:r>
      <w:proofErr w:type="spellEnd"/>
      <w:r w:rsidRPr="00F83643">
        <w:rPr>
          <w:rFonts w:ascii="Verdana" w:hAnsi="Verdana"/>
          <w:sz w:val="22"/>
          <w:szCs w:val="22"/>
        </w:rPr>
        <w:t xml:space="preserve">, y aquellos asuntos definidos por el artículo 40 de la Ley 640 de 2001, como sujetos a conciliación extrajudicial para acreditar requisito de procedibilidad en asuntos de </w:t>
      </w:r>
      <w:proofErr w:type="gramStart"/>
      <w:r w:rsidRPr="00F83643">
        <w:rPr>
          <w:rFonts w:ascii="Verdana" w:hAnsi="Verdana"/>
          <w:sz w:val="22"/>
          <w:szCs w:val="22"/>
        </w:rPr>
        <w:t>familia.</w:t>
      </w:r>
      <w:r w:rsidRPr="00F83643">
        <w:rPr>
          <w:rFonts w:ascii="Verdana" w:hAnsi="Verdana"/>
          <w:b/>
          <w:bCs/>
          <w:sz w:val="22"/>
          <w:szCs w:val="22"/>
          <w:vertAlign w:val="superscript"/>
        </w:rPr>
        <w:t>(</w:t>
      </w:r>
      <w:proofErr w:type="gramEnd"/>
      <w:r w:rsidRPr="00F83643">
        <w:rPr>
          <w:rFonts w:ascii="Verdana" w:hAnsi="Verdana"/>
          <w:b/>
          <w:bCs/>
          <w:sz w:val="22"/>
          <w:szCs w:val="22"/>
          <w:vertAlign w:val="superscript"/>
        </w:rPr>
        <w:t>8)</w:t>
      </w:r>
    </w:p>
    <w:p w14:paraId="0D8CCAC8" w14:textId="7C969A48" w:rsidR="00F83643" w:rsidRPr="00F83643" w:rsidRDefault="00F83643" w:rsidP="00F83643">
      <w:pPr>
        <w:jc w:val="both"/>
        <w:rPr>
          <w:rFonts w:ascii="Verdana" w:hAnsi="Verdana"/>
          <w:sz w:val="22"/>
          <w:szCs w:val="22"/>
        </w:rPr>
      </w:pPr>
      <w:r w:rsidRPr="00F83643">
        <w:rPr>
          <w:rFonts w:ascii="Verdana" w:hAnsi="Verdana"/>
          <w:sz w:val="22"/>
          <w:szCs w:val="22"/>
        </w:rPr>
        <w:lastRenderedPageBreak/>
        <w:t>Ahora bien, respecto a las medidas provisionales en la conciliación extrajudicial en derecho en los asuntos de familia, el artículo 32 de la precitada Ley establece que:</w:t>
      </w:r>
    </w:p>
    <w:p w14:paraId="6D4C0EE1"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 Si fuere urgente los defensores y los comisarios de familia, los agentes del ministerio público ante las autoridades judiciales y administrativas en asuntos de familia y los jueces civiles o promiscuos municipales podrán adoptar hasta por treinta (30) días, en caso de riesgo o violencia familiar, o de amenaza o violación de los derechos fundamentales constitucionales de la familia o da sus integrantes, las medidas provisionales previstas en la ley y que consideren necesarias, las cuales para su mantenimiento deberán ser refrendadas por el juez de familia.</w:t>
      </w:r>
    </w:p>
    <w:p w14:paraId="19E3BEBC"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Los conciliadores de centros de conciliación, los delegados regionales y seccionales de la defensoría del pueblo, los personeros municipales y los notarios podrán solicitar al juez competente la toma de las medidas señaladas en el presente artículo.</w:t>
      </w:r>
    </w:p>
    <w:p w14:paraId="5118E27A"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El incumplimiento de estas medidas acarreará multa hasta de diez (10) salarios mínimos legales mensuales vigentes a cargo del sujeto pasivo de la medida a favor del Instituto Colombiano de Bienestar Familiar.</w:t>
      </w:r>
    </w:p>
    <w:p w14:paraId="42B5344B" w14:textId="12231D96" w:rsidR="00F83643" w:rsidRPr="00F83643" w:rsidRDefault="00F83643" w:rsidP="00F83643">
      <w:pPr>
        <w:jc w:val="both"/>
        <w:rPr>
          <w:rFonts w:ascii="Verdana" w:hAnsi="Verdana"/>
          <w:sz w:val="22"/>
          <w:szCs w:val="22"/>
        </w:rPr>
      </w:pPr>
      <w:r w:rsidRPr="00F83643">
        <w:rPr>
          <w:rFonts w:ascii="Verdana" w:hAnsi="Verdana"/>
          <w:sz w:val="22"/>
          <w:szCs w:val="22"/>
        </w:rPr>
        <w:t>Quiere decir la anterior normatividad, que no en todos los casos es necesario adoptar las medidas provisionales de restablecimiento de derechos de que trata la Ley 1098 de 2006 o las previstas en la misma Ley 640 de 2001, pues éstas resultan procedentes siempre y cuando la Autoridad Administrativa observe la vulneración de cualquier derecho fundamental de un niño, niña o adolescente, de lo contrario, y en caso de no lograr la conciliación, deberá expedirse la correspondiente constancia de no acuerdo,[9](9) con el fin de agotar el requisito de procedibilidad para acudir a la jurisdicción de familia.</w:t>
      </w:r>
    </w:p>
    <w:p w14:paraId="3CA3F025" w14:textId="77777777" w:rsidR="00F83643" w:rsidRPr="00F83643" w:rsidRDefault="00F83643" w:rsidP="00F83643">
      <w:pPr>
        <w:jc w:val="both"/>
        <w:rPr>
          <w:rFonts w:ascii="Verdana" w:hAnsi="Verdana"/>
          <w:sz w:val="22"/>
          <w:szCs w:val="22"/>
        </w:rPr>
      </w:pPr>
      <w:r w:rsidRPr="00F83643">
        <w:rPr>
          <w:rFonts w:ascii="Verdana" w:hAnsi="Verdana"/>
          <w:b/>
          <w:bCs/>
          <w:sz w:val="22"/>
          <w:szCs w:val="22"/>
          <w:u w:val="single"/>
        </w:rPr>
        <w:t>2.7) Proceso de alimentos para mayores de 18 años</w:t>
      </w:r>
    </w:p>
    <w:p w14:paraId="78409F8B" w14:textId="3D8CC776" w:rsidR="00F83643" w:rsidRPr="00F83643" w:rsidRDefault="00F83643" w:rsidP="00F83643">
      <w:pPr>
        <w:jc w:val="both"/>
        <w:rPr>
          <w:rFonts w:ascii="Verdana" w:hAnsi="Verdana"/>
          <w:sz w:val="22"/>
          <w:szCs w:val="22"/>
        </w:rPr>
      </w:pPr>
      <w:r w:rsidRPr="00F83643">
        <w:rPr>
          <w:rFonts w:ascii="Verdana" w:hAnsi="Verdana"/>
          <w:sz w:val="22"/>
          <w:szCs w:val="22"/>
        </w:rPr>
        <w:t>El artículo 435 del Código de procedimiento Civil establece:</w:t>
      </w:r>
    </w:p>
    <w:p w14:paraId="62358B1C"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Se tramitarán en única instancia por el procedimiento que regula este capítulo, los siguientes asuntos:</w:t>
      </w:r>
    </w:p>
    <w:p w14:paraId="3B269580"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En consideración a la naturaleza:</w:t>
      </w:r>
    </w:p>
    <w:p w14:paraId="524231A8"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w:t>
      </w:r>
    </w:p>
    <w:p w14:paraId="5077D1EC"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3. Fijación, aumento, disminución y exoneración de alimentos, y restitución de pensiones alimenticias.</w:t>
      </w:r>
    </w:p>
    <w:p w14:paraId="1FBD270C"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w:t>
      </w:r>
    </w:p>
    <w:p w14:paraId="368FC8CF" w14:textId="1FD21B1E" w:rsidR="00F83643" w:rsidRPr="00F83643" w:rsidRDefault="00F83643" w:rsidP="00F83643">
      <w:pPr>
        <w:jc w:val="both"/>
        <w:rPr>
          <w:rFonts w:ascii="Verdana" w:hAnsi="Verdana"/>
          <w:sz w:val="22"/>
          <w:szCs w:val="22"/>
        </w:rPr>
      </w:pPr>
      <w:r w:rsidRPr="00F83643">
        <w:rPr>
          <w:rFonts w:ascii="Verdana" w:hAnsi="Verdana"/>
          <w:sz w:val="22"/>
          <w:szCs w:val="22"/>
        </w:rPr>
        <w:lastRenderedPageBreak/>
        <w:t>El artículo 413 del Código Civil establece:</w:t>
      </w:r>
    </w:p>
    <w:p w14:paraId="451771AF" w14:textId="77777777" w:rsidR="00F83643" w:rsidRPr="00F83643" w:rsidRDefault="00F83643" w:rsidP="00F83643">
      <w:pPr>
        <w:jc w:val="both"/>
        <w:rPr>
          <w:rFonts w:ascii="Verdana" w:hAnsi="Verdana"/>
          <w:sz w:val="22"/>
          <w:szCs w:val="22"/>
        </w:rPr>
      </w:pPr>
      <w:r w:rsidRPr="00F83643">
        <w:rPr>
          <w:rFonts w:ascii="Verdana" w:hAnsi="Verdana"/>
          <w:i/>
          <w:iCs/>
          <w:sz w:val="22"/>
          <w:szCs w:val="22"/>
        </w:rPr>
        <w:t>El Juez reglará la forma y cuantía en que haya de prestarse los alimentos, y podrá disponer...</w:t>
      </w:r>
    </w:p>
    <w:p w14:paraId="2F71212A" w14:textId="77777777" w:rsidR="00F83643" w:rsidRPr="00F83643" w:rsidRDefault="00F83643" w:rsidP="00F83643">
      <w:pPr>
        <w:jc w:val="both"/>
        <w:rPr>
          <w:rFonts w:ascii="Verdana" w:hAnsi="Verdana"/>
          <w:sz w:val="22"/>
          <w:szCs w:val="22"/>
        </w:rPr>
      </w:pPr>
      <w:r w:rsidRPr="00F83643">
        <w:rPr>
          <w:rFonts w:ascii="Verdana" w:hAnsi="Verdana"/>
          <w:b/>
          <w:bCs/>
          <w:sz w:val="22"/>
          <w:szCs w:val="22"/>
        </w:rPr>
        <w:t>3. CONCLUSIÓN</w:t>
      </w:r>
    </w:p>
    <w:p w14:paraId="221212E3" w14:textId="77777777" w:rsidR="00F83643" w:rsidRPr="00F83643" w:rsidRDefault="00F83643" w:rsidP="00F83643">
      <w:pPr>
        <w:jc w:val="both"/>
        <w:rPr>
          <w:rFonts w:ascii="Verdana" w:hAnsi="Verdana"/>
          <w:sz w:val="22"/>
          <w:szCs w:val="22"/>
        </w:rPr>
      </w:pPr>
      <w:r w:rsidRPr="00F83643">
        <w:rPr>
          <w:rFonts w:ascii="Verdana" w:hAnsi="Verdana"/>
          <w:sz w:val="22"/>
          <w:szCs w:val="22"/>
        </w:rPr>
        <w:t>Teniendo en cuenta las consideraciones de orden legal expuestas, para el caso en concreto se puede concluir lo siguiente:</w:t>
      </w:r>
    </w:p>
    <w:p w14:paraId="2A6B6502" w14:textId="2F62A9FC" w:rsidR="00F83643" w:rsidRPr="00F83643" w:rsidRDefault="00F83643" w:rsidP="00F83643">
      <w:pPr>
        <w:jc w:val="both"/>
        <w:rPr>
          <w:rFonts w:ascii="Verdana" w:hAnsi="Verdana"/>
          <w:sz w:val="22"/>
          <w:szCs w:val="22"/>
        </w:rPr>
      </w:pPr>
      <w:r w:rsidRPr="00F83643">
        <w:rPr>
          <w:rFonts w:ascii="Verdana" w:hAnsi="Verdana"/>
          <w:sz w:val="22"/>
          <w:szCs w:val="22"/>
        </w:rPr>
        <w:t xml:space="preserve">Primera: El derecho de alimentos tiene su sustento en el deber de solidaridad que une a los miembros más cercanos de una familia, por regla general la obligación alimentaria será hasta cuando el alimentario cumpla su mayoría de edad esto es 18 años, el artículo 422 del Código Civil establece dos excepciones a esta regla: i) cuando una persona se encuentra impedida físicamente para trabajar y </w:t>
      </w:r>
      <w:proofErr w:type="spellStart"/>
      <w:r w:rsidRPr="00F83643">
        <w:rPr>
          <w:rFonts w:ascii="Verdana" w:hAnsi="Verdana"/>
          <w:sz w:val="22"/>
          <w:szCs w:val="22"/>
        </w:rPr>
        <w:t>ii</w:t>
      </w:r>
      <w:proofErr w:type="spellEnd"/>
      <w:r w:rsidRPr="00F83643">
        <w:rPr>
          <w:rFonts w:ascii="Verdana" w:hAnsi="Verdana"/>
          <w:sz w:val="22"/>
          <w:szCs w:val="22"/>
        </w:rPr>
        <w:t>) por incapacidad económica aunque haya alcanzado la mayoría de edad y que este adelantando estudios, hasta los 25 años.</w:t>
      </w:r>
    </w:p>
    <w:p w14:paraId="750ECFB2" w14:textId="77777777" w:rsidR="00F83643" w:rsidRPr="00F83643" w:rsidRDefault="00F83643" w:rsidP="00F83643">
      <w:pPr>
        <w:jc w:val="both"/>
        <w:rPr>
          <w:rFonts w:ascii="Verdana" w:hAnsi="Verdana"/>
          <w:sz w:val="22"/>
          <w:szCs w:val="22"/>
        </w:rPr>
      </w:pPr>
      <w:r w:rsidRPr="00F83643">
        <w:rPr>
          <w:rFonts w:ascii="Verdana" w:hAnsi="Verdana"/>
          <w:sz w:val="22"/>
          <w:szCs w:val="22"/>
        </w:rPr>
        <w:t xml:space="preserve">Segunda: Corresponde al Defensor y Comisario de Familia en razón a la competencia subsidiaria: i) aprobar las conciliaciones en relación con la determinación de la cuota alimentaria y </w:t>
      </w:r>
      <w:proofErr w:type="spellStart"/>
      <w:r w:rsidRPr="00F83643">
        <w:rPr>
          <w:rFonts w:ascii="Verdana" w:hAnsi="Verdana"/>
          <w:sz w:val="22"/>
          <w:szCs w:val="22"/>
        </w:rPr>
        <w:t>ii</w:t>
      </w:r>
      <w:proofErr w:type="spellEnd"/>
      <w:r w:rsidRPr="00F83643">
        <w:rPr>
          <w:rFonts w:ascii="Verdana" w:hAnsi="Verdana"/>
          <w:sz w:val="22"/>
          <w:szCs w:val="22"/>
        </w:rPr>
        <w:t>) fijar cuota provisional de alimentos, siempre que no se logre conciliación con el fin de agotar el requisito de procedibilidad para acudir a la jurisdicción de familia.</w:t>
      </w:r>
    </w:p>
    <w:p w14:paraId="5442D4ED" w14:textId="0F845CD7" w:rsidR="00F83643" w:rsidRPr="00F83643" w:rsidRDefault="00F83643" w:rsidP="00F83643">
      <w:pPr>
        <w:jc w:val="both"/>
        <w:rPr>
          <w:rFonts w:ascii="Verdana" w:hAnsi="Verdana"/>
          <w:sz w:val="22"/>
          <w:szCs w:val="22"/>
        </w:rPr>
      </w:pPr>
      <w:r w:rsidRPr="00F83643">
        <w:rPr>
          <w:rFonts w:ascii="Verdana" w:hAnsi="Verdana"/>
          <w:sz w:val="22"/>
          <w:szCs w:val="22"/>
        </w:rPr>
        <w:t>Tercera: Los procesos de alimentos para mayores de 18 años, deben ser tramitados ante los juzgados de Familia, previo agotamiento del requisito de procedibilidad establecido en la Ley 640 de 2001.</w:t>
      </w:r>
    </w:p>
    <w:p w14:paraId="22EF6C47" w14:textId="31767E12" w:rsidR="00F83643" w:rsidRPr="00F83643" w:rsidRDefault="00F83643" w:rsidP="00F83643">
      <w:pPr>
        <w:jc w:val="both"/>
        <w:rPr>
          <w:rFonts w:ascii="Verdana" w:hAnsi="Verdana"/>
          <w:sz w:val="22"/>
          <w:szCs w:val="22"/>
        </w:rPr>
      </w:pPr>
      <w:r w:rsidRPr="00F83643">
        <w:rPr>
          <w:rFonts w:ascii="Verdana" w:hAnsi="Verdana"/>
          <w:sz w:val="22"/>
          <w:szCs w:val="22"/>
        </w:rPr>
        <w:t xml:space="preserve">Cuarta: Para finalizar le recordamos que las solicitudes de concepto que se sometan a consideración de la Oficina Asesora </w:t>
      </w:r>
      <w:proofErr w:type="gramStart"/>
      <w:r w:rsidRPr="00F83643">
        <w:rPr>
          <w:rFonts w:ascii="Verdana" w:hAnsi="Verdana"/>
          <w:sz w:val="22"/>
          <w:szCs w:val="22"/>
        </w:rPr>
        <w:t>Jurídica,</w:t>
      </w:r>
      <w:proofErr w:type="gramEnd"/>
      <w:r w:rsidRPr="00F83643">
        <w:rPr>
          <w:rFonts w:ascii="Verdana" w:hAnsi="Verdana"/>
          <w:sz w:val="22"/>
          <w:szCs w:val="22"/>
        </w:rPr>
        <w:t xml:space="preserve"> deben cumplir los requisitos señalados en la Circular No. 002 del 19 de enero del 2012. Reiteramos nuestra disposición y colaboración con el fin de garantizar el cumplimiento de las funciones y obligaciones para la garantía y el restablecimiento de los derechos de los niños, las niñas, los adolescentes y su contexto familiar.</w:t>
      </w:r>
    </w:p>
    <w:p w14:paraId="5619B403" w14:textId="1B4E84C7" w:rsidR="00F83643" w:rsidRPr="00F83643" w:rsidRDefault="00F83643" w:rsidP="00F83643">
      <w:pPr>
        <w:jc w:val="both"/>
        <w:rPr>
          <w:rFonts w:ascii="Verdana" w:hAnsi="Verdana"/>
          <w:sz w:val="22"/>
          <w:szCs w:val="22"/>
        </w:rPr>
      </w:pPr>
      <w:r w:rsidRPr="00F83643">
        <w:rPr>
          <w:rFonts w:ascii="Verdana" w:hAnsi="Verdana"/>
          <w:sz w:val="22"/>
          <w:szCs w:val="22"/>
        </w:rPr>
        <w:t xml:space="preserve">Quinta: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F83643">
        <w:rPr>
          <w:rFonts w:ascii="Verdana" w:hAnsi="Verdana"/>
          <w:sz w:val="22"/>
          <w:szCs w:val="22"/>
        </w:rPr>
        <w:t>obstante</w:t>
      </w:r>
      <w:proofErr w:type="gramEnd"/>
      <w:r w:rsidRPr="00F83643">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57541C9" w14:textId="77777777" w:rsidR="00F83643" w:rsidRDefault="00F83643" w:rsidP="00F83643">
      <w:pPr>
        <w:jc w:val="both"/>
        <w:rPr>
          <w:rFonts w:ascii="Verdana" w:hAnsi="Verdana"/>
          <w:sz w:val="22"/>
          <w:szCs w:val="22"/>
        </w:rPr>
      </w:pPr>
    </w:p>
    <w:p w14:paraId="331BB739" w14:textId="09E37111" w:rsidR="00F83643" w:rsidRPr="00F83643" w:rsidRDefault="00F83643" w:rsidP="00F83643">
      <w:pPr>
        <w:jc w:val="both"/>
        <w:rPr>
          <w:rFonts w:ascii="Verdana" w:hAnsi="Verdana"/>
          <w:sz w:val="22"/>
          <w:szCs w:val="22"/>
        </w:rPr>
      </w:pPr>
      <w:r w:rsidRPr="00F83643">
        <w:rPr>
          <w:rFonts w:ascii="Verdana" w:hAnsi="Verdana"/>
          <w:sz w:val="22"/>
          <w:szCs w:val="22"/>
        </w:rPr>
        <w:t>Cordialmente,</w:t>
      </w:r>
    </w:p>
    <w:p w14:paraId="4950E145" w14:textId="77777777" w:rsidR="00F83643" w:rsidRPr="00F83643" w:rsidRDefault="00F83643" w:rsidP="00F83643">
      <w:pPr>
        <w:jc w:val="both"/>
        <w:rPr>
          <w:rFonts w:ascii="Verdana" w:hAnsi="Verdana"/>
          <w:sz w:val="22"/>
          <w:szCs w:val="22"/>
        </w:rPr>
      </w:pPr>
      <w:r w:rsidRPr="00F83643">
        <w:rPr>
          <w:rFonts w:ascii="Verdana" w:hAnsi="Verdana"/>
          <w:b/>
          <w:bCs/>
          <w:sz w:val="22"/>
          <w:szCs w:val="22"/>
        </w:rPr>
        <w:t>LUISA MARINA BALLESTEROS ARISTIZÁBAL</w:t>
      </w:r>
    </w:p>
    <w:p w14:paraId="3EDEEC8F" w14:textId="77777777" w:rsidR="00F83643" w:rsidRPr="00F83643" w:rsidRDefault="00F83643" w:rsidP="00F83643">
      <w:pPr>
        <w:jc w:val="both"/>
        <w:rPr>
          <w:rFonts w:ascii="Verdana" w:hAnsi="Verdana"/>
          <w:sz w:val="22"/>
          <w:szCs w:val="22"/>
        </w:rPr>
      </w:pPr>
      <w:r w:rsidRPr="00F83643">
        <w:rPr>
          <w:rFonts w:ascii="Verdana" w:hAnsi="Verdana"/>
          <w:sz w:val="22"/>
          <w:szCs w:val="22"/>
        </w:rPr>
        <w:t>Jefe Oficina Asesora Jurídica</w:t>
      </w:r>
    </w:p>
    <w:p w14:paraId="679C01AB" w14:textId="77777777" w:rsidR="00F83643" w:rsidRDefault="00F83643" w:rsidP="00F83643">
      <w:pPr>
        <w:jc w:val="both"/>
        <w:rPr>
          <w:rFonts w:ascii="Verdana" w:hAnsi="Verdana"/>
          <w:b/>
          <w:bCs/>
          <w:sz w:val="22"/>
          <w:szCs w:val="22"/>
        </w:rPr>
      </w:pPr>
    </w:p>
    <w:p w14:paraId="0925F149" w14:textId="461E0CF2" w:rsidR="00F83643" w:rsidRPr="00F83643" w:rsidRDefault="00F83643" w:rsidP="00F83643">
      <w:pPr>
        <w:jc w:val="both"/>
        <w:rPr>
          <w:rFonts w:ascii="Verdana" w:hAnsi="Verdana"/>
          <w:sz w:val="22"/>
          <w:szCs w:val="22"/>
        </w:rPr>
      </w:pPr>
      <w:r w:rsidRPr="00F83643">
        <w:rPr>
          <w:rFonts w:ascii="Verdana" w:hAnsi="Verdana"/>
          <w:b/>
          <w:bCs/>
          <w:sz w:val="22"/>
          <w:szCs w:val="22"/>
        </w:rPr>
        <w:t>N</w:t>
      </w:r>
      <w:r>
        <w:rPr>
          <w:rFonts w:ascii="Verdana" w:hAnsi="Verdana"/>
          <w:b/>
          <w:bCs/>
          <w:sz w:val="22"/>
          <w:szCs w:val="22"/>
        </w:rPr>
        <w:t>otas Pie de Página:</w:t>
      </w:r>
    </w:p>
    <w:p w14:paraId="0FA62E00" w14:textId="758627D9"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Artículo 24. DERECHO A LOS ALIMENTOS: Los niños, las niñas y los adolescentes tienen derecho a los alimentos y demás medios para su desarrollo físico, psicológico, espiritual, moral, cultural y social, de acuerdo con la capacidad económica del alimentante. Se entiende por alimentos todo lo que es indispensable para el sustento, habitación, vestido, asistencia médica, recreación, educación o instrucción y, en general, todo lo que es necesario para el desarrollo Integral de los niños, las niñas y los adolescentes. Los alimentos comprenden la obligación de proporcionar a la madre los gastos de embarazo y parto.</w:t>
      </w:r>
    </w:p>
    <w:p w14:paraId="753F7D7B" w14:textId="546D21B4"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Expediente T 3516725. M.S. Jorge Iván Palacio Palado</w:t>
      </w:r>
    </w:p>
    <w:p w14:paraId="1FBDBC77" w14:textId="65C86B2F"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Corte Suprema de Justicia, Sata Civil Sentencia del B de julio de 1993- Citada en la Sentencia C-875 /2003 M.P. Dr. Marco Gerardo Monroy cabra.</w:t>
      </w:r>
    </w:p>
    <w:p w14:paraId="4CF3E08B" w14:textId="2B26C70E"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Artículo 44 Constitución Política, 'Son derechos fundaménteles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p>
    <w:p w14:paraId="42FA20FE" w14:textId="37752D4B"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Artículo 228. Constitución Política, “La Administración de Justicia es función pública. Sus decisiones son independientes. Las actuaciones serán públicas, permanentes con las excepciones que establezca la ley y en ellas prevalecerá el derecho sustancial. Los términos procesales se observarán con diligencia y su incumplimiento será desconcentrado y autónomo.</w:t>
      </w:r>
    </w:p>
    <w:p w14:paraId="10D08AB7" w14:textId="3EAE4144"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Estatuto del Estado Civil de las personas.</w:t>
      </w:r>
    </w:p>
    <w:p w14:paraId="2B664B2D" w14:textId="269A14F4"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lastRenderedPageBreak/>
        <w:t>Por medio del cual se crea la Jurisdicción Especial de Familia.</w:t>
      </w:r>
    </w:p>
    <w:p w14:paraId="0E5EB5C6" w14:textId="445D1471"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Resolución 5878 de 2010 por medio del cual se aprueba el Lineamiento técnico para Comisarías de Familia.</w:t>
      </w:r>
    </w:p>
    <w:p w14:paraId="627017C9" w14:textId="2A08050F" w:rsidR="00F83643" w:rsidRPr="00F83643" w:rsidRDefault="00F83643" w:rsidP="00F83643">
      <w:pPr>
        <w:pStyle w:val="Prrafodelista"/>
        <w:numPr>
          <w:ilvl w:val="0"/>
          <w:numId w:val="35"/>
        </w:numPr>
        <w:jc w:val="both"/>
        <w:rPr>
          <w:rFonts w:ascii="Verdana" w:hAnsi="Verdana"/>
          <w:sz w:val="22"/>
          <w:szCs w:val="22"/>
        </w:rPr>
      </w:pPr>
      <w:r w:rsidRPr="00F83643">
        <w:rPr>
          <w:rFonts w:ascii="Verdana" w:hAnsi="Verdana"/>
          <w:sz w:val="22"/>
          <w:szCs w:val="22"/>
        </w:rPr>
        <w:t>Artículo 35 de la Ley 640 de 2001</w:t>
      </w:r>
    </w:p>
    <w:p w14:paraId="014D7654" w14:textId="2591E612" w:rsidR="00F83643" w:rsidRPr="00F83643" w:rsidRDefault="00F83643" w:rsidP="00F83643">
      <w:pPr>
        <w:pStyle w:val="Prrafodelista"/>
        <w:jc w:val="both"/>
        <w:rPr>
          <w:rFonts w:ascii="Verdana" w:hAnsi="Verdana"/>
          <w:sz w:val="22"/>
          <w:szCs w:val="22"/>
        </w:rPr>
      </w:pPr>
      <w:r w:rsidRPr="00F83643">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a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Carbonell</w:t>
      </w:r>
      <w:r w:rsidRPr="00F83643">
        <w:rPr>
          <w:rFonts w:ascii="Verdana" w:hAnsi="Verdana"/>
          <w:b/>
          <w:bCs/>
          <w:sz w:val="22"/>
          <w:szCs w:val="22"/>
        </w:rPr>
        <w:t>.</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7"/>
  </w:num>
  <w:num w:numId="2" w16cid:durableId="1196507899">
    <w:abstractNumId w:val="15"/>
  </w:num>
  <w:num w:numId="3" w16cid:durableId="960693296">
    <w:abstractNumId w:val="11"/>
  </w:num>
  <w:num w:numId="4" w16cid:durableId="358314340">
    <w:abstractNumId w:val="26"/>
  </w:num>
  <w:num w:numId="5" w16cid:durableId="41293660">
    <w:abstractNumId w:val="14"/>
  </w:num>
  <w:num w:numId="6" w16cid:durableId="921529864">
    <w:abstractNumId w:val="24"/>
  </w:num>
  <w:num w:numId="7" w16cid:durableId="23949278">
    <w:abstractNumId w:val="30"/>
  </w:num>
  <w:num w:numId="8" w16cid:durableId="1015956597">
    <w:abstractNumId w:val="34"/>
  </w:num>
  <w:num w:numId="9" w16cid:durableId="1931308178">
    <w:abstractNumId w:val="29"/>
  </w:num>
  <w:num w:numId="10" w16cid:durableId="1297297334">
    <w:abstractNumId w:val="7"/>
  </w:num>
  <w:num w:numId="11" w16cid:durableId="1978758051">
    <w:abstractNumId w:val="1"/>
  </w:num>
  <w:num w:numId="12" w16cid:durableId="1341619597">
    <w:abstractNumId w:val="21"/>
  </w:num>
  <w:num w:numId="13" w16cid:durableId="366225028">
    <w:abstractNumId w:val="4"/>
  </w:num>
  <w:num w:numId="14" w16cid:durableId="917203800">
    <w:abstractNumId w:val="22"/>
  </w:num>
  <w:num w:numId="15" w16cid:durableId="1363091354">
    <w:abstractNumId w:val="8"/>
  </w:num>
  <w:num w:numId="16" w16cid:durableId="1256015573">
    <w:abstractNumId w:val="5"/>
  </w:num>
  <w:num w:numId="17" w16cid:durableId="676229082">
    <w:abstractNumId w:val="18"/>
  </w:num>
  <w:num w:numId="18" w16cid:durableId="1997806842">
    <w:abstractNumId w:val="16"/>
  </w:num>
  <w:num w:numId="19" w16cid:durableId="1175802387">
    <w:abstractNumId w:val="28"/>
  </w:num>
  <w:num w:numId="20" w16cid:durableId="129058303">
    <w:abstractNumId w:val="3"/>
  </w:num>
  <w:num w:numId="21" w16cid:durableId="972255551">
    <w:abstractNumId w:val="33"/>
  </w:num>
  <w:num w:numId="22" w16cid:durableId="415785170">
    <w:abstractNumId w:val="9"/>
  </w:num>
  <w:num w:numId="23" w16cid:durableId="859002360">
    <w:abstractNumId w:val="19"/>
  </w:num>
  <w:num w:numId="24" w16cid:durableId="1878354869">
    <w:abstractNumId w:val="12"/>
  </w:num>
  <w:num w:numId="25" w16cid:durableId="1439645944">
    <w:abstractNumId w:val="23"/>
  </w:num>
  <w:num w:numId="26" w16cid:durableId="1516112727">
    <w:abstractNumId w:val="10"/>
  </w:num>
  <w:num w:numId="27" w16cid:durableId="1631936836">
    <w:abstractNumId w:val="6"/>
  </w:num>
  <w:num w:numId="28" w16cid:durableId="93282053">
    <w:abstractNumId w:val="0"/>
  </w:num>
  <w:num w:numId="29" w16cid:durableId="653340151">
    <w:abstractNumId w:val="32"/>
  </w:num>
  <w:num w:numId="30" w16cid:durableId="1253667125">
    <w:abstractNumId w:val="13"/>
  </w:num>
  <w:num w:numId="31" w16cid:durableId="1654528347">
    <w:abstractNumId w:val="2"/>
  </w:num>
  <w:num w:numId="32" w16cid:durableId="191649102">
    <w:abstractNumId w:val="17"/>
  </w:num>
  <w:num w:numId="33" w16cid:durableId="1428189387">
    <w:abstractNumId w:val="20"/>
  </w:num>
  <w:num w:numId="34" w16cid:durableId="1185752789">
    <w:abstractNumId w:val="31"/>
  </w:num>
  <w:num w:numId="35" w16cid:durableId="1772584578">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EA1"/>
    <w:rsid w:val="00F74742"/>
    <w:rsid w:val="00F74B7A"/>
    <w:rsid w:val="00F83643"/>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280</TotalTime>
  <Pages>10</Pages>
  <Words>3641</Words>
  <Characters>20028</Characters>
  <Application>Microsoft Office Word</Application>
  <DocSecurity>0</DocSecurity>
  <Lines>166</Lines>
  <Paragraphs>47</Paragraphs>
  <ScaleCrop>false</ScaleCrop>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192</cp:revision>
  <dcterms:created xsi:type="dcterms:W3CDTF">2026-05-08T19:08:00Z</dcterms:created>
  <dcterms:modified xsi:type="dcterms:W3CDTF">2026-07-21T02:12:00Z</dcterms:modified>
</cp:coreProperties>
</file>