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9824" w14:textId="77777777" w:rsidR="00566F4C" w:rsidRPr="00566F4C" w:rsidRDefault="00566F4C" w:rsidP="00566F4C">
      <w:pPr>
        <w:jc w:val="center"/>
        <w:rPr>
          <w:rFonts w:ascii="Verdana" w:hAnsi="Verdana"/>
          <w:sz w:val="22"/>
          <w:szCs w:val="22"/>
        </w:rPr>
      </w:pPr>
      <w:r w:rsidRPr="00566F4C">
        <w:rPr>
          <w:rFonts w:ascii="Verdana" w:hAnsi="Verdana"/>
          <w:b/>
          <w:bCs/>
          <w:sz w:val="22"/>
          <w:szCs w:val="22"/>
        </w:rPr>
        <w:t>CONCEPTO 24 DE 2017</w:t>
      </w:r>
    </w:p>
    <w:p w14:paraId="717766F4" w14:textId="77777777" w:rsidR="00566F4C" w:rsidRPr="00566F4C" w:rsidRDefault="00566F4C" w:rsidP="00566F4C">
      <w:pPr>
        <w:jc w:val="center"/>
        <w:rPr>
          <w:rFonts w:ascii="Verdana" w:hAnsi="Verdana"/>
          <w:sz w:val="22"/>
          <w:szCs w:val="22"/>
        </w:rPr>
      </w:pPr>
      <w:r w:rsidRPr="00566F4C">
        <w:rPr>
          <w:rFonts w:ascii="Verdana" w:hAnsi="Verdana"/>
          <w:sz w:val="22"/>
          <w:szCs w:val="22"/>
        </w:rPr>
        <w:t>(marzo 15)</w:t>
      </w:r>
    </w:p>
    <w:p w14:paraId="2F2B4FC0" w14:textId="77777777" w:rsidR="00566F4C" w:rsidRPr="00566F4C" w:rsidRDefault="00566F4C" w:rsidP="00566F4C">
      <w:pPr>
        <w:jc w:val="center"/>
        <w:rPr>
          <w:rFonts w:ascii="Verdana" w:hAnsi="Verdana"/>
          <w:sz w:val="22"/>
          <w:szCs w:val="22"/>
        </w:rPr>
      </w:pPr>
      <w:r w:rsidRPr="00566F4C">
        <w:rPr>
          <w:rFonts w:ascii="Verdana" w:hAnsi="Verdana"/>
          <w:b/>
          <w:bCs/>
          <w:sz w:val="22"/>
          <w:szCs w:val="22"/>
        </w:rPr>
        <w:t>INSTITUTO COLOMBIANO DE BIENESTAR FAMILIAR</w:t>
      </w:r>
    </w:p>
    <w:p w14:paraId="734AD5F7"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ASUNTO: </w:t>
      </w:r>
      <w:r w:rsidRPr="00566F4C">
        <w:rPr>
          <w:rFonts w:ascii="Verdana" w:hAnsi="Verdana"/>
          <w:sz w:val="22"/>
          <w:szCs w:val="22"/>
        </w:rPr>
        <w:t>Solicitud de concepto radicado No. 1760839280 y 110052 del 06 de marzo de 2017.</w:t>
      </w:r>
    </w:p>
    <w:p w14:paraId="18FF6370" w14:textId="4F9751EB" w:rsidR="00566F4C" w:rsidRPr="00566F4C" w:rsidRDefault="00566F4C" w:rsidP="00566F4C">
      <w:pPr>
        <w:jc w:val="both"/>
        <w:rPr>
          <w:rFonts w:ascii="Verdana" w:hAnsi="Verdana"/>
          <w:sz w:val="22"/>
          <w:szCs w:val="22"/>
        </w:rPr>
      </w:pPr>
      <w:r w:rsidRPr="00566F4C">
        <w:rPr>
          <w:rFonts w:ascii="Verdana" w:hAnsi="Verdana"/>
          <w:sz w:val="22"/>
          <w:szCs w:val="22"/>
        </w:rPr>
        <w:t>De manera atenta, en relación con el asunto de la referencia, en los términos previstos en los artículos 26 del Código Civil, Ley 1755 de 2015, y el artículo 6</w:t>
      </w:r>
      <w:r w:rsidRPr="00566F4C">
        <w:rPr>
          <w:rFonts w:ascii="Verdana" w:hAnsi="Verdana"/>
          <w:sz w:val="22"/>
          <w:szCs w:val="22"/>
          <w:vertAlign w:val="superscript"/>
        </w:rPr>
        <w:t>o</w:t>
      </w:r>
      <w:r w:rsidRPr="00566F4C">
        <w:rPr>
          <w:rFonts w:ascii="Verdana" w:hAnsi="Verdana"/>
          <w:sz w:val="22"/>
          <w:szCs w:val="22"/>
        </w:rPr>
        <w:t>, numeral 4, del Decreto 987 de 2012, se responde la consulta, sobre el caso en cuestión, en los términos que siguen:</w:t>
      </w:r>
    </w:p>
    <w:p w14:paraId="18967929"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1. PROBLEMA JURÍDICO</w:t>
      </w:r>
    </w:p>
    <w:p w14:paraId="5FB2D995" w14:textId="77777777" w:rsidR="00566F4C" w:rsidRPr="00566F4C" w:rsidRDefault="00566F4C" w:rsidP="00566F4C">
      <w:pPr>
        <w:jc w:val="both"/>
        <w:rPr>
          <w:rFonts w:ascii="Verdana" w:hAnsi="Verdana"/>
          <w:sz w:val="22"/>
          <w:szCs w:val="22"/>
        </w:rPr>
      </w:pPr>
      <w:r w:rsidRPr="00566F4C">
        <w:rPr>
          <w:rFonts w:ascii="Verdana" w:hAnsi="Verdana"/>
          <w:sz w:val="22"/>
          <w:szCs w:val="22"/>
        </w:rPr>
        <w:t>¿Hasta cuándo subsiste la obligación de dar alimentos?</w:t>
      </w:r>
    </w:p>
    <w:p w14:paraId="6B52121A"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2. ANÁLISIS DEL PROBLEMA JURÍDICO</w:t>
      </w:r>
    </w:p>
    <w:p w14:paraId="468D5BA4" w14:textId="77777777" w:rsidR="00566F4C" w:rsidRPr="00566F4C" w:rsidRDefault="00566F4C" w:rsidP="00566F4C">
      <w:pPr>
        <w:jc w:val="both"/>
        <w:rPr>
          <w:rFonts w:ascii="Verdana" w:hAnsi="Verdana"/>
          <w:sz w:val="22"/>
          <w:szCs w:val="22"/>
        </w:rPr>
      </w:pPr>
      <w:r w:rsidRPr="00566F4C">
        <w:rPr>
          <w:rFonts w:ascii="Verdana" w:hAnsi="Verdana"/>
          <w:sz w:val="22"/>
          <w:szCs w:val="22"/>
        </w:rPr>
        <w:t xml:space="preserve">Se </w:t>
      </w:r>
      <w:proofErr w:type="gramStart"/>
      <w:r w:rsidRPr="00566F4C">
        <w:rPr>
          <w:rFonts w:ascii="Verdana" w:hAnsi="Verdana"/>
          <w:sz w:val="22"/>
          <w:szCs w:val="22"/>
        </w:rPr>
        <w:t>abordara</w:t>
      </w:r>
      <w:proofErr w:type="gramEnd"/>
      <w:r w:rsidRPr="00566F4C">
        <w:rPr>
          <w:rFonts w:ascii="Verdana" w:hAnsi="Verdana"/>
          <w:sz w:val="22"/>
          <w:szCs w:val="22"/>
        </w:rPr>
        <w:t xml:space="preserve"> el tema analizando: 2.1. La patria potestad y los derechos de los padres sobre sus hijos: 2 2 El derecho de alimentos: 2.3. Derecho de Alimentos de Hijos Mayores de Edad: 2.4. El Caso Concreto.</w:t>
      </w:r>
    </w:p>
    <w:p w14:paraId="38018782"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2.1. La patria potestad </w:t>
      </w:r>
      <w:r w:rsidRPr="00566F4C">
        <w:rPr>
          <w:rFonts w:ascii="Verdana" w:hAnsi="Verdana"/>
          <w:sz w:val="22"/>
          <w:szCs w:val="22"/>
        </w:rPr>
        <w:t>y </w:t>
      </w:r>
      <w:r w:rsidRPr="00566F4C">
        <w:rPr>
          <w:rFonts w:ascii="Verdana" w:hAnsi="Verdana"/>
          <w:b/>
          <w:bCs/>
          <w:sz w:val="22"/>
          <w:szCs w:val="22"/>
        </w:rPr>
        <w:t>los derechos de los padres sobre sus hijos</w:t>
      </w:r>
    </w:p>
    <w:p w14:paraId="2DB85367" w14:textId="2422062C" w:rsidR="00566F4C" w:rsidRPr="00566F4C" w:rsidRDefault="00566F4C" w:rsidP="00566F4C">
      <w:pPr>
        <w:jc w:val="both"/>
        <w:rPr>
          <w:rFonts w:ascii="Verdana" w:hAnsi="Verdana"/>
          <w:sz w:val="22"/>
          <w:szCs w:val="22"/>
        </w:rPr>
      </w:pPr>
      <w:r w:rsidRPr="00566F4C">
        <w:rPr>
          <w:rFonts w:ascii="Verdana" w:hAnsi="Verdana"/>
          <w:sz w:val="22"/>
          <w:szCs w:val="22"/>
        </w:rPr>
        <w:t>Según el artículo 288 del Código Civil, la patria potestad:</w:t>
      </w:r>
    </w:p>
    <w:p w14:paraId="136473B5"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"es</w:t>
      </w:r>
      <w:r w:rsidRPr="00566F4C">
        <w:rPr>
          <w:rFonts w:ascii="Verdana" w:hAnsi="Verdana"/>
          <w:sz w:val="22"/>
          <w:szCs w:val="22"/>
        </w:rPr>
        <w:t> </w:t>
      </w:r>
      <w:r w:rsidRPr="00566F4C">
        <w:rPr>
          <w:rFonts w:ascii="Verdana" w:hAnsi="Verdana"/>
          <w:i/>
          <w:iCs/>
          <w:sz w:val="22"/>
          <w:szCs w:val="22"/>
        </w:rPr>
        <w:t>el conjunto de derechos y obligaciones que la ley reconoce a los padres sobre sus hijos no emancipados, para facilitar a aquellos el cumplimiento de los deberes que su calidad les impone”.</w:t>
      </w:r>
    </w:p>
    <w:p w14:paraId="0FB79FB4" w14:textId="4BF04D24" w:rsidR="00566F4C" w:rsidRPr="00566F4C" w:rsidRDefault="00566F4C" w:rsidP="00566F4C">
      <w:pPr>
        <w:jc w:val="both"/>
        <w:rPr>
          <w:rFonts w:ascii="Verdana" w:hAnsi="Verdana"/>
          <w:sz w:val="22"/>
          <w:szCs w:val="22"/>
        </w:rPr>
      </w:pPr>
      <w:r w:rsidRPr="00566F4C">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127671AB" w14:textId="6E35EB7B" w:rsidR="00566F4C" w:rsidRPr="00566F4C" w:rsidRDefault="00566F4C" w:rsidP="00566F4C">
      <w:pPr>
        <w:jc w:val="both"/>
        <w:rPr>
          <w:rFonts w:ascii="Verdana" w:hAnsi="Verdana"/>
          <w:sz w:val="22"/>
          <w:szCs w:val="22"/>
        </w:rPr>
      </w:pPr>
      <w:r w:rsidRPr="00566F4C">
        <w:rPr>
          <w:rFonts w:ascii="Verdana" w:hAnsi="Verdana"/>
          <w:sz w:val="22"/>
          <w:szCs w:val="22"/>
        </w:rPr>
        <w:t>Frente al tema de la patria potestad, la Corte Constitucional en sentencia C-1003 de 2007 manifestó:</w:t>
      </w:r>
    </w:p>
    <w:p w14:paraId="64F36637"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w:t>
      </w:r>
      <w:r w:rsidRPr="00566F4C">
        <w:rPr>
          <w:rFonts w:ascii="Verdana" w:hAnsi="Verdana"/>
          <w:i/>
          <w:iCs/>
          <w:sz w:val="22"/>
          <w:szCs w:val="22"/>
        </w:rPr>
        <w:lastRenderedPageBreak/>
        <w:t xml:space="preserve">(permiso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566F4C">
        <w:rPr>
          <w:rFonts w:ascii="Verdana" w:hAnsi="Verdana"/>
          <w:i/>
          <w:iCs/>
          <w:sz w:val="22"/>
          <w:szCs w:val="22"/>
        </w:rPr>
        <w:t>y</w:t>
      </w:r>
      <w:proofErr w:type="gramEnd"/>
      <w:r w:rsidRPr="00566F4C">
        <w:rPr>
          <w:rFonts w:ascii="Verdana" w:hAnsi="Verdana"/>
          <w:i/>
          <w:iCs/>
          <w:sz w:val="22"/>
          <w:szCs w:val="22"/>
        </w:rPr>
        <w:t xml:space="preserve"> en consecuencia, el incumplimiento de los deberes de los padres puede conducir a su pérdida o suspensión.</w:t>
      </w:r>
    </w:p>
    <w:p w14:paraId="68A5358D"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 xml:space="preserve">En efecto, la patria potestad hace referencia a un régimen </w:t>
      </w:r>
      <w:proofErr w:type="gramStart"/>
      <w:r w:rsidRPr="00566F4C">
        <w:rPr>
          <w:rFonts w:ascii="Verdana" w:hAnsi="Verdana"/>
          <w:i/>
          <w:iCs/>
          <w:sz w:val="22"/>
          <w:szCs w:val="22"/>
        </w:rPr>
        <w:t>paterno-filial</w:t>
      </w:r>
      <w:proofErr w:type="gramEnd"/>
      <w:r w:rsidRPr="00566F4C">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vínculo".</w:t>
      </w:r>
    </w:p>
    <w:p w14:paraId="25045FCE" w14:textId="77777777" w:rsidR="00566F4C" w:rsidRPr="00566F4C" w:rsidRDefault="00566F4C" w:rsidP="00566F4C">
      <w:pPr>
        <w:jc w:val="both"/>
        <w:rPr>
          <w:rFonts w:ascii="Verdana" w:hAnsi="Verdana"/>
          <w:sz w:val="22"/>
          <w:szCs w:val="22"/>
        </w:rPr>
      </w:pPr>
      <w:r w:rsidRPr="00566F4C">
        <w:rPr>
          <w:rFonts w:ascii="Verdana" w:hAnsi="Verdana"/>
          <w:sz w:val="22"/>
          <w:szCs w:val="22"/>
        </w:rPr>
        <w:t>En efecto, enuncia como características de la patria potestad las siguientes:</w:t>
      </w:r>
    </w:p>
    <w:p w14:paraId="33DC25CC"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--"Se aplica excesivamente como un régimen de protección a hijos menores no emancipados.</w:t>
      </w:r>
    </w:p>
    <w:p w14:paraId="1FA2D349"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--Es obligatoria e irrenunciable pues los padres tienen la patria potestad, salvo que la ley los prive de ella o los excluya de su ejercicio.</w:t>
      </w:r>
    </w:p>
    <w:p w14:paraId="449058A2"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--Es personal e intransmisible porque son los padres quienes deberán ejercerla a no ser que la misma ley los excluya de su ejercicio.</w:t>
      </w:r>
    </w:p>
    <w:p w14:paraId="70A512C5"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--Es indisponible</w:t>
      </w:r>
      <w:r w:rsidRPr="00566F4C">
        <w:rPr>
          <w:rFonts w:ascii="Verdana" w:hAnsi="Verdana"/>
          <w:sz w:val="22"/>
          <w:szCs w:val="22"/>
        </w:rPr>
        <w:t>, </w:t>
      </w:r>
      <w:r w:rsidRPr="00566F4C">
        <w:rPr>
          <w:rFonts w:ascii="Verdana" w:hAnsi="Verdana"/>
          <w:i/>
          <w:iCs/>
          <w:sz w:val="22"/>
          <w:szCs w:val="22"/>
        </w:rPr>
        <w:t>porque el ejercicio de la patria potestad no puede ser atribuido, modificado, regulado ni extinguido por la propia voluntad privada sino en los casos en que la misma ley lo permita.</w:t>
      </w:r>
    </w:p>
    <w:p w14:paraId="07CDFA31"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--Constituye una labor gratuita, porque es un deber de los padres.</w:t>
      </w:r>
    </w:p>
    <w:p w14:paraId="0403EF90" w14:textId="77777777" w:rsidR="00566F4C" w:rsidRPr="00566F4C" w:rsidRDefault="00566F4C" w:rsidP="00566F4C">
      <w:pPr>
        <w:jc w:val="both"/>
        <w:rPr>
          <w:rFonts w:ascii="Verdana" w:hAnsi="Verdana"/>
          <w:sz w:val="22"/>
          <w:szCs w:val="22"/>
        </w:rPr>
      </w:pPr>
      <w:r w:rsidRPr="00566F4C">
        <w:rPr>
          <w:rFonts w:ascii="Verdana" w:hAnsi="Verdana"/>
          <w:sz w:val="22"/>
          <w:szCs w:val="22"/>
        </w:rPr>
        <w:t>--</w:t>
      </w:r>
      <w:r w:rsidRPr="00566F4C">
        <w:rPr>
          <w:rFonts w:ascii="Verdana" w:hAnsi="Verdana"/>
          <w:i/>
          <w:iCs/>
          <w:sz w:val="22"/>
          <w:szCs w:val="22"/>
        </w:rPr>
        <w:t>La patria potestad debe ser ejercida personalmente por el padre o por la madre”.</w:t>
      </w:r>
    </w:p>
    <w:p w14:paraId="260A1EE9" w14:textId="42CDEACA" w:rsidR="00566F4C" w:rsidRPr="00566F4C" w:rsidRDefault="00566F4C" w:rsidP="00566F4C">
      <w:pPr>
        <w:jc w:val="both"/>
        <w:rPr>
          <w:rFonts w:ascii="Verdana" w:hAnsi="Verdana"/>
          <w:sz w:val="22"/>
          <w:szCs w:val="22"/>
        </w:rPr>
      </w:pPr>
      <w:r w:rsidRPr="00566F4C">
        <w:rPr>
          <w:rFonts w:ascii="Verdana" w:hAnsi="Verdana"/>
          <w:sz w:val="22"/>
          <w:szCs w:val="22"/>
        </w:rPr>
        <w:t>Respecto a los derechos que otorga la patria potestad a los padres del menor de edad en sentencia C-145 de 2010 la Corte Constitucional indicó que estos se reducen a. </w:t>
      </w:r>
      <w:r w:rsidRPr="00566F4C">
        <w:rPr>
          <w:rFonts w:ascii="Verdana" w:hAnsi="Verdana"/>
          <w:i/>
          <w:iCs/>
          <w:sz w:val="22"/>
          <w:szCs w:val="22"/>
        </w:rPr>
        <w:t>(i) al usufructo de los bienes del hijo, (</w:t>
      </w:r>
      <w:proofErr w:type="spellStart"/>
      <w:r w:rsidRPr="00566F4C">
        <w:rPr>
          <w:rFonts w:ascii="Verdana" w:hAnsi="Verdana"/>
          <w:i/>
          <w:iCs/>
          <w:sz w:val="22"/>
          <w:szCs w:val="22"/>
        </w:rPr>
        <w:t>ii</w:t>
      </w:r>
      <w:proofErr w:type="spellEnd"/>
      <w:r w:rsidRPr="00566F4C">
        <w:rPr>
          <w:rFonts w:ascii="Verdana" w:hAnsi="Verdana"/>
          <w:i/>
          <w:iCs/>
          <w:sz w:val="22"/>
          <w:szCs w:val="22"/>
        </w:rPr>
        <w:t>) al de administración de esos bienes, y (</w:t>
      </w:r>
      <w:proofErr w:type="spellStart"/>
      <w:r w:rsidRPr="00566F4C">
        <w:rPr>
          <w:rFonts w:ascii="Verdana" w:hAnsi="Verdana"/>
          <w:i/>
          <w:iCs/>
          <w:sz w:val="22"/>
          <w:szCs w:val="22"/>
        </w:rPr>
        <w:t>iii</w:t>
      </w:r>
      <w:proofErr w:type="spellEnd"/>
      <w:r w:rsidRPr="00566F4C">
        <w:rPr>
          <w:rFonts w:ascii="Verdana" w:hAnsi="Verdana"/>
          <w:i/>
          <w:iCs/>
          <w:sz w:val="22"/>
          <w:szCs w:val="22"/>
        </w:rPr>
        <w:t>) al de representación judicial y extrajudicial del hijo. </w:t>
      </w:r>
      <w:r w:rsidRPr="00566F4C">
        <w:rPr>
          <w:rFonts w:ascii="Verdana" w:hAnsi="Verdana"/>
          <w:sz w:val="22"/>
          <w:szCs w:val="22"/>
        </w:rPr>
        <w:t>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llevadas a cabo, no sólo ante</w:t>
      </w:r>
      <w:r w:rsidRPr="00566F4C">
        <w:rPr>
          <w:rFonts w:ascii="Verdana" w:hAnsi="Verdana"/>
          <w:sz w:val="22"/>
          <w:szCs w:val="22"/>
        </w:rPr>
        <w:br/>
        <w:t xml:space="preserve">los jueces, sino también ante cualquier autoridad o particular en que deba participar o intervenir el hijo de familia, ya sea como titular de derechos o como sujeto a quien se le imputan responsabilidades u obligaciones. En cuanto a los </w:t>
      </w:r>
      <w:r w:rsidRPr="00566F4C">
        <w:rPr>
          <w:rFonts w:ascii="Verdana" w:hAnsi="Verdana"/>
          <w:sz w:val="22"/>
          <w:szCs w:val="22"/>
        </w:rPr>
        <w:lastRenderedPageBreak/>
        <w:t>derechos de administración y usufructo, estos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6D50A1F0" w14:textId="77777777" w:rsidR="00566F4C" w:rsidRPr="00566F4C" w:rsidRDefault="00566F4C" w:rsidP="00566F4C">
      <w:pPr>
        <w:jc w:val="both"/>
        <w:rPr>
          <w:rFonts w:ascii="Verdana" w:hAnsi="Verdana"/>
          <w:sz w:val="22"/>
          <w:szCs w:val="22"/>
        </w:rPr>
      </w:pPr>
      <w:r w:rsidRPr="00566F4C">
        <w:rPr>
          <w:rFonts w:ascii="Verdana" w:hAnsi="Verdana"/>
          <w:sz w:val="22"/>
          <w:szCs w:val="22"/>
        </w:rPr>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49617776" w14:textId="77777777" w:rsidR="00566F4C" w:rsidRPr="00566F4C" w:rsidRDefault="00566F4C" w:rsidP="00566F4C">
      <w:pPr>
        <w:jc w:val="both"/>
        <w:rPr>
          <w:rFonts w:ascii="Verdana" w:hAnsi="Verdana"/>
          <w:sz w:val="22"/>
          <w:szCs w:val="22"/>
        </w:rPr>
      </w:pPr>
      <w:r w:rsidRPr="00566F4C">
        <w:rPr>
          <w:rFonts w:ascii="Verdana" w:hAnsi="Verdana"/>
          <w:sz w:val="22"/>
          <w:szCs w:val="22"/>
        </w:rPr>
        <w:t xml:space="preserve">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566F4C">
        <w:rPr>
          <w:rFonts w:ascii="Verdana" w:hAnsi="Verdana"/>
          <w:sz w:val="22"/>
          <w:szCs w:val="22"/>
        </w:rPr>
        <w:t>que</w:t>
      </w:r>
      <w:proofErr w:type="gramEnd"/>
      <w:r w:rsidRPr="00566F4C">
        <w:rPr>
          <w:rFonts w:ascii="Verdana" w:hAnsi="Verdana"/>
          <w:sz w:val="22"/>
          <w:szCs w:val="22"/>
        </w:rPr>
        <w:t xml:space="preserve"> la propia ley prevé </w:t>
      </w:r>
      <w:proofErr w:type="gramStart"/>
      <w:r w:rsidRPr="00566F4C">
        <w:rPr>
          <w:rFonts w:ascii="Verdana" w:hAnsi="Verdana"/>
          <w:sz w:val="22"/>
          <w:szCs w:val="22"/>
        </w:rPr>
        <w:t>que</w:t>
      </w:r>
      <w:proofErr w:type="gramEnd"/>
      <w:r w:rsidRPr="00566F4C">
        <w:rPr>
          <w:rFonts w:ascii="Verdana" w:hAnsi="Verdana"/>
          <w:sz w:val="22"/>
          <w:szCs w:val="22"/>
        </w:rPr>
        <w:t xml:space="preserve"> a falta de uno de los padres, la patria potestad será ejercida por el otro.</w:t>
      </w:r>
    </w:p>
    <w:p w14:paraId="3B30CCB3" w14:textId="77777777" w:rsidR="00566F4C" w:rsidRPr="00566F4C" w:rsidRDefault="00566F4C" w:rsidP="00566F4C">
      <w:pPr>
        <w:jc w:val="both"/>
        <w:rPr>
          <w:rFonts w:ascii="Verdana" w:hAnsi="Verdana"/>
          <w:sz w:val="22"/>
          <w:szCs w:val="22"/>
        </w:rPr>
      </w:pPr>
      <w:r w:rsidRPr="00566F4C">
        <w:rPr>
          <w:rFonts w:ascii="Verdana" w:hAnsi="Verdana"/>
          <w:sz w:val="22"/>
          <w:szCs w:val="22"/>
        </w:rPr>
        <w:t>Respecto a la patria potestad, la Corte ha indicado que es de orden público, obligatoria e irrenunciable, personal e intransferible, e indisponible, pues es deber de los padres ejercerla, en interés del menor de edad, sin que tal ejercicio pueda ser atribuido, modificado, regulado ni extinguido por la propia voluntad privada, sino en los casos que la propia ley lo permita.</w:t>
      </w:r>
    </w:p>
    <w:p w14:paraId="5A29B8E8" w14:textId="77777777" w:rsidR="00566F4C" w:rsidRPr="00566F4C" w:rsidRDefault="00566F4C" w:rsidP="00566F4C">
      <w:pPr>
        <w:jc w:val="both"/>
        <w:rPr>
          <w:rFonts w:ascii="Verdana" w:hAnsi="Verdana"/>
          <w:sz w:val="22"/>
          <w:szCs w:val="22"/>
        </w:rPr>
      </w:pPr>
      <w:r w:rsidRPr="00566F4C">
        <w:rPr>
          <w:rFonts w:ascii="Verdana" w:hAnsi="Verdana"/>
          <w:sz w:val="22"/>
          <w:szCs w:val="22"/>
        </w:rPr>
        <w:t>La patria potestad sobre un menor de edad podrá ser suspendida y terminada, cuando cualquiera de los padres incurre en alguna de las causales que ha erigido 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0DA779DF" w14:textId="420A6587" w:rsidR="00566F4C" w:rsidRPr="00566F4C" w:rsidRDefault="00566F4C" w:rsidP="00566F4C">
      <w:pPr>
        <w:jc w:val="both"/>
        <w:rPr>
          <w:rFonts w:ascii="Verdana" w:hAnsi="Verdana"/>
          <w:sz w:val="22"/>
          <w:szCs w:val="22"/>
        </w:rPr>
      </w:pPr>
      <w:r w:rsidRPr="00566F4C">
        <w:rPr>
          <w:rFonts w:ascii="Verdana" w:hAnsi="Verdana"/>
          <w:sz w:val="22"/>
          <w:szCs w:val="22"/>
        </w:rPr>
        <w:lastRenderedPageBreak/>
        <w:t>En efecto, el artículo 315</w:t>
      </w:r>
      <w:r w:rsidRPr="00566F4C">
        <w:rPr>
          <w:rFonts w:ascii="Verdana" w:hAnsi="Verdana"/>
          <w:sz w:val="22"/>
          <w:szCs w:val="22"/>
          <w:vertAlign w:val="superscript"/>
        </w:rPr>
        <w:t>[1]</w:t>
      </w:r>
      <w:r w:rsidRPr="00566F4C">
        <w:rPr>
          <w:rFonts w:ascii="Verdana" w:hAnsi="Verdana"/>
          <w:sz w:val="22"/>
          <w:szCs w:val="22"/>
        </w:rPr>
        <w:t> del Código Civil, norma que se aplica por remisión expresa del artículo 310 </w:t>
      </w:r>
      <w:r w:rsidRPr="00566F4C">
        <w:rPr>
          <w:rFonts w:ascii="Verdana" w:hAnsi="Verdana"/>
          <w:sz w:val="22"/>
          <w:szCs w:val="22"/>
          <w:vertAlign w:val="superscript"/>
        </w:rPr>
        <w:t>[2] </w:t>
      </w:r>
      <w:proofErr w:type="spellStart"/>
      <w:r w:rsidRPr="00566F4C">
        <w:rPr>
          <w:rFonts w:ascii="Verdana" w:hAnsi="Verdana"/>
          <w:sz w:val="22"/>
          <w:szCs w:val="22"/>
        </w:rPr>
        <w:t>ibídem</w:t>
      </w:r>
      <w:proofErr w:type="spellEnd"/>
      <w:r w:rsidRPr="00566F4C">
        <w:rPr>
          <w:rFonts w:ascii="Verdana" w:hAnsi="Verdana"/>
          <w:sz w:val="22"/>
          <w:szCs w:val="22"/>
        </w:rPr>
        <w:t>, se ocupa de consagrar las causales que dan lugar a la terminación de la patria potestad.</w:t>
      </w:r>
    </w:p>
    <w:p w14:paraId="6CFB0E77" w14:textId="1FC33F60" w:rsidR="00566F4C" w:rsidRPr="00566F4C" w:rsidRDefault="00566F4C" w:rsidP="00566F4C">
      <w:pPr>
        <w:jc w:val="both"/>
        <w:rPr>
          <w:rFonts w:ascii="Verdana" w:hAnsi="Verdana"/>
          <w:sz w:val="22"/>
          <w:szCs w:val="22"/>
        </w:rPr>
      </w:pPr>
      <w:r w:rsidRPr="00566F4C">
        <w:rPr>
          <w:rFonts w:ascii="Verdana" w:hAnsi="Verdana"/>
          <w:sz w:val="22"/>
          <w:szCs w:val="22"/>
        </w:rPr>
        <w:t>Los efectos de la terminación tienen carácter definitivo, siendo imposible su recuperación puesto que su consecuencia es la emancipación del hijo. Por virtud de lo dispuesto en el artículo 315 del Código Civil, en armonía con lo previsto en el artículo 119 de la Ley 1098 de 2006, les corresponde a los jueces de familia conocer de los procesos sobre pérdida, suspensión o rehabilitación de la patria potestad En cualquier caso, la suspensión o terminación de la patria potestad, no libera ni exonera a los padres de los deberes que tienen para con los hijos, manteniéndose vigente la obligación de proveer alimentos en favor de ellos, al igual que los deberes de crianza, cuidado personal y educación.</w:t>
      </w:r>
    </w:p>
    <w:p w14:paraId="7666DCBE"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2.2. El Derecho de Alimentos</w:t>
      </w:r>
    </w:p>
    <w:p w14:paraId="632F6C6B" w14:textId="77777777" w:rsidR="00566F4C" w:rsidRPr="00566F4C" w:rsidRDefault="00566F4C" w:rsidP="00566F4C">
      <w:pPr>
        <w:jc w:val="both"/>
        <w:rPr>
          <w:rFonts w:ascii="Verdana" w:hAnsi="Verdana"/>
          <w:sz w:val="22"/>
          <w:szCs w:val="22"/>
        </w:rPr>
      </w:pPr>
      <w:proofErr w:type="gramStart"/>
      <w:r w:rsidRPr="00566F4C">
        <w:rPr>
          <w:rFonts w:ascii="Verdana" w:hAnsi="Verdana"/>
          <w:sz w:val="22"/>
          <w:szCs w:val="22"/>
        </w:rPr>
        <w:t>De acuerdo a</w:t>
      </w:r>
      <w:proofErr w:type="gramEnd"/>
      <w:r w:rsidRPr="00566F4C">
        <w:rPr>
          <w:rFonts w:ascii="Verdana" w:hAnsi="Verdana"/>
          <w:sz w:val="22"/>
          <w:szCs w:val="22"/>
        </w:rPr>
        <w:t xml:space="preserve"> lo indicado por la Corte Constitucional:</w:t>
      </w:r>
    </w:p>
    <w:p w14:paraId="2D5F2767"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 xml:space="preserve">“El derecho de alimentos es aquel que le asiste a una persona para reclamar de la persona obligada legalmente a darlos, lo necesario para su subsistencia, cuando no está en capacidad de procurárselo por sus propios medios. Así la obligación alimentaria está en cabeza de </w:t>
      </w:r>
      <w:proofErr w:type="gramStart"/>
      <w:r w:rsidRPr="00566F4C">
        <w:rPr>
          <w:rFonts w:ascii="Verdana" w:hAnsi="Verdana"/>
          <w:i/>
          <w:iCs/>
          <w:sz w:val="22"/>
          <w:szCs w:val="22"/>
        </w:rPr>
        <w:t>quien</w:t>
      </w:r>
      <w:proofErr w:type="gramEnd"/>
      <w:r w:rsidRPr="00566F4C">
        <w:rPr>
          <w:rFonts w:ascii="Verdana" w:hAnsi="Verdana"/>
          <w:i/>
          <w:iCs/>
          <w:sz w:val="22"/>
          <w:szCs w:val="22"/>
        </w:rPr>
        <w:t xml:space="preserve"> por ley, debe sacrificar parte de su propiedad con el fin de garantizar la supervivencia y desarrollo del acreedor de alimentos".</w:t>
      </w:r>
      <w:r w:rsidRPr="00566F4C">
        <w:rPr>
          <w:rFonts w:ascii="Verdana" w:hAnsi="Verdana"/>
          <w:i/>
          <w:iCs/>
          <w:sz w:val="22"/>
          <w:szCs w:val="22"/>
          <w:vertAlign w:val="superscript"/>
        </w:rPr>
        <w:t>[3]</w:t>
      </w:r>
    </w:p>
    <w:p w14:paraId="36776ECA" w14:textId="77777777" w:rsidR="00566F4C" w:rsidRPr="00566F4C" w:rsidRDefault="00566F4C" w:rsidP="00566F4C">
      <w:pPr>
        <w:jc w:val="both"/>
        <w:rPr>
          <w:rFonts w:ascii="Verdana" w:hAnsi="Verdana"/>
          <w:sz w:val="22"/>
          <w:szCs w:val="22"/>
        </w:rPr>
      </w:pPr>
      <w:r w:rsidRPr="00566F4C">
        <w:rPr>
          <w:rFonts w:ascii="Verdana" w:hAnsi="Verdana"/>
          <w:sz w:val="22"/>
          <w:szCs w:val="22"/>
        </w:rPr>
        <w:t>Es así como el derecho de alimentos se deriva sin lugar a equívocos del vínculo familiar y es una obligación que tiene fundamento en el principio de la solidaridad, con la premisa que el alimentario no está en la capacidad de asegurarse su propia subsistencia.</w:t>
      </w:r>
    </w:p>
    <w:p w14:paraId="1EE20317"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Titulares del derecho de alimentos</w:t>
      </w:r>
    </w:p>
    <w:p w14:paraId="5F9D5CAD" w14:textId="30880E02" w:rsidR="00566F4C" w:rsidRPr="00566F4C" w:rsidRDefault="00566F4C" w:rsidP="00566F4C">
      <w:pPr>
        <w:jc w:val="both"/>
        <w:rPr>
          <w:rFonts w:ascii="Verdana" w:hAnsi="Verdana"/>
          <w:sz w:val="22"/>
          <w:szCs w:val="22"/>
        </w:rPr>
      </w:pPr>
      <w:r w:rsidRPr="00566F4C">
        <w:rPr>
          <w:rFonts w:ascii="Verdana" w:hAnsi="Verdana"/>
          <w:sz w:val="22"/>
          <w:szCs w:val="22"/>
        </w:rPr>
        <w:t>El artículo 411 Del Código Civil dice que se deben alimentos:</w:t>
      </w:r>
    </w:p>
    <w:p w14:paraId="32F93217"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1o) Al cónyuge.</w:t>
      </w:r>
    </w:p>
    <w:p w14:paraId="1D035CA5"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2o) A los descendientes.</w:t>
      </w:r>
    </w:p>
    <w:p w14:paraId="2505F9F0"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3o) A los ascendientes.</w:t>
      </w:r>
    </w:p>
    <w:p w14:paraId="7152376A"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4o) A cargo del cónyuge culpable, al cónyuge divorciado o separado de cuerpo sin su culpa</w:t>
      </w:r>
    </w:p>
    <w:p w14:paraId="7A24C56E"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5o) A los hijos naturales, su posteridad y a los nietos naturales.</w:t>
      </w:r>
    </w:p>
    <w:p w14:paraId="6FB70AC3"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6o) A los Ascendientes Naturales.</w:t>
      </w:r>
    </w:p>
    <w:p w14:paraId="5C24DA24"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7o) A los hijos adoptivos.</w:t>
      </w:r>
    </w:p>
    <w:p w14:paraId="0CD1884C"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lastRenderedPageBreak/>
        <w:t>8o) A los padres adoptantes.</w:t>
      </w:r>
    </w:p>
    <w:p w14:paraId="5D6690B1"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9o) A los hermanos legítimos</w:t>
      </w:r>
    </w:p>
    <w:p w14:paraId="42C9C246"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10) Al que hizo una donación cuantiosa si no hubiere sido rescindida o revocada.</w:t>
      </w:r>
    </w:p>
    <w:p w14:paraId="512EC774"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La acción del donante se dirigirá contra el donatario.</w:t>
      </w:r>
    </w:p>
    <w:p w14:paraId="0AA686AF"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No se deben alimentos a las personas aquí designadas en los casos en que una ley se los niegue.</w:t>
      </w:r>
    </w:p>
    <w:p w14:paraId="31899D60" w14:textId="3510163E" w:rsidR="00566F4C" w:rsidRPr="00566F4C" w:rsidRDefault="00566F4C" w:rsidP="00566F4C">
      <w:pPr>
        <w:jc w:val="both"/>
        <w:rPr>
          <w:rFonts w:ascii="Verdana" w:hAnsi="Verdana"/>
          <w:sz w:val="22"/>
          <w:szCs w:val="22"/>
        </w:rPr>
      </w:pPr>
      <w:r w:rsidRPr="00566F4C">
        <w:rPr>
          <w:rFonts w:ascii="Verdana" w:hAnsi="Verdana"/>
          <w:sz w:val="22"/>
          <w:szCs w:val="22"/>
        </w:rPr>
        <w:t>El derecho de los niños, niñas y adolescentes a recibir alimentos es en sí un derecho fundamental. El artículo 44 de la Constitución Política establece que </w:t>
      </w:r>
      <w:r w:rsidRPr="00566F4C">
        <w:rPr>
          <w:rFonts w:ascii="Verdana" w:hAnsi="Verdana"/>
          <w:i/>
          <w:iCs/>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r w:rsidRPr="00566F4C">
        <w:rPr>
          <w:rFonts w:ascii="Verdana" w:hAnsi="Verdana"/>
          <w:sz w:val="22"/>
          <w:szCs w:val="22"/>
        </w:rPr>
        <w:t>."</w:t>
      </w:r>
    </w:p>
    <w:p w14:paraId="07672F64" w14:textId="77777777" w:rsidR="00566F4C" w:rsidRPr="00566F4C" w:rsidRDefault="00566F4C" w:rsidP="00566F4C">
      <w:pPr>
        <w:jc w:val="both"/>
        <w:rPr>
          <w:rFonts w:ascii="Verdana" w:hAnsi="Verdana"/>
          <w:sz w:val="22"/>
          <w:szCs w:val="22"/>
        </w:rPr>
      </w:pPr>
      <w:r w:rsidRPr="00566F4C">
        <w:rPr>
          <w:rFonts w:ascii="Verdana" w:hAnsi="Verdana"/>
          <w:sz w:val="22"/>
          <w:szCs w:val="22"/>
        </w:rPr>
        <w:t xml:space="preserve">El anterior precepto constitucional está íntimamente relacionado con la noción de alimentos dispuesto en la legislación civil, de familia y en el Código de la Infancia y la Adolescencia pues </w:t>
      </w:r>
      <w:proofErr w:type="gramStart"/>
      <w:r w:rsidRPr="00566F4C">
        <w:rPr>
          <w:rFonts w:ascii="Verdana" w:hAnsi="Verdana"/>
          <w:sz w:val="22"/>
          <w:szCs w:val="22"/>
        </w:rPr>
        <w:t>éste</w:t>
      </w:r>
      <w:proofErr w:type="gramEnd"/>
      <w:r w:rsidRPr="00566F4C">
        <w:rPr>
          <w:rFonts w:ascii="Verdana" w:hAnsi="Verdana"/>
          <w:sz w:val="22"/>
          <w:szCs w:val="22"/>
        </w:rPr>
        <w:t xml:space="preserve"> concepto encierra lo necesario para el desarrollo físico, sicológico, espiritual, moral, cultural y social del niño o adolescente. El reconocimiento que se hace a los menores del derecho a los alimentos tiene una finalidad protectora integral basada en el interés superior del menor.</w:t>
      </w:r>
    </w:p>
    <w:p w14:paraId="1C91B5B2" w14:textId="180AB40E" w:rsidR="00566F4C" w:rsidRPr="00566F4C" w:rsidRDefault="00566F4C" w:rsidP="00566F4C">
      <w:pPr>
        <w:jc w:val="both"/>
        <w:rPr>
          <w:rFonts w:ascii="Verdana" w:hAnsi="Verdana"/>
          <w:sz w:val="22"/>
          <w:szCs w:val="22"/>
        </w:rPr>
      </w:pPr>
      <w:r w:rsidRPr="00566F4C">
        <w:rPr>
          <w:rFonts w:ascii="Verdana" w:hAnsi="Verdana"/>
          <w:sz w:val="22"/>
          <w:szCs w:val="22"/>
        </w:rPr>
        <w:t>En efecto, el artículo 24 de la Ley 1098 de 2006, "Por la cual se expide el Código de la Infancia y la Adolescencia", estableció la siguiente definición de los alimentos:</w:t>
      </w:r>
    </w:p>
    <w:p w14:paraId="1CF42124" w14:textId="77777777" w:rsidR="00566F4C" w:rsidRPr="00566F4C" w:rsidRDefault="00566F4C" w:rsidP="00566F4C">
      <w:pPr>
        <w:jc w:val="both"/>
        <w:rPr>
          <w:rFonts w:ascii="Verdana" w:hAnsi="Verdana"/>
          <w:sz w:val="22"/>
          <w:szCs w:val="22"/>
        </w:rPr>
      </w:pPr>
      <w:r w:rsidRPr="00566F4C">
        <w:rPr>
          <w:rFonts w:ascii="Verdana" w:hAnsi="Verdana"/>
          <w:i/>
          <w:iCs/>
          <w:sz w:val="22"/>
          <w:szCs w:val="22"/>
        </w:rPr>
        <w:t>"Artículo 24. Derecho a los alimentos. Los niños, las niñas y los adolescentes tienen derecho a los alimentos y demás medios para su desarrollo físico, psicológico, espiritual, moral, cultural y social, de acuerdo con la capacidad económica del alimentante. Se entiende por alimentos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5CA833C0" w14:textId="77777777" w:rsidR="00566F4C" w:rsidRPr="00566F4C" w:rsidRDefault="00566F4C" w:rsidP="00566F4C">
      <w:pPr>
        <w:jc w:val="both"/>
        <w:rPr>
          <w:rFonts w:ascii="Verdana" w:hAnsi="Verdana"/>
          <w:sz w:val="22"/>
          <w:szCs w:val="22"/>
        </w:rPr>
      </w:pPr>
      <w:r w:rsidRPr="00566F4C">
        <w:rPr>
          <w:rFonts w:ascii="Verdana" w:hAnsi="Verdana"/>
          <w:sz w:val="22"/>
          <w:szCs w:val="22"/>
        </w:rPr>
        <w:t xml:space="preserve">De las anteriores disposiciones podemos concluir que los niños, niñas y adolescentes tienen el derecho fundamental a recibir alimentos, el cual se extiende a la recepción de las cuotas alimentarias que se presumen indispensables para garantizar su desarrollo pleno e integral Tales derechos están protegidos por procedimientos especiales, como son los procesos de fijación de cuota alimentaria, ejecución y revisión de </w:t>
      </w:r>
      <w:proofErr w:type="gramStart"/>
      <w:r w:rsidRPr="00566F4C">
        <w:rPr>
          <w:rFonts w:ascii="Verdana" w:hAnsi="Verdana"/>
          <w:sz w:val="22"/>
          <w:szCs w:val="22"/>
        </w:rPr>
        <w:t>los mismos</w:t>
      </w:r>
      <w:proofErr w:type="gramEnd"/>
      <w:r w:rsidRPr="00566F4C">
        <w:rPr>
          <w:rFonts w:ascii="Verdana" w:hAnsi="Verdana"/>
          <w:sz w:val="22"/>
          <w:szCs w:val="22"/>
        </w:rPr>
        <w:t>.</w:t>
      </w:r>
    </w:p>
    <w:p w14:paraId="3BD62624" w14:textId="77777777" w:rsidR="00566F4C" w:rsidRPr="00566F4C" w:rsidRDefault="00566F4C" w:rsidP="00566F4C">
      <w:pPr>
        <w:jc w:val="both"/>
        <w:rPr>
          <w:rFonts w:ascii="Verdana" w:hAnsi="Verdana"/>
          <w:sz w:val="22"/>
          <w:szCs w:val="22"/>
        </w:rPr>
      </w:pPr>
      <w:r w:rsidRPr="00566F4C">
        <w:rPr>
          <w:rFonts w:ascii="Verdana" w:hAnsi="Verdana"/>
          <w:sz w:val="22"/>
          <w:szCs w:val="22"/>
        </w:rPr>
        <w:lastRenderedPageBreak/>
        <w:t>Estos procedimientos especiales se encuentran previstos en la legislación de familia para proteger los alimentos de los menores de edad, y deben guiarse por el principio desarrollado en la Ley 1098 de 2006, que hace referencia al interés superior en los siguientes términos:</w:t>
      </w:r>
    </w:p>
    <w:p w14:paraId="2182014E" w14:textId="40C78BEF" w:rsidR="00566F4C" w:rsidRPr="00566F4C" w:rsidRDefault="00566F4C" w:rsidP="00566F4C">
      <w:pPr>
        <w:jc w:val="both"/>
        <w:rPr>
          <w:rFonts w:ascii="Verdana" w:hAnsi="Verdana"/>
          <w:sz w:val="22"/>
          <w:szCs w:val="22"/>
        </w:rPr>
      </w:pPr>
      <w:r w:rsidRPr="00566F4C">
        <w:rPr>
          <w:rFonts w:ascii="Verdana" w:hAnsi="Verdana"/>
          <w:i/>
          <w:iCs/>
          <w:sz w:val="22"/>
          <w:szCs w:val="22"/>
        </w:rPr>
        <w:t>“ARTÍCULO 8o. INTERÉS SUPERIOR DE LOS NIÑOS, LAS NIÑAS Y LOS ADOLESCENTES. Se entiende por interés superior del niño, niña y adolescente</w:t>
      </w:r>
      <w:r w:rsidRPr="00566F4C">
        <w:rPr>
          <w:rFonts w:ascii="Verdana" w:hAnsi="Verdana"/>
          <w:sz w:val="22"/>
          <w:szCs w:val="22"/>
        </w:rPr>
        <w:t>, </w:t>
      </w:r>
      <w:r w:rsidRPr="00566F4C">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1378D917" w14:textId="77777777" w:rsidR="00566F4C" w:rsidRPr="00566F4C" w:rsidRDefault="00566F4C" w:rsidP="00566F4C">
      <w:pPr>
        <w:jc w:val="both"/>
        <w:rPr>
          <w:rFonts w:ascii="Verdana" w:hAnsi="Verdana"/>
          <w:sz w:val="22"/>
          <w:szCs w:val="22"/>
        </w:rPr>
      </w:pPr>
      <w:r w:rsidRPr="00566F4C">
        <w:rPr>
          <w:rFonts w:ascii="Verdana" w:hAnsi="Verdana"/>
          <w:sz w:val="22"/>
          <w:szCs w:val="22"/>
        </w:rPr>
        <w:t>Así las cosas, con los preceptos legales y constitucionales se rodean a los niños,  niñas y adolescentes de garantías y beneficios que permite la protección integral en su proceso de formación y desarrollo hacia la adultez, dentro del cual los alimentos juegan un papel primordial; por ello, cuando un padre incumple con el deber legal y moral de suministrar alimentos a sus menores hijos, puede acudirse inicialmente ante la autoridad administrativa competente para que a través de ésta se restablezcan los derechos de los niños, niñas y adolescentes adoptando las medidas que se consideren necesarias para obtener la fijación o el pago de las cuotas alimentarias a que tiene derecho el menor de edad, dependiendo el caso en concreto.</w:t>
      </w:r>
    </w:p>
    <w:p w14:paraId="1E2D1356"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2.3. Derecho de Alimentos de Hijos Mayores de Edad</w:t>
      </w:r>
    </w:p>
    <w:p w14:paraId="424B84C3" w14:textId="77777777" w:rsidR="00566F4C" w:rsidRPr="00566F4C" w:rsidRDefault="00566F4C" w:rsidP="00566F4C">
      <w:pPr>
        <w:jc w:val="both"/>
        <w:rPr>
          <w:rFonts w:ascii="Verdana" w:hAnsi="Verdana"/>
          <w:sz w:val="22"/>
          <w:szCs w:val="22"/>
        </w:rPr>
      </w:pPr>
      <w:r w:rsidRPr="00566F4C">
        <w:rPr>
          <w:rFonts w:ascii="Verdana" w:hAnsi="Verdana"/>
          <w:sz w:val="22"/>
          <w:szCs w:val="22"/>
        </w:rPr>
        <w:t>La jurisprudencia constitucional ha establecido los criterios para reclamar alimentos,</w:t>
      </w:r>
      <w:r w:rsidRPr="00566F4C">
        <w:rPr>
          <w:rFonts w:ascii="Verdana" w:hAnsi="Verdana"/>
          <w:sz w:val="22"/>
          <w:szCs w:val="22"/>
          <w:vertAlign w:val="superscript"/>
        </w:rPr>
        <w:t>[4]</w:t>
      </w:r>
      <w:r w:rsidRPr="00566F4C">
        <w:rPr>
          <w:rFonts w:ascii="Verdana" w:hAnsi="Verdana"/>
          <w:sz w:val="22"/>
          <w:szCs w:val="22"/>
        </w:rPr>
        <w:t> así:</w:t>
      </w:r>
    </w:p>
    <w:p w14:paraId="6631015B" w14:textId="77777777" w:rsidR="00566F4C" w:rsidRPr="00566F4C" w:rsidRDefault="00566F4C" w:rsidP="00566F4C">
      <w:pPr>
        <w:jc w:val="both"/>
        <w:rPr>
          <w:rFonts w:ascii="Verdana" w:hAnsi="Verdana"/>
          <w:sz w:val="22"/>
          <w:szCs w:val="22"/>
        </w:rPr>
      </w:pPr>
      <w:r w:rsidRPr="00566F4C">
        <w:rPr>
          <w:rFonts w:ascii="Verdana" w:hAnsi="Verdana"/>
          <w:sz w:val="22"/>
          <w:szCs w:val="22"/>
        </w:rPr>
        <w:t>--Que una norma jurídica conceda el derecho a exigir los alimentos.</w:t>
      </w:r>
    </w:p>
    <w:p w14:paraId="010DFC12" w14:textId="77777777" w:rsidR="00566F4C" w:rsidRPr="00566F4C" w:rsidRDefault="00566F4C" w:rsidP="00566F4C">
      <w:pPr>
        <w:jc w:val="both"/>
        <w:rPr>
          <w:rFonts w:ascii="Verdana" w:hAnsi="Verdana"/>
          <w:sz w:val="22"/>
          <w:szCs w:val="22"/>
        </w:rPr>
      </w:pPr>
      <w:r w:rsidRPr="00566F4C">
        <w:rPr>
          <w:rFonts w:ascii="Verdana" w:hAnsi="Verdana"/>
          <w:sz w:val="22"/>
          <w:szCs w:val="22"/>
        </w:rPr>
        <w:t>--Que el alimentario carezca de bienes y por ende requiera los alimentos que pide.</w:t>
      </w:r>
    </w:p>
    <w:p w14:paraId="108BE342" w14:textId="77777777" w:rsidR="00566F4C" w:rsidRPr="00566F4C" w:rsidRDefault="00566F4C" w:rsidP="00566F4C">
      <w:pPr>
        <w:jc w:val="both"/>
        <w:rPr>
          <w:rFonts w:ascii="Verdana" w:hAnsi="Verdana"/>
          <w:sz w:val="22"/>
          <w:szCs w:val="22"/>
        </w:rPr>
      </w:pPr>
      <w:r w:rsidRPr="00566F4C">
        <w:rPr>
          <w:rFonts w:ascii="Verdana" w:hAnsi="Verdana"/>
          <w:sz w:val="22"/>
          <w:szCs w:val="22"/>
        </w:rPr>
        <w:t>--Que el alimentario tenga los medios económicos para proporcionarlos</w:t>
      </w:r>
    </w:p>
    <w:p w14:paraId="619A0E9A" w14:textId="77777777" w:rsidR="00566F4C" w:rsidRPr="00566F4C" w:rsidRDefault="00566F4C" w:rsidP="00566F4C">
      <w:pPr>
        <w:jc w:val="both"/>
        <w:rPr>
          <w:rFonts w:ascii="Verdana" w:hAnsi="Verdana"/>
          <w:sz w:val="22"/>
          <w:szCs w:val="22"/>
        </w:rPr>
      </w:pPr>
      <w:r w:rsidRPr="00566F4C">
        <w:rPr>
          <w:rFonts w:ascii="Verdana" w:hAnsi="Verdana"/>
          <w:sz w:val="22"/>
          <w:szCs w:val="22"/>
        </w:rPr>
        <w:t>Así que conforme con estas disposiciones y con la Constitución, el suministro de alimentos no solo comprende lo estrictamente necesario para subsistir, sino también lo que dignamente.</w:t>
      </w:r>
    </w:p>
    <w:p w14:paraId="6E2F150E" w14:textId="39E58FBF" w:rsidR="00566F4C" w:rsidRPr="00566F4C" w:rsidRDefault="00566F4C" w:rsidP="00566F4C">
      <w:pPr>
        <w:jc w:val="both"/>
        <w:rPr>
          <w:rFonts w:ascii="Verdana" w:hAnsi="Verdana"/>
          <w:sz w:val="22"/>
          <w:szCs w:val="22"/>
        </w:rPr>
      </w:pPr>
      <w:r w:rsidRPr="00566F4C">
        <w:rPr>
          <w:rFonts w:ascii="Verdana" w:hAnsi="Verdana"/>
          <w:sz w:val="22"/>
          <w:szCs w:val="22"/>
        </w:rPr>
        <w:t>Ahora bien, conforme con el artículo 422 del Código Civil, la obligación alimentaria de los padres en principio rige para toda la vida del alimentario, siempre que permanezcan las circunstancias que dieron origen a su reclamo.</w:t>
      </w:r>
      <w:r w:rsidRPr="00566F4C">
        <w:rPr>
          <w:rFonts w:ascii="Verdana" w:hAnsi="Verdana"/>
          <w:sz w:val="22"/>
          <w:szCs w:val="22"/>
          <w:vertAlign w:val="superscript"/>
        </w:rPr>
        <w:t>[5]</w:t>
      </w:r>
      <w:r w:rsidRPr="00566F4C">
        <w:rPr>
          <w:rFonts w:ascii="Verdana" w:hAnsi="Verdana"/>
          <w:sz w:val="22"/>
          <w:szCs w:val="22"/>
        </w:rPr>
        <w:t> Sin embargo, en su inciso segundo indica que los alimentos se deben hasta que el menor alcance la mayoría de edad, a menos que tenga un impedimento corporal o mental o se halle inhabilitado para subsistir de su trabajo. Dicha condición fue ampliada tanto por la doctrina como por la jurisprudencia, de manera que se ha considerado que “</w:t>
      </w:r>
      <w:r w:rsidRPr="00566F4C">
        <w:rPr>
          <w:rFonts w:ascii="Verdana" w:hAnsi="Verdana"/>
          <w:i/>
          <w:iCs/>
          <w:sz w:val="22"/>
          <w:szCs w:val="22"/>
        </w:rPr>
        <w:t xml:space="preserve">se deben alimentos al </w:t>
      </w:r>
      <w:r w:rsidRPr="00566F4C">
        <w:rPr>
          <w:rFonts w:ascii="Verdana" w:hAnsi="Verdana"/>
          <w:i/>
          <w:iCs/>
          <w:sz w:val="22"/>
          <w:szCs w:val="22"/>
        </w:rPr>
        <w:lastRenderedPageBreak/>
        <w:t>hijo que estudia, aunque haya alcanzado la mayoría de edad, siempre que no exista prueba de que subsiste por sus propios medios”.</w:t>
      </w:r>
      <w:r w:rsidRPr="00566F4C">
        <w:rPr>
          <w:rFonts w:ascii="Verdana" w:hAnsi="Verdana"/>
          <w:i/>
          <w:iCs/>
          <w:sz w:val="22"/>
          <w:szCs w:val="22"/>
          <w:vertAlign w:val="superscript"/>
        </w:rPr>
        <w:t>[6]</w:t>
      </w:r>
    </w:p>
    <w:p w14:paraId="1F4799D9" w14:textId="77777777" w:rsidR="00566F4C" w:rsidRPr="00566F4C" w:rsidRDefault="00566F4C" w:rsidP="00566F4C">
      <w:pPr>
        <w:jc w:val="both"/>
        <w:rPr>
          <w:rFonts w:ascii="Verdana" w:hAnsi="Verdana"/>
          <w:sz w:val="22"/>
          <w:szCs w:val="22"/>
        </w:rPr>
      </w:pPr>
      <w:r w:rsidRPr="00566F4C">
        <w:rPr>
          <w:rFonts w:ascii="Verdana" w:hAnsi="Verdana"/>
          <w:sz w:val="22"/>
          <w:szCs w:val="22"/>
        </w:rPr>
        <w:t>No obstante, con el fin de que no se entendiera la condición de estudiante como indefinida, analógicamente la jurisprudencia ha fijado como edad razonable para el aprendizaje de una profesión u oficio la de 25 años, teniendo en cuenta que la generalidad de las normas relativas a la sustitución de la pensión de vejez y las relacionadas con la seguridad Social en general han establecido que dicha edad es </w:t>
      </w:r>
      <w:r w:rsidRPr="00566F4C">
        <w:rPr>
          <w:rFonts w:ascii="Verdana" w:hAnsi="Verdana"/>
          <w:i/>
          <w:iCs/>
          <w:sz w:val="22"/>
          <w:szCs w:val="22"/>
        </w:rPr>
        <w:t>"el límite para que los hijos puedan acceder como beneficiarios a esos derechos pensiónales, en el entendido de que ese es el plazo máximo posible para alegar la condición de estudiante”.</w:t>
      </w:r>
    </w:p>
    <w:p w14:paraId="18E5D2B5" w14:textId="77777777" w:rsidR="00566F4C" w:rsidRPr="00566F4C" w:rsidRDefault="00566F4C" w:rsidP="00566F4C">
      <w:pPr>
        <w:jc w:val="both"/>
        <w:rPr>
          <w:rFonts w:ascii="Verdana" w:hAnsi="Verdana"/>
          <w:sz w:val="22"/>
          <w:szCs w:val="22"/>
        </w:rPr>
      </w:pPr>
      <w:r w:rsidRPr="00566F4C">
        <w:rPr>
          <w:rFonts w:ascii="Verdana" w:hAnsi="Verdana"/>
          <w:sz w:val="22"/>
          <w:szCs w:val="22"/>
        </w:rPr>
        <w:t>De lo dicho se concluye que tanto la jurisprudencia como la ley han sostenido que la obligación alimentaria que deben los padres a sus hijos es:</w:t>
      </w:r>
    </w:p>
    <w:p w14:paraId="43D1180F" w14:textId="77777777" w:rsidR="00566F4C" w:rsidRPr="00566F4C" w:rsidRDefault="00566F4C" w:rsidP="00566F4C">
      <w:pPr>
        <w:jc w:val="both"/>
        <w:rPr>
          <w:rFonts w:ascii="Verdana" w:hAnsi="Verdana"/>
          <w:sz w:val="22"/>
          <w:szCs w:val="22"/>
        </w:rPr>
      </w:pPr>
      <w:r w:rsidRPr="00566F4C">
        <w:rPr>
          <w:rFonts w:ascii="Verdana" w:hAnsi="Verdana"/>
          <w:sz w:val="22"/>
          <w:szCs w:val="22"/>
        </w:rPr>
        <w:t>(i) Por regla general, hasta la mayoría de edad, es decir, 18 años, excepto que por la existencia de impedimento físico o mental la persona se encuentre incapacitada para subsistir de su trabajo;</w:t>
      </w:r>
    </w:p>
    <w:p w14:paraId="4794DB07" w14:textId="77777777" w:rsidR="00566F4C" w:rsidRPr="00566F4C" w:rsidRDefault="00566F4C" w:rsidP="00566F4C">
      <w:pPr>
        <w:jc w:val="both"/>
        <w:rPr>
          <w:rFonts w:ascii="Verdana" w:hAnsi="Verdana"/>
          <w:sz w:val="22"/>
          <w:szCs w:val="22"/>
        </w:rPr>
      </w:pPr>
      <w:r w:rsidRPr="00566F4C">
        <w:rPr>
          <w:rFonts w:ascii="Verdana" w:hAnsi="Verdana"/>
          <w:sz w:val="22"/>
          <w:szCs w:val="22"/>
        </w:rPr>
        <w:t>(</w:t>
      </w:r>
      <w:proofErr w:type="spellStart"/>
      <w:r w:rsidRPr="00566F4C">
        <w:rPr>
          <w:rFonts w:ascii="Verdana" w:hAnsi="Verdana"/>
          <w:sz w:val="22"/>
          <w:szCs w:val="22"/>
        </w:rPr>
        <w:t>ii</w:t>
      </w:r>
      <w:proofErr w:type="spellEnd"/>
      <w:r w:rsidRPr="00566F4C">
        <w:rPr>
          <w:rFonts w:ascii="Verdana" w:hAnsi="Verdana"/>
          <w:sz w:val="22"/>
          <w:szCs w:val="22"/>
        </w:rPr>
        <w:t xml:space="preserve">) Asimismo, han reconocido la obligación a favor de los hijos mayores de 18 y hasta los 25 </w:t>
      </w:r>
      <w:proofErr w:type="gramStart"/>
      <w:r w:rsidRPr="00566F4C">
        <w:rPr>
          <w:rFonts w:ascii="Verdana" w:hAnsi="Verdana"/>
          <w:sz w:val="22"/>
          <w:szCs w:val="22"/>
        </w:rPr>
        <w:t>años de edad</w:t>
      </w:r>
      <w:proofErr w:type="gramEnd"/>
      <w:r w:rsidRPr="00566F4C">
        <w:rPr>
          <w:rFonts w:ascii="Verdana" w:hAnsi="Verdana"/>
          <w:sz w:val="22"/>
          <w:szCs w:val="22"/>
        </w:rPr>
        <w:t xml:space="preserve"> que se encuentran estudiando, siempre y cuando no exista prueba que demuestre que sobreviven por su propia cuenta; y</w:t>
      </w:r>
    </w:p>
    <w:p w14:paraId="34A384BE" w14:textId="77777777" w:rsidR="00566F4C" w:rsidRPr="00566F4C" w:rsidRDefault="00566F4C" w:rsidP="00566F4C">
      <w:pPr>
        <w:jc w:val="both"/>
        <w:rPr>
          <w:rFonts w:ascii="Verdana" w:hAnsi="Verdana"/>
          <w:sz w:val="22"/>
          <w:szCs w:val="22"/>
        </w:rPr>
      </w:pPr>
      <w:r w:rsidRPr="00566F4C">
        <w:rPr>
          <w:rFonts w:ascii="Verdana" w:hAnsi="Verdana"/>
          <w:sz w:val="22"/>
          <w:szCs w:val="22"/>
        </w:rPr>
        <w:t>(</w:t>
      </w:r>
      <w:proofErr w:type="spellStart"/>
      <w:r w:rsidRPr="00566F4C">
        <w:rPr>
          <w:rFonts w:ascii="Verdana" w:hAnsi="Verdana"/>
          <w:sz w:val="22"/>
          <w:szCs w:val="22"/>
        </w:rPr>
        <w:t>iii</w:t>
      </w:r>
      <w:proofErr w:type="spellEnd"/>
      <w:r w:rsidRPr="00566F4C">
        <w:rPr>
          <w:rFonts w:ascii="Verdana" w:hAnsi="Verdana"/>
          <w:sz w:val="22"/>
          <w:szCs w:val="22"/>
        </w:rPr>
        <w:t xml:space="preserve">) Solamente los hijos que superan los 25 años cuando están estudiando, hasta que terminen su preparación educativa, siempre dependiendo de la especificidad del caso En este evento, los funcionarios al momento de tomar alguna decisión sobre la obligación de alimentos deben tener en cuenta las especiales circunstancias de cada situación, con el fin de que tal beneficio no se torne indefinido para los progenitores </w:t>
      </w:r>
      <w:proofErr w:type="gramStart"/>
      <w:r w:rsidRPr="00566F4C">
        <w:rPr>
          <w:rFonts w:ascii="Verdana" w:hAnsi="Verdana"/>
          <w:sz w:val="22"/>
          <w:szCs w:val="22"/>
        </w:rPr>
        <w:t>en razón de</w:t>
      </w:r>
      <w:proofErr w:type="gramEnd"/>
      <w:r w:rsidRPr="00566F4C">
        <w:rPr>
          <w:rFonts w:ascii="Verdana" w:hAnsi="Verdana"/>
          <w:sz w:val="22"/>
          <w:szCs w:val="22"/>
        </w:rPr>
        <w:t xml:space="preserve"> dejadez o desidia de sus hijos.</w:t>
      </w:r>
      <w:r w:rsidRPr="00566F4C">
        <w:rPr>
          <w:rFonts w:ascii="Verdana" w:hAnsi="Verdana"/>
          <w:sz w:val="22"/>
          <w:szCs w:val="22"/>
          <w:vertAlign w:val="superscript"/>
        </w:rPr>
        <w:t>[7]</w:t>
      </w:r>
    </w:p>
    <w:p w14:paraId="002847C4"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2.4. El Caso Concreto</w:t>
      </w:r>
    </w:p>
    <w:p w14:paraId="2455DC68" w14:textId="2AF238E2" w:rsidR="00566F4C" w:rsidRPr="00566F4C" w:rsidRDefault="00566F4C" w:rsidP="00566F4C">
      <w:pPr>
        <w:jc w:val="both"/>
        <w:rPr>
          <w:rFonts w:ascii="Verdana" w:hAnsi="Verdana"/>
          <w:sz w:val="22"/>
          <w:szCs w:val="22"/>
        </w:rPr>
      </w:pPr>
      <w:r w:rsidRPr="00566F4C">
        <w:rPr>
          <w:rFonts w:ascii="Verdana" w:hAnsi="Verdana"/>
          <w:b/>
          <w:bCs/>
          <w:i/>
          <w:iCs/>
          <w:sz w:val="22"/>
          <w:szCs w:val="22"/>
        </w:rPr>
        <w:t xml:space="preserve">PRIMERO: ¿Que me digan Cuál es la edad límite en Colombia para suministrar alimentos a nuestros descendientes, hijos siempre y cuando se encuentren en condiciones normales de salud al cumplir la mayoría de edad (18 años, </w:t>
      </w:r>
      <w:proofErr w:type="gramStart"/>
      <w:r w:rsidRPr="00566F4C">
        <w:rPr>
          <w:rFonts w:ascii="Verdana" w:hAnsi="Verdana"/>
          <w:b/>
          <w:bCs/>
          <w:i/>
          <w:iCs/>
          <w:sz w:val="22"/>
          <w:szCs w:val="22"/>
        </w:rPr>
        <w:t>Ley </w:t>
      </w:r>
      <w:r w:rsidRPr="00566F4C">
        <w:rPr>
          <w:rFonts w:ascii="Verdana" w:hAnsi="Verdana"/>
          <w:i/>
          <w:iCs/>
          <w:sz w:val="22"/>
          <w:szCs w:val="22"/>
        </w:rPr>
        <w:t>27</w:t>
      </w:r>
      <w:r w:rsidRPr="00566F4C">
        <w:rPr>
          <w:rFonts w:ascii="Verdana" w:hAnsi="Verdana"/>
          <w:b/>
          <w:bCs/>
          <w:i/>
          <w:iCs/>
          <w:sz w:val="22"/>
          <w:szCs w:val="22"/>
        </w:rPr>
        <w:t> de 1977) la madre quien lo representó en la demanda inicial por alimentos cuando ellos tenían 17 y 21 años de edad, igualmente se encuentra lucida, capaz y en condiciones de laborara continúa representándolos?</w:t>
      </w:r>
      <w:proofErr w:type="gramEnd"/>
    </w:p>
    <w:p w14:paraId="0CF55016" w14:textId="77777777" w:rsidR="00566F4C" w:rsidRPr="00566F4C" w:rsidRDefault="00566F4C" w:rsidP="00566F4C">
      <w:pPr>
        <w:jc w:val="both"/>
        <w:rPr>
          <w:rFonts w:ascii="Verdana" w:hAnsi="Verdana"/>
          <w:sz w:val="22"/>
          <w:szCs w:val="22"/>
        </w:rPr>
      </w:pPr>
      <w:r w:rsidRPr="00566F4C">
        <w:rPr>
          <w:rFonts w:ascii="Verdana" w:hAnsi="Verdana"/>
          <w:sz w:val="22"/>
          <w:szCs w:val="22"/>
        </w:rPr>
        <w:t xml:space="preserve">Tal y como se mencionó en las consideraciones precedentes, la obligación alimentaria de los padres para con los hijos es hasta que cumpla la mayoría de edad (18 años), salvo que éstos se encuentren estudiando y no puedan mantenerse por sí mismos, lo cual extiende la obligación hasta los 25 </w:t>
      </w:r>
      <w:proofErr w:type="gramStart"/>
      <w:r w:rsidRPr="00566F4C">
        <w:rPr>
          <w:rFonts w:ascii="Verdana" w:hAnsi="Verdana"/>
          <w:sz w:val="22"/>
          <w:szCs w:val="22"/>
        </w:rPr>
        <w:t>años de edad</w:t>
      </w:r>
      <w:proofErr w:type="gramEnd"/>
      <w:r w:rsidRPr="00566F4C">
        <w:rPr>
          <w:rFonts w:ascii="Verdana" w:hAnsi="Verdana"/>
          <w:sz w:val="22"/>
          <w:szCs w:val="22"/>
        </w:rPr>
        <w:t>.</w:t>
      </w:r>
    </w:p>
    <w:p w14:paraId="3A0E16BD" w14:textId="77777777" w:rsidR="00566F4C" w:rsidRPr="00566F4C" w:rsidRDefault="00566F4C" w:rsidP="00566F4C">
      <w:pPr>
        <w:jc w:val="both"/>
        <w:rPr>
          <w:rFonts w:ascii="Verdana" w:hAnsi="Verdana"/>
          <w:sz w:val="22"/>
          <w:szCs w:val="22"/>
        </w:rPr>
      </w:pPr>
      <w:r w:rsidRPr="00566F4C">
        <w:rPr>
          <w:rFonts w:ascii="Verdana" w:hAnsi="Verdana"/>
          <w:sz w:val="22"/>
          <w:szCs w:val="22"/>
        </w:rPr>
        <w:lastRenderedPageBreak/>
        <w:t>Ahora bien, respecto a la representación legal de los hijos, ésta la tienen los padres hasta los 18 años edad a partir de la cual se entiende que tienen capacidad para ejercer determinados actos jurídicos y para ejercer sus derechos civiles.</w:t>
      </w:r>
    </w:p>
    <w:p w14:paraId="498B13B9" w14:textId="573048F5" w:rsidR="00566F4C" w:rsidRPr="00566F4C" w:rsidRDefault="00566F4C" w:rsidP="00566F4C">
      <w:pPr>
        <w:jc w:val="both"/>
        <w:rPr>
          <w:rFonts w:ascii="Verdana" w:hAnsi="Verdana"/>
          <w:sz w:val="22"/>
          <w:szCs w:val="22"/>
        </w:rPr>
      </w:pPr>
      <w:r w:rsidRPr="00566F4C">
        <w:rPr>
          <w:rFonts w:ascii="Verdana" w:hAnsi="Verdana"/>
          <w:b/>
          <w:bCs/>
          <w:i/>
          <w:iCs/>
          <w:sz w:val="22"/>
          <w:szCs w:val="22"/>
        </w:rPr>
        <w:t>SEGUNDO: Que investigando por internet el bienestar Familiar emitió el concepto </w:t>
      </w:r>
      <w:r w:rsidRPr="00566F4C">
        <w:rPr>
          <w:rFonts w:ascii="Verdana" w:hAnsi="Verdana"/>
          <w:i/>
          <w:iCs/>
          <w:sz w:val="22"/>
          <w:szCs w:val="22"/>
        </w:rPr>
        <w:t>42745</w:t>
      </w:r>
      <w:r w:rsidRPr="00566F4C">
        <w:rPr>
          <w:rFonts w:ascii="Verdana" w:hAnsi="Verdana"/>
          <w:b/>
          <w:bCs/>
          <w:i/>
          <w:iCs/>
          <w:sz w:val="22"/>
          <w:szCs w:val="22"/>
        </w:rPr>
        <w:t xml:space="preserve"> del 25 de </w:t>
      </w:r>
      <w:proofErr w:type="gramStart"/>
      <w:r w:rsidRPr="00566F4C">
        <w:rPr>
          <w:rFonts w:ascii="Verdana" w:hAnsi="Verdana"/>
          <w:b/>
          <w:bCs/>
          <w:i/>
          <w:iCs/>
          <w:sz w:val="22"/>
          <w:szCs w:val="22"/>
        </w:rPr>
        <w:t>Octubre</w:t>
      </w:r>
      <w:proofErr w:type="gramEnd"/>
      <w:r w:rsidRPr="00566F4C">
        <w:rPr>
          <w:rFonts w:ascii="Verdana" w:hAnsi="Verdana"/>
          <w:b/>
          <w:bCs/>
          <w:i/>
          <w:iCs/>
          <w:sz w:val="22"/>
          <w:szCs w:val="22"/>
        </w:rPr>
        <w:t xml:space="preserve"> de 2010 de un derecho de petición 10200/11009-1758253213, que me respondan si sigue vigente este concepto en el año 2017 y hacerme llegar una copia de ese concepto.</w:t>
      </w:r>
    </w:p>
    <w:p w14:paraId="7780697C" w14:textId="77777777" w:rsidR="00566F4C" w:rsidRPr="00566F4C" w:rsidRDefault="00566F4C" w:rsidP="00566F4C">
      <w:pPr>
        <w:jc w:val="both"/>
        <w:rPr>
          <w:rFonts w:ascii="Verdana" w:hAnsi="Verdana"/>
          <w:sz w:val="22"/>
          <w:szCs w:val="22"/>
        </w:rPr>
      </w:pPr>
      <w:r w:rsidRPr="00566F4C">
        <w:rPr>
          <w:rFonts w:ascii="Verdana" w:hAnsi="Verdana"/>
          <w:sz w:val="22"/>
          <w:szCs w:val="22"/>
        </w:rPr>
        <w:t>El concepto solicitado se encuentra vigente, salvo lo que tiene que ver con el Decreto 2737 de 1989, derogado por el Código General del Proceso.</w:t>
      </w:r>
    </w:p>
    <w:p w14:paraId="145BAC9D" w14:textId="77777777" w:rsidR="00566F4C" w:rsidRPr="00566F4C" w:rsidRDefault="00566F4C" w:rsidP="00566F4C">
      <w:pPr>
        <w:jc w:val="both"/>
        <w:rPr>
          <w:rFonts w:ascii="Verdana" w:hAnsi="Verdana"/>
          <w:sz w:val="22"/>
          <w:szCs w:val="22"/>
        </w:rPr>
      </w:pPr>
      <w:r w:rsidRPr="00566F4C">
        <w:rPr>
          <w:rFonts w:ascii="Verdana" w:hAnsi="Verdana"/>
          <w:sz w:val="22"/>
          <w:szCs w:val="22"/>
        </w:rPr>
        <w:t>Se adjunta copia del concepto solicitado.</w:t>
      </w:r>
    </w:p>
    <w:p w14:paraId="1BF9D289" w14:textId="250B1D04" w:rsidR="00566F4C" w:rsidRPr="00566F4C" w:rsidRDefault="00566F4C" w:rsidP="00566F4C">
      <w:pPr>
        <w:jc w:val="both"/>
        <w:rPr>
          <w:rFonts w:ascii="Verdana" w:hAnsi="Verdana"/>
          <w:sz w:val="22"/>
          <w:szCs w:val="22"/>
        </w:rPr>
      </w:pPr>
      <w:r w:rsidRPr="00566F4C">
        <w:rPr>
          <w:rFonts w:ascii="Verdana" w:hAnsi="Verdana"/>
          <w:b/>
          <w:bCs/>
          <w:i/>
          <w:iCs/>
          <w:sz w:val="22"/>
          <w:szCs w:val="22"/>
        </w:rPr>
        <w:t>TERCERO: ¿Puede la madre instaurar y seguir representando al hijo que cumplió su mayoría de edad siendo éste hábil sin ninguna incapacidad, capaz y en términos generales con los derechos y obligaciones que le otorga la Ley </w:t>
      </w:r>
      <w:r w:rsidRPr="00566F4C">
        <w:rPr>
          <w:rFonts w:ascii="Verdana" w:hAnsi="Verdana"/>
          <w:i/>
          <w:iCs/>
          <w:sz w:val="22"/>
          <w:szCs w:val="22"/>
        </w:rPr>
        <w:t>27</w:t>
      </w:r>
      <w:r w:rsidRPr="00566F4C">
        <w:rPr>
          <w:rFonts w:ascii="Verdana" w:hAnsi="Verdana"/>
          <w:b/>
          <w:bCs/>
          <w:i/>
          <w:iCs/>
          <w:sz w:val="22"/>
          <w:szCs w:val="22"/>
        </w:rPr>
        <w:t> de 1977?</w:t>
      </w:r>
    </w:p>
    <w:p w14:paraId="5A0EA0E4" w14:textId="77777777" w:rsidR="00566F4C" w:rsidRPr="00566F4C" w:rsidRDefault="00566F4C" w:rsidP="00566F4C">
      <w:pPr>
        <w:jc w:val="both"/>
        <w:rPr>
          <w:rFonts w:ascii="Verdana" w:hAnsi="Verdana"/>
          <w:sz w:val="22"/>
          <w:szCs w:val="22"/>
        </w:rPr>
      </w:pPr>
      <w:r w:rsidRPr="00566F4C">
        <w:rPr>
          <w:rFonts w:ascii="Verdana" w:hAnsi="Verdana"/>
          <w:sz w:val="22"/>
          <w:szCs w:val="22"/>
        </w:rPr>
        <w:t>La respuesta se dio en la pregunta No. 1.</w:t>
      </w:r>
    </w:p>
    <w:p w14:paraId="7E3F43D5" w14:textId="06622443" w:rsidR="00566F4C" w:rsidRPr="00566F4C" w:rsidRDefault="00566F4C" w:rsidP="00566F4C">
      <w:pPr>
        <w:jc w:val="both"/>
        <w:rPr>
          <w:rFonts w:ascii="Verdana" w:hAnsi="Verdana"/>
          <w:sz w:val="22"/>
          <w:szCs w:val="22"/>
        </w:rPr>
      </w:pPr>
      <w:r w:rsidRPr="00566F4C">
        <w:rPr>
          <w:rFonts w:ascii="Verdana" w:hAnsi="Verdana"/>
          <w:sz w:val="22"/>
          <w:szCs w:val="22"/>
        </w:rPr>
        <w:t xml:space="preserve">El presente </w:t>
      </w:r>
      <w:proofErr w:type="gramStart"/>
      <w:r w:rsidRPr="00566F4C">
        <w:rPr>
          <w:rFonts w:ascii="Verdana" w:hAnsi="Verdana"/>
          <w:sz w:val="22"/>
          <w:szCs w:val="22"/>
        </w:rPr>
        <w:t>concepto</w:t>
      </w:r>
      <w:r w:rsidRPr="00566F4C">
        <w:rPr>
          <w:rFonts w:ascii="Verdana" w:hAnsi="Verdana"/>
          <w:sz w:val="22"/>
          <w:szCs w:val="22"/>
          <w:vertAlign w:val="superscript"/>
        </w:rPr>
        <w:t>[</w:t>
      </w:r>
      <w:proofErr w:type="gramEnd"/>
      <w:r w:rsidRPr="00566F4C">
        <w:rPr>
          <w:rFonts w:ascii="Verdana" w:hAnsi="Verdana"/>
          <w:sz w:val="22"/>
          <w:szCs w:val="22"/>
          <w:vertAlign w:val="superscript"/>
        </w:rPr>
        <w:t>8]</w:t>
      </w:r>
      <w:r w:rsidRPr="00566F4C">
        <w:rPr>
          <w:rFonts w:ascii="Verdana" w:hAnsi="Verdana"/>
          <w:sz w:val="22"/>
          <w:szCs w:val="22"/>
        </w:rPr>
        <w:t xml:space="preserve"> no es de obligatorio cumplimiento o ejecución para particulares o agentes externos, de conformidad con lo establecido en la Ley 1755 de 2015. No </w:t>
      </w:r>
      <w:proofErr w:type="gramStart"/>
      <w:r w:rsidRPr="00566F4C">
        <w:rPr>
          <w:rFonts w:ascii="Verdana" w:hAnsi="Verdana"/>
          <w:sz w:val="22"/>
          <w:szCs w:val="22"/>
        </w:rPr>
        <w:t>obstante</w:t>
      </w:r>
      <w:proofErr w:type="gramEnd"/>
      <w:r w:rsidRPr="00566F4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C1A4FFE" w14:textId="77777777" w:rsidR="00566F4C" w:rsidRDefault="00566F4C" w:rsidP="00566F4C">
      <w:pPr>
        <w:jc w:val="both"/>
        <w:rPr>
          <w:rFonts w:ascii="Verdana" w:hAnsi="Verdana"/>
          <w:sz w:val="22"/>
          <w:szCs w:val="22"/>
        </w:rPr>
      </w:pPr>
      <w:r w:rsidRPr="00566F4C">
        <w:rPr>
          <w:rFonts w:ascii="Verdana" w:hAnsi="Verdana"/>
          <w:sz w:val="22"/>
          <w:szCs w:val="22"/>
        </w:rPr>
        <w:t>Atentamente,</w:t>
      </w:r>
    </w:p>
    <w:p w14:paraId="5918467D" w14:textId="77777777" w:rsidR="00566F4C" w:rsidRPr="00566F4C" w:rsidRDefault="00566F4C" w:rsidP="00566F4C">
      <w:pPr>
        <w:jc w:val="both"/>
        <w:rPr>
          <w:rFonts w:ascii="Verdana" w:hAnsi="Verdana"/>
          <w:sz w:val="22"/>
          <w:szCs w:val="22"/>
        </w:rPr>
      </w:pPr>
    </w:p>
    <w:p w14:paraId="787BA8CC" w14:textId="77777777" w:rsidR="00566F4C" w:rsidRPr="00566F4C" w:rsidRDefault="00566F4C" w:rsidP="00566F4C">
      <w:pPr>
        <w:jc w:val="both"/>
        <w:rPr>
          <w:rFonts w:ascii="Verdana" w:hAnsi="Verdana"/>
          <w:sz w:val="22"/>
          <w:szCs w:val="22"/>
        </w:rPr>
      </w:pPr>
      <w:r w:rsidRPr="00566F4C">
        <w:rPr>
          <w:rFonts w:ascii="Verdana" w:hAnsi="Verdana"/>
          <w:b/>
          <w:bCs/>
          <w:sz w:val="22"/>
          <w:szCs w:val="22"/>
        </w:rPr>
        <w:t>LUZ KARIME FERNANDEZ CASTILLO</w:t>
      </w:r>
    </w:p>
    <w:p w14:paraId="3B079F08" w14:textId="77777777" w:rsidR="00566F4C" w:rsidRPr="00566F4C" w:rsidRDefault="00566F4C" w:rsidP="00566F4C">
      <w:pPr>
        <w:jc w:val="both"/>
        <w:rPr>
          <w:rFonts w:ascii="Verdana" w:hAnsi="Verdana"/>
          <w:sz w:val="22"/>
          <w:szCs w:val="22"/>
        </w:rPr>
      </w:pPr>
      <w:r w:rsidRPr="00566F4C">
        <w:rPr>
          <w:rFonts w:ascii="Verdana" w:hAnsi="Verdana"/>
          <w:sz w:val="22"/>
          <w:szCs w:val="22"/>
        </w:rPr>
        <w:t>Jefe Oficina Asesora Jurídica</w:t>
      </w:r>
    </w:p>
    <w:p w14:paraId="44B7AC3E" w14:textId="77777777" w:rsidR="00566F4C" w:rsidRDefault="00566F4C" w:rsidP="00566F4C">
      <w:pPr>
        <w:jc w:val="both"/>
        <w:rPr>
          <w:rFonts w:ascii="Verdana" w:hAnsi="Verdana"/>
          <w:sz w:val="22"/>
          <w:szCs w:val="22"/>
        </w:rPr>
      </w:pPr>
    </w:p>
    <w:p w14:paraId="325798D9" w14:textId="561E791B" w:rsidR="00566F4C" w:rsidRPr="00566F4C" w:rsidRDefault="00566F4C" w:rsidP="00566F4C">
      <w:pPr>
        <w:jc w:val="both"/>
        <w:rPr>
          <w:rFonts w:ascii="Verdana" w:hAnsi="Verdana"/>
          <w:b/>
          <w:bCs/>
          <w:sz w:val="22"/>
          <w:szCs w:val="22"/>
        </w:rPr>
      </w:pPr>
      <w:r w:rsidRPr="00566F4C">
        <w:rPr>
          <w:rFonts w:ascii="Verdana" w:hAnsi="Verdana"/>
          <w:b/>
          <w:bCs/>
          <w:sz w:val="22"/>
          <w:szCs w:val="22"/>
        </w:rPr>
        <w:t>Notas pie de página:</w:t>
      </w:r>
    </w:p>
    <w:p w14:paraId="20C3948B" w14:textId="4A5B79AC" w:rsidR="00566F4C" w:rsidRPr="00566F4C" w:rsidRDefault="00566F4C" w:rsidP="00566F4C">
      <w:pPr>
        <w:jc w:val="both"/>
        <w:rPr>
          <w:rFonts w:ascii="Verdana" w:hAnsi="Verdana"/>
          <w:sz w:val="22"/>
          <w:szCs w:val="22"/>
        </w:rPr>
      </w:pPr>
      <w:r w:rsidRPr="00566F4C">
        <w:rPr>
          <w:rFonts w:ascii="Verdana" w:hAnsi="Verdana"/>
          <w:sz w:val="22"/>
          <w:szCs w:val="22"/>
        </w:rPr>
        <w:t>1 ARTÍCULO 315: La emancipación judicial se efectúa, por decreto del juez, cuando los padres que ejerzan la patria potestad incurran en alguna de las siguientes causales</w:t>
      </w:r>
    </w:p>
    <w:p w14:paraId="0A264FB9" w14:textId="77777777" w:rsidR="00566F4C" w:rsidRPr="00566F4C" w:rsidRDefault="00566F4C" w:rsidP="00566F4C">
      <w:pPr>
        <w:jc w:val="both"/>
        <w:rPr>
          <w:rFonts w:ascii="Verdana" w:hAnsi="Verdana"/>
          <w:sz w:val="22"/>
          <w:szCs w:val="22"/>
        </w:rPr>
      </w:pPr>
      <w:r w:rsidRPr="00566F4C">
        <w:rPr>
          <w:rFonts w:ascii="Verdana" w:hAnsi="Verdana"/>
          <w:sz w:val="22"/>
          <w:szCs w:val="22"/>
        </w:rPr>
        <w:lastRenderedPageBreak/>
        <w:t>1ª) Por maltrato del hijo.</w:t>
      </w:r>
    </w:p>
    <w:p w14:paraId="7ACD1AA9" w14:textId="77777777" w:rsidR="00566F4C" w:rsidRPr="00566F4C" w:rsidRDefault="00566F4C" w:rsidP="00566F4C">
      <w:pPr>
        <w:jc w:val="both"/>
        <w:rPr>
          <w:rFonts w:ascii="Verdana" w:hAnsi="Verdana"/>
          <w:sz w:val="22"/>
          <w:szCs w:val="22"/>
        </w:rPr>
      </w:pPr>
      <w:r w:rsidRPr="00566F4C">
        <w:rPr>
          <w:rFonts w:ascii="Verdana" w:hAnsi="Verdana"/>
          <w:sz w:val="22"/>
          <w:szCs w:val="22"/>
        </w:rPr>
        <w:t>2ª) Por haber abandonado al hijo.</w:t>
      </w:r>
    </w:p>
    <w:p w14:paraId="2984B6EA" w14:textId="77777777" w:rsidR="00566F4C" w:rsidRPr="00566F4C" w:rsidRDefault="00566F4C" w:rsidP="00566F4C">
      <w:pPr>
        <w:jc w:val="both"/>
        <w:rPr>
          <w:rFonts w:ascii="Verdana" w:hAnsi="Verdana"/>
          <w:sz w:val="22"/>
          <w:szCs w:val="22"/>
        </w:rPr>
      </w:pPr>
      <w:r w:rsidRPr="00566F4C">
        <w:rPr>
          <w:rFonts w:ascii="Verdana" w:hAnsi="Verdana"/>
          <w:sz w:val="22"/>
          <w:szCs w:val="22"/>
        </w:rPr>
        <w:t>3ª) Por depravación que los incapacite de ejercer la patria potestad</w:t>
      </w:r>
    </w:p>
    <w:p w14:paraId="6369E9AD" w14:textId="77777777" w:rsidR="00566F4C" w:rsidRPr="00566F4C" w:rsidRDefault="00566F4C" w:rsidP="00566F4C">
      <w:pPr>
        <w:jc w:val="both"/>
        <w:rPr>
          <w:rFonts w:ascii="Verdana" w:hAnsi="Verdana"/>
          <w:sz w:val="22"/>
          <w:szCs w:val="22"/>
        </w:rPr>
      </w:pPr>
      <w:r w:rsidRPr="00566F4C">
        <w:rPr>
          <w:rFonts w:ascii="Verdana" w:hAnsi="Verdana"/>
          <w:sz w:val="22"/>
          <w:szCs w:val="22"/>
        </w:rPr>
        <w:t>4ª) Por haber sido condenados a pena privativa de la libertad superior a un año</w:t>
      </w:r>
    </w:p>
    <w:p w14:paraId="7136744D" w14:textId="1200B7A4" w:rsidR="00566F4C" w:rsidRPr="00566F4C" w:rsidRDefault="00566F4C" w:rsidP="00566F4C">
      <w:pPr>
        <w:jc w:val="both"/>
        <w:rPr>
          <w:rFonts w:ascii="Verdana" w:hAnsi="Verdana"/>
          <w:sz w:val="22"/>
          <w:szCs w:val="22"/>
        </w:rPr>
      </w:pPr>
      <w:proofErr w:type="gramStart"/>
      <w:r w:rsidRPr="00566F4C">
        <w:rPr>
          <w:rFonts w:ascii="Verdana" w:hAnsi="Verdana"/>
          <w:sz w:val="22"/>
          <w:szCs w:val="22"/>
        </w:rPr>
        <w:t>5ª )</w:t>
      </w:r>
      <w:proofErr w:type="gramEnd"/>
      <w:r w:rsidRPr="00566F4C">
        <w:rPr>
          <w:rFonts w:ascii="Verdana" w:hAnsi="Verdana"/>
          <w:sz w:val="22"/>
          <w:szCs w:val="22"/>
        </w:rPr>
        <w:t xml:space="preserve">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5118A1BC" w14:textId="5E99D7F3" w:rsidR="00566F4C" w:rsidRPr="00566F4C" w:rsidRDefault="00566F4C" w:rsidP="00566F4C">
      <w:pPr>
        <w:jc w:val="both"/>
        <w:rPr>
          <w:rFonts w:ascii="Verdana" w:hAnsi="Verdana"/>
          <w:sz w:val="22"/>
          <w:szCs w:val="22"/>
        </w:rPr>
      </w:pPr>
      <w:r w:rsidRPr="00566F4C">
        <w:rPr>
          <w:rFonts w:ascii="Verdana" w:hAnsi="Verdana"/>
          <w:sz w:val="22"/>
          <w:szCs w:val="22"/>
        </w:rPr>
        <w:t>2 ARTÍCULO 310: "La patria potestad se suspende, con respecto a cualquiera de los padres, por su demencia, por estar en entredicho de administrar sus propios bienes y por su larga ausencia. Así mismo, termina por las causales contempladas en el artículo 315, pero si éstas se dan respecto de ambos cónyuges, se aplicará lo dispuesto en dicho artículo.</w:t>
      </w:r>
    </w:p>
    <w:p w14:paraId="39019B90" w14:textId="77777777" w:rsidR="00566F4C" w:rsidRPr="00566F4C" w:rsidRDefault="00566F4C" w:rsidP="00566F4C">
      <w:pPr>
        <w:jc w:val="both"/>
        <w:rPr>
          <w:rFonts w:ascii="Verdana" w:hAnsi="Verdana"/>
          <w:sz w:val="22"/>
          <w:szCs w:val="22"/>
        </w:rPr>
      </w:pPr>
      <w:r w:rsidRPr="00566F4C">
        <w:rPr>
          <w:rFonts w:ascii="Verdana" w:hAnsi="Verdana"/>
          <w:sz w:val="22"/>
          <w:szCs w:val="22"/>
        </w:rPr>
        <w:t>Cuando la patria potestad se suspenda respecto de ambos cónyuges, mientras dure la suspensión se dará guardador al hijo no habilitado de edad".</w:t>
      </w:r>
    </w:p>
    <w:p w14:paraId="0DB9BD3B" w14:textId="3CC79E57" w:rsidR="00566F4C" w:rsidRPr="00566F4C" w:rsidRDefault="00566F4C" w:rsidP="00566F4C">
      <w:pPr>
        <w:jc w:val="both"/>
        <w:rPr>
          <w:rFonts w:ascii="Verdana" w:hAnsi="Verdana"/>
          <w:sz w:val="22"/>
          <w:szCs w:val="22"/>
        </w:rPr>
      </w:pPr>
      <w:r w:rsidRPr="00566F4C">
        <w:rPr>
          <w:rFonts w:ascii="Verdana" w:hAnsi="Verdana"/>
          <w:sz w:val="22"/>
          <w:szCs w:val="22"/>
        </w:rPr>
        <w:t xml:space="preserve">3 </w:t>
      </w:r>
      <w:proofErr w:type="gramStart"/>
      <w:r w:rsidRPr="00566F4C">
        <w:rPr>
          <w:rFonts w:ascii="Verdana" w:hAnsi="Verdana"/>
          <w:sz w:val="22"/>
          <w:szCs w:val="22"/>
        </w:rPr>
        <w:t>Sentencia</w:t>
      </w:r>
      <w:proofErr w:type="gramEnd"/>
      <w:r w:rsidRPr="00566F4C">
        <w:rPr>
          <w:rFonts w:ascii="Verdana" w:hAnsi="Verdana"/>
          <w:sz w:val="22"/>
          <w:szCs w:val="22"/>
        </w:rPr>
        <w:t xml:space="preserve"> C-919 de 2001 M P Jaime Araujo Rentería</w:t>
      </w:r>
    </w:p>
    <w:p w14:paraId="299D32B6" w14:textId="4D1302EE" w:rsidR="00566F4C" w:rsidRPr="00566F4C" w:rsidRDefault="00566F4C" w:rsidP="00566F4C">
      <w:pPr>
        <w:jc w:val="both"/>
        <w:rPr>
          <w:rFonts w:ascii="Verdana" w:hAnsi="Verdana"/>
          <w:sz w:val="22"/>
          <w:szCs w:val="22"/>
        </w:rPr>
      </w:pPr>
      <w:r w:rsidRPr="00566F4C">
        <w:rPr>
          <w:rFonts w:ascii="Verdana" w:hAnsi="Verdana"/>
          <w:sz w:val="22"/>
          <w:szCs w:val="22"/>
        </w:rPr>
        <w:t xml:space="preserve">4 </w:t>
      </w:r>
      <w:proofErr w:type="gramStart"/>
      <w:r w:rsidRPr="00566F4C">
        <w:rPr>
          <w:rFonts w:ascii="Verdana" w:hAnsi="Verdana"/>
          <w:sz w:val="22"/>
          <w:szCs w:val="22"/>
        </w:rPr>
        <w:t>Sentencias</w:t>
      </w:r>
      <w:proofErr w:type="gramEnd"/>
      <w:r w:rsidRPr="00566F4C">
        <w:rPr>
          <w:rFonts w:ascii="Verdana" w:hAnsi="Verdana"/>
          <w:sz w:val="22"/>
          <w:szCs w:val="22"/>
        </w:rPr>
        <w:t xml:space="preserve"> C-1033 de 2002. C-919 de 2001 y la Guía Básica de Procesos de Familia. Martha Patricia Guarnan Álvarez. Editorial Ibáñez 2009</w:t>
      </w:r>
    </w:p>
    <w:p w14:paraId="0EAF4564" w14:textId="5D2021EB" w:rsidR="00566F4C" w:rsidRPr="00566F4C" w:rsidRDefault="00566F4C" w:rsidP="00566F4C">
      <w:pPr>
        <w:jc w:val="both"/>
        <w:rPr>
          <w:rFonts w:ascii="Verdana" w:hAnsi="Verdana"/>
          <w:sz w:val="22"/>
          <w:szCs w:val="22"/>
        </w:rPr>
      </w:pPr>
      <w:r w:rsidRPr="00566F4C">
        <w:rPr>
          <w:rFonts w:ascii="Verdana" w:hAnsi="Verdana"/>
          <w:sz w:val="22"/>
          <w:szCs w:val="22"/>
        </w:rPr>
        <w:t xml:space="preserve">5 </w:t>
      </w:r>
      <w:proofErr w:type="gramStart"/>
      <w:r w:rsidRPr="00566F4C">
        <w:rPr>
          <w:rFonts w:ascii="Verdana" w:hAnsi="Verdana"/>
          <w:sz w:val="22"/>
          <w:szCs w:val="22"/>
        </w:rPr>
        <w:t>Sentencia</w:t>
      </w:r>
      <w:proofErr w:type="gramEnd"/>
      <w:r w:rsidRPr="00566F4C">
        <w:rPr>
          <w:rFonts w:ascii="Verdana" w:hAnsi="Verdana"/>
          <w:sz w:val="22"/>
          <w:szCs w:val="22"/>
        </w:rPr>
        <w:t xml:space="preserve"> C-875 de 2003</w:t>
      </w:r>
    </w:p>
    <w:p w14:paraId="7505B590" w14:textId="47CA6832" w:rsidR="00566F4C" w:rsidRPr="00566F4C" w:rsidRDefault="00566F4C" w:rsidP="00566F4C">
      <w:pPr>
        <w:jc w:val="both"/>
        <w:rPr>
          <w:rFonts w:ascii="Verdana" w:hAnsi="Verdana"/>
          <w:sz w:val="22"/>
          <w:szCs w:val="22"/>
        </w:rPr>
      </w:pPr>
      <w:r w:rsidRPr="00566F4C">
        <w:rPr>
          <w:rFonts w:ascii="Verdana" w:hAnsi="Verdana"/>
          <w:sz w:val="22"/>
          <w:szCs w:val="22"/>
        </w:rPr>
        <w:t xml:space="preserve">6 </w:t>
      </w:r>
      <w:proofErr w:type="gramStart"/>
      <w:r w:rsidRPr="00566F4C">
        <w:rPr>
          <w:rFonts w:ascii="Verdana" w:hAnsi="Verdana"/>
          <w:sz w:val="22"/>
          <w:szCs w:val="22"/>
        </w:rPr>
        <w:t>Sentencia</w:t>
      </w:r>
      <w:proofErr w:type="gramEnd"/>
      <w:r w:rsidRPr="00566F4C">
        <w:rPr>
          <w:rFonts w:ascii="Verdana" w:hAnsi="Verdana"/>
          <w:sz w:val="22"/>
          <w:szCs w:val="22"/>
        </w:rPr>
        <w:t xml:space="preserve"> T-192 de 2008 y sentencia de tutela. </w:t>
      </w:r>
      <w:proofErr w:type="spellStart"/>
      <w:r w:rsidRPr="00566F4C">
        <w:rPr>
          <w:rFonts w:ascii="Verdana" w:hAnsi="Verdana"/>
          <w:sz w:val="22"/>
          <w:szCs w:val="22"/>
        </w:rPr>
        <w:t>Exp</w:t>
      </w:r>
      <w:proofErr w:type="spellEnd"/>
      <w:r w:rsidRPr="00566F4C">
        <w:rPr>
          <w:rFonts w:ascii="Verdana" w:hAnsi="Verdana"/>
          <w:sz w:val="22"/>
          <w:szCs w:val="22"/>
        </w:rPr>
        <w:t xml:space="preserve"> 632. Sala de Casación Civil. Corte Suprema de Justicia.</w:t>
      </w:r>
    </w:p>
    <w:p w14:paraId="771343E7" w14:textId="73547563" w:rsidR="00566F4C" w:rsidRPr="00566F4C" w:rsidRDefault="00566F4C" w:rsidP="00566F4C">
      <w:pPr>
        <w:jc w:val="both"/>
        <w:rPr>
          <w:rFonts w:ascii="Verdana" w:hAnsi="Verdana"/>
          <w:sz w:val="22"/>
          <w:szCs w:val="22"/>
        </w:rPr>
      </w:pPr>
      <w:r w:rsidRPr="00566F4C">
        <w:rPr>
          <w:rFonts w:ascii="Verdana" w:hAnsi="Verdana"/>
          <w:sz w:val="22"/>
          <w:szCs w:val="22"/>
        </w:rPr>
        <w:t xml:space="preserve">7 </w:t>
      </w:r>
      <w:proofErr w:type="gramStart"/>
      <w:r w:rsidRPr="00566F4C">
        <w:rPr>
          <w:rFonts w:ascii="Verdana" w:hAnsi="Verdana"/>
          <w:sz w:val="22"/>
          <w:szCs w:val="22"/>
        </w:rPr>
        <w:t>Sentencia</w:t>
      </w:r>
      <w:proofErr w:type="gramEnd"/>
      <w:r w:rsidRPr="00566F4C">
        <w:rPr>
          <w:rFonts w:ascii="Verdana" w:hAnsi="Verdana"/>
          <w:sz w:val="22"/>
          <w:szCs w:val="22"/>
        </w:rPr>
        <w:t xml:space="preserve"> T-854 de 2012</w:t>
      </w:r>
    </w:p>
    <w:p w14:paraId="3920F904" w14:textId="1BEF3DE1" w:rsidR="00566F4C" w:rsidRPr="00566F4C" w:rsidRDefault="00566F4C" w:rsidP="00566F4C">
      <w:pPr>
        <w:jc w:val="both"/>
        <w:rPr>
          <w:rFonts w:ascii="Verdana" w:hAnsi="Verdana"/>
          <w:sz w:val="22"/>
          <w:szCs w:val="22"/>
        </w:rPr>
      </w:pPr>
      <w:r w:rsidRPr="00566F4C">
        <w:rPr>
          <w:rFonts w:ascii="Verdana" w:hAnsi="Verdana"/>
          <w:sz w:val="22"/>
          <w:szCs w:val="22"/>
        </w:rPr>
        <w:t xml:space="preserve">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w:t>
      </w:r>
      <w:r w:rsidRPr="00566F4C">
        <w:rPr>
          <w:rFonts w:ascii="Verdana" w:hAnsi="Verdana"/>
          <w:sz w:val="22"/>
          <w:szCs w:val="22"/>
        </w:rPr>
        <w:lastRenderedPageBreak/>
        <w:t>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050E2162" w14:textId="77777777" w:rsidR="00566F4C" w:rsidRPr="00566F4C" w:rsidRDefault="00566F4C" w:rsidP="00566F4C">
      <w:pPr>
        <w:jc w:val="both"/>
        <w:rPr>
          <w:rFonts w:ascii="Verdana" w:hAnsi="Verdana"/>
          <w:sz w:val="22"/>
          <w:szCs w:val="22"/>
        </w:rPr>
      </w:pPr>
    </w:p>
    <w:sectPr w:rsidR="00566F4C" w:rsidRPr="00566F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4C"/>
    <w:rsid w:val="0047709B"/>
    <w:rsid w:val="00566F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D6B3"/>
  <w15:chartTrackingRefBased/>
  <w15:docId w15:val="{51EFE724-C81C-4171-B781-F003CE06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6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6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6F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6F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6F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6F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F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F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F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F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6F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6F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6F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6F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6F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6F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6F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6F4C"/>
    <w:rPr>
      <w:rFonts w:eastAsiaTheme="majorEastAsia" w:cstheme="majorBidi"/>
      <w:color w:val="272727" w:themeColor="text1" w:themeTint="D8"/>
    </w:rPr>
  </w:style>
  <w:style w:type="paragraph" w:styleId="Ttulo">
    <w:name w:val="Title"/>
    <w:basedOn w:val="Normal"/>
    <w:next w:val="Normal"/>
    <w:link w:val="TtuloCar"/>
    <w:uiPriority w:val="10"/>
    <w:qFormat/>
    <w:rsid w:val="00566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F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6F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F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6F4C"/>
    <w:pPr>
      <w:spacing w:before="160"/>
      <w:jc w:val="center"/>
    </w:pPr>
    <w:rPr>
      <w:i/>
      <w:iCs/>
      <w:color w:val="404040" w:themeColor="text1" w:themeTint="BF"/>
    </w:rPr>
  </w:style>
  <w:style w:type="character" w:customStyle="1" w:styleId="CitaCar">
    <w:name w:val="Cita Car"/>
    <w:basedOn w:val="Fuentedeprrafopredeter"/>
    <w:link w:val="Cita"/>
    <w:uiPriority w:val="29"/>
    <w:rsid w:val="00566F4C"/>
    <w:rPr>
      <w:i/>
      <w:iCs/>
      <w:color w:val="404040" w:themeColor="text1" w:themeTint="BF"/>
    </w:rPr>
  </w:style>
  <w:style w:type="paragraph" w:styleId="Prrafodelista">
    <w:name w:val="List Paragraph"/>
    <w:basedOn w:val="Normal"/>
    <w:uiPriority w:val="34"/>
    <w:qFormat/>
    <w:rsid w:val="00566F4C"/>
    <w:pPr>
      <w:ind w:left="720"/>
      <w:contextualSpacing/>
    </w:pPr>
  </w:style>
  <w:style w:type="character" w:styleId="nfasisintenso">
    <w:name w:val="Intense Emphasis"/>
    <w:basedOn w:val="Fuentedeprrafopredeter"/>
    <w:uiPriority w:val="21"/>
    <w:qFormat/>
    <w:rsid w:val="00566F4C"/>
    <w:rPr>
      <w:i/>
      <w:iCs/>
      <w:color w:val="0F4761" w:themeColor="accent1" w:themeShade="BF"/>
    </w:rPr>
  </w:style>
  <w:style w:type="paragraph" w:styleId="Citadestacada">
    <w:name w:val="Intense Quote"/>
    <w:basedOn w:val="Normal"/>
    <w:next w:val="Normal"/>
    <w:link w:val="CitadestacadaCar"/>
    <w:uiPriority w:val="30"/>
    <w:qFormat/>
    <w:rsid w:val="00566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6F4C"/>
    <w:rPr>
      <w:i/>
      <w:iCs/>
      <w:color w:val="0F4761" w:themeColor="accent1" w:themeShade="BF"/>
    </w:rPr>
  </w:style>
  <w:style w:type="character" w:styleId="Referenciaintensa">
    <w:name w:val="Intense Reference"/>
    <w:basedOn w:val="Fuentedeprrafopredeter"/>
    <w:uiPriority w:val="32"/>
    <w:qFormat/>
    <w:rsid w:val="00566F4C"/>
    <w:rPr>
      <w:b/>
      <w:bCs/>
      <w:smallCaps/>
      <w:color w:val="0F4761" w:themeColor="accent1" w:themeShade="BF"/>
      <w:spacing w:val="5"/>
    </w:rPr>
  </w:style>
  <w:style w:type="character" w:styleId="Hipervnculo">
    <w:name w:val="Hyperlink"/>
    <w:basedOn w:val="Fuentedeprrafopredeter"/>
    <w:uiPriority w:val="99"/>
    <w:unhideWhenUsed/>
    <w:rsid w:val="00566F4C"/>
    <w:rPr>
      <w:color w:val="467886" w:themeColor="hyperlink"/>
      <w:u w:val="single"/>
    </w:rPr>
  </w:style>
  <w:style w:type="character" w:styleId="Mencinsinresolver">
    <w:name w:val="Unresolved Mention"/>
    <w:basedOn w:val="Fuentedeprrafopredeter"/>
    <w:uiPriority w:val="99"/>
    <w:semiHidden/>
    <w:unhideWhenUsed/>
    <w:rsid w:val="0056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5EE78-F152-4DA3-BA9D-83FE5EFA76E4}"/>
</file>

<file path=customXml/itemProps2.xml><?xml version="1.0" encoding="utf-8"?>
<ds:datastoreItem xmlns:ds="http://schemas.openxmlformats.org/officeDocument/2006/customXml" ds:itemID="{1902976E-1A5F-422F-B605-F7A191873EB0}"/>
</file>

<file path=customXml/itemProps3.xml><?xml version="1.0" encoding="utf-8"?>
<ds:datastoreItem xmlns:ds="http://schemas.openxmlformats.org/officeDocument/2006/customXml" ds:itemID="{0A50A1D6-0140-46F0-AC22-F2FC07362968}"/>
</file>

<file path=docProps/app.xml><?xml version="1.0" encoding="utf-8"?>
<Properties xmlns="http://schemas.openxmlformats.org/officeDocument/2006/extended-properties" xmlns:vt="http://schemas.openxmlformats.org/officeDocument/2006/docPropsVTypes">
  <Template>Normal</Template>
  <TotalTime>1</TotalTime>
  <Pages>10</Pages>
  <Words>3338</Words>
  <Characters>18360</Characters>
  <Application>Microsoft Office Word</Application>
  <DocSecurity>0</DocSecurity>
  <Lines>153</Lines>
  <Paragraphs>43</Paragraphs>
  <ScaleCrop>false</ScaleCrop>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2026-04-27T15:50:00Z</dcterms:created>
  <dcterms:modified xsi:type="dcterms:W3CDTF">2026-04-27T15:51:00Z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