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46BE" w14:textId="77777777" w:rsidR="00542032" w:rsidRPr="00542032" w:rsidRDefault="00542032" w:rsidP="00542032">
      <w:pPr>
        <w:jc w:val="center"/>
        <w:rPr>
          <w:rFonts w:ascii="Verdana" w:hAnsi="Verdana"/>
          <w:sz w:val="22"/>
          <w:szCs w:val="22"/>
        </w:rPr>
      </w:pPr>
      <w:r w:rsidRPr="00542032">
        <w:rPr>
          <w:rFonts w:ascii="Verdana" w:hAnsi="Verdana"/>
          <w:b/>
          <w:bCs/>
          <w:sz w:val="22"/>
          <w:szCs w:val="22"/>
        </w:rPr>
        <w:t>CONCEPTO 23 DE 2017</w:t>
      </w:r>
    </w:p>
    <w:p w14:paraId="6417B865" w14:textId="77777777" w:rsidR="00542032" w:rsidRPr="00542032" w:rsidRDefault="00542032" w:rsidP="00542032">
      <w:pPr>
        <w:jc w:val="center"/>
        <w:rPr>
          <w:rFonts w:ascii="Verdana" w:hAnsi="Verdana"/>
          <w:sz w:val="22"/>
          <w:szCs w:val="22"/>
        </w:rPr>
      </w:pPr>
      <w:r w:rsidRPr="00542032">
        <w:rPr>
          <w:rFonts w:ascii="Verdana" w:hAnsi="Verdana"/>
          <w:sz w:val="22"/>
          <w:szCs w:val="22"/>
        </w:rPr>
        <w:t>(marzo 15)</w:t>
      </w:r>
    </w:p>
    <w:p w14:paraId="006431F7" w14:textId="77777777" w:rsidR="00542032" w:rsidRPr="00542032" w:rsidRDefault="00542032" w:rsidP="00542032">
      <w:pPr>
        <w:jc w:val="center"/>
        <w:rPr>
          <w:rFonts w:ascii="Verdana" w:hAnsi="Verdana"/>
          <w:sz w:val="22"/>
          <w:szCs w:val="22"/>
        </w:rPr>
      </w:pPr>
      <w:r w:rsidRPr="00542032">
        <w:rPr>
          <w:rFonts w:ascii="Verdana" w:hAnsi="Verdana"/>
          <w:b/>
          <w:bCs/>
          <w:sz w:val="22"/>
          <w:szCs w:val="22"/>
        </w:rPr>
        <w:t>INSTITUTO COLOMBIANO DE BIENESTAR FAMILIAR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195"/>
        <w:gridCol w:w="7731"/>
      </w:tblGrid>
      <w:tr w:rsidR="00542032" w:rsidRPr="00542032" w14:paraId="1889DB55" w14:textId="77777777" w:rsidTr="00542032">
        <w:trPr>
          <w:tblCellSpacing w:w="15" w:type="dxa"/>
        </w:trPr>
        <w:tc>
          <w:tcPr>
            <w:tcW w:w="644" w:type="pct"/>
            <w:tcBorders>
              <w:top w:val="nil"/>
              <w:left w:val="nil"/>
              <w:bottom w:val="nil"/>
              <w:right w:val="nil"/>
            </w:tcBorders>
            <w:tcMar>
              <w:top w:w="0" w:type="dxa"/>
              <w:left w:w="0" w:type="dxa"/>
              <w:bottom w:w="0" w:type="dxa"/>
              <w:right w:w="0" w:type="dxa"/>
            </w:tcMar>
            <w:hideMark/>
          </w:tcPr>
          <w:p w14:paraId="0412D070" w14:textId="77777777" w:rsidR="00542032" w:rsidRPr="00542032" w:rsidRDefault="00542032" w:rsidP="00542032">
            <w:pPr>
              <w:jc w:val="both"/>
              <w:rPr>
                <w:rFonts w:ascii="Verdana" w:hAnsi="Verdana"/>
                <w:sz w:val="22"/>
                <w:szCs w:val="22"/>
              </w:rPr>
            </w:pPr>
            <w:r w:rsidRPr="00542032">
              <w:rPr>
                <w:rFonts w:ascii="Verdana" w:hAnsi="Verdana"/>
                <w:sz w:val="22"/>
                <w:szCs w:val="22"/>
              </w:rPr>
              <w:t>PARA:</w:t>
            </w:r>
          </w:p>
        </w:tc>
        <w:tc>
          <w:tcPr>
            <w:tcW w:w="4306" w:type="pct"/>
            <w:tcBorders>
              <w:top w:val="nil"/>
              <w:left w:val="nil"/>
              <w:bottom w:val="nil"/>
              <w:right w:val="nil"/>
            </w:tcBorders>
            <w:tcMar>
              <w:top w:w="0" w:type="dxa"/>
              <w:left w:w="0" w:type="dxa"/>
              <w:bottom w:w="0" w:type="dxa"/>
              <w:right w:w="0" w:type="dxa"/>
            </w:tcMar>
            <w:hideMark/>
          </w:tcPr>
          <w:p w14:paraId="60D2F83B" w14:textId="77777777" w:rsidR="00542032" w:rsidRPr="00542032" w:rsidRDefault="00542032" w:rsidP="00542032">
            <w:pPr>
              <w:jc w:val="both"/>
              <w:rPr>
                <w:rFonts w:ascii="Verdana" w:hAnsi="Verdana"/>
                <w:sz w:val="22"/>
                <w:szCs w:val="22"/>
              </w:rPr>
            </w:pPr>
            <w:r w:rsidRPr="00542032">
              <w:rPr>
                <w:rFonts w:ascii="Verdana" w:hAnsi="Verdana"/>
                <w:sz w:val="22"/>
                <w:szCs w:val="22"/>
              </w:rPr>
              <w:t>Coordinadora de Autoridades Administrativas</w:t>
            </w:r>
          </w:p>
        </w:tc>
      </w:tr>
      <w:tr w:rsidR="00542032" w:rsidRPr="00542032" w14:paraId="3DA65AFC" w14:textId="77777777" w:rsidTr="00542032">
        <w:trPr>
          <w:tblCellSpacing w:w="15" w:type="dxa"/>
        </w:trPr>
        <w:tc>
          <w:tcPr>
            <w:tcW w:w="644" w:type="pct"/>
            <w:tcBorders>
              <w:top w:val="nil"/>
              <w:left w:val="nil"/>
              <w:bottom w:val="nil"/>
              <w:right w:val="nil"/>
            </w:tcBorders>
            <w:tcMar>
              <w:top w:w="0" w:type="dxa"/>
              <w:left w:w="0" w:type="dxa"/>
              <w:bottom w:w="0" w:type="dxa"/>
              <w:right w:w="0" w:type="dxa"/>
            </w:tcMar>
            <w:hideMark/>
          </w:tcPr>
          <w:p w14:paraId="7BB014EE" w14:textId="77777777" w:rsidR="00542032" w:rsidRPr="00542032" w:rsidRDefault="00542032" w:rsidP="00542032">
            <w:pPr>
              <w:jc w:val="both"/>
              <w:rPr>
                <w:rFonts w:ascii="Verdana" w:hAnsi="Verdana"/>
                <w:sz w:val="22"/>
                <w:szCs w:val="22"/>
              </w:rPr>
            </w:pPr>
            <w:r w:rsidRPr="00542032">
              <w:rPr>
                <w:rFonts w:ascii="Verdana" w:hAnsi="Verdana"/>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2D1FF27C" w14:textId="77777777" w:rsidR="00542032" w:rsidRPr="00542032" w:rsidRDefault="00542032" w:rsidP="00542032">
            <w:pPr>
              <w:jc w:val="both"/>
              <w:rPr>
                <w:rFonts w:ascii="Verdana" w:hAnsi="Verdana"/>
                <w:sz w:val="22"/>
                <w:szCs w:val="22"/>
              </w:rPr>
            </w:pPr>
            <w:r w:rsidRPr="00542032">
              <w:rPr>
                <w:rFonts w:ascii="Verdana" w:hAnsi="Verdana"/>
                <w:sz w:val="22"/>
                <w:szCs w:val="22"/>
              </w:rPr>
              <w:t>Respuesta solicitud de concepto sobre los impedimentos y recusaciones de los Defensores de Familia</w:t>
            </w:r>
          </w:p>
        </w:tc>
      </w:tr>
    </w:tbl>
    <w:p w14:paraId="31FD4A84" w14:textId="412CACFC" w:rsidR="00542032" w:rsidRPr="00542032" w:rsidRDefault="00542032" w:rsidP="00542032">
      <w:pPr>
        <w:jc w:val="both"/>
        <w:rPr>
          <w:rFonts w:ascii="Verdana" w:hAnsi="Verdana"/>
          <w:sz w:val="22"/>
          <w:szCs w:val="22"/>
        </w:rPr>
      </w:pPr>
      <w:r w:rsidRPr="00542032">
        <w:rPr>
          <w:rFonts w:ascii="Verdana" w:hAnsi="Verdana"/>
          <w:sz w:val="22"/>
          <w:szCs w:val="22"/>
        </w:rPr>
        <w:t>Atendiendo al asunto de la referencia, radicada bajo el No. I-2017-011979-0101 y de acuerdo con lo previsto en el artículo 26 del Código Civil, la Ley 1755 de 2015 y numeral 4 del artículo 6 del Decreto 987 de 2012, se procede a emitir concepto en los siguientes términos:</w:t>
      </w:r>
    </w:p>
    <w:p w14:paraId="5D20830B" w14:textId="77777777" w:rsidR="00542032" w:rsidRPr="00542032" w:rsidRDefault="00542032" w:rsidP="00542032">
      <w:pPr>
        <w:jc w:val="both"/>
        <w:rPr>
          <w:rFonts w:ascii="Verdana" w:hAnsi="Verdana"/>
          <w:sz w:val="22"/>
          <w:szCs w:val="22"/>
        </w:rPr>
      </w:pPr>
      <w:r w:rsidRPr="00542032">
        <w:rPr>
          <w:rFonts w:ascii="Verdana" w:hAnsi="Verdana"/>
          <w:b/>
          <w:bCs/>
          <w:sz w:val="22"/>
          <w:szCs w:val="22"/>
        </w:rPr>
        <w:t>I. SOBRE LA SOLICITUD</w:t>
      </w:r>
    </w:p>
    <w:p w14:paraId="435015B6" w14:textId="77777777" w:rsidR="00542032" w:rsidRPr="00542032" w:rsidRDefault="00542032" w:rsidP="00542032">
      <w:pPr>
        <w:jc w:val="both"/>
        <w:rPr>
          <w:rFonts w:ascii="Verdana" w:hAnsi="Verdana"/>
          <w:sz w:val="22"/>
          <w:szCs w:val="22"/>
        </w:rPr>
      </w:pPr>
      <w:r w:rsidRPr="00542032">
        <w:rPr>
          <w:rFonts w:ascii="Verdana" w:hAnsi="Verdana"/>
          <w:sz w:val="22"/>
          <w:szCs w:val="22"/>
        </w:rPr>
        <w:t>Se solicita concepto sobre la regulación de impedimentos y recusaciones de los Defensores de Familia, sus causales, y procedimiento para declararlos.</w:t>
      </w:r>
    </w:p>
    <w:p w14:paraId="725DC35A" w14:textId="77777777" w:rsidR="00542032" w:rsidRPr="00542032" w:rsidRDefault="00542032" w:rsidP="00542032">
      <w:pPr>
        <w:jc w:val="both"/>
        <w:rPr>
          <w:rFonts w:ascii="Verdana" w:hAnsi="Verdana"/>
          <w:sz w:val="22"/>
          <w:szCs w:val="22"/>
        </w:rPr>
      </w:pPr>
      <w:r w:rsidRPr="00542032">
        <w:rPr>
          <w:rFonts w:ascii="Verdana" w:hAnsi="Verdana"/>
          <w:b/>
          <w:bCs/>
          <w:sz w:val="22"/>
          <w:szCs w:val="22"/>
        </w:rPr>
        <w:t>II. PROBLEMA JURÍDICO</w:t>
      </w:r>
    </w:p>
    <w:p w14:paraId="121C448A" w14:textId="77777777" w:rsidR="00542032" w:rsidRPr="00542032" w:rsidRDefault="00542032" w:rsidP="00542032">
      <w:pPr>
        <w:jc w:val="both"/>
        <w:rPr>
          <w:rFonts w:ascii="Verdana" w:hAnsi="Verdana"/>
          <w:sz w:val="22"/>
          <w:szCs w:val="22"/>
        </w:rPr>
      </w:pPr>
      <w:r w:rsidRPr="00542032">
        <w:rPr>
          <w:rFonts w:ascii="Verdana" w:hAnsi="Verdana"/>
          <w:sz w:val="22"/>
          <w:szCs w:val="22"/>
        </w:rPr>
        <w:t>Con base en los anteriores hechos y consideraciones, se identifican los siguientes problemas jurídicos:</w:t>
      </w:r>
    </w:p>
    <w:p w14:paraId="617E2AE3" w14:textId="77777777" w:rsidR="00542032" w:rsidRPr="00542032" w:rsidRDefault="00542032" w:rsidP="00542032">
      <w:pPr>
        <w:jc w:val="both"/>
        <w:rPr>
          <w:rFonts w:ascii="Verdana" w:hAnsi="Verdana"/>
          <w:sz w:val="22"/>
          <w:szCs w:val="22"/>
        </w:rPr>
      </w:pPr>
      <w:r w:rsidRPr="00542032">
        <w:rPr>
          <w:rFonts w:ascii="Verdana" w:hAnsi="Verdana"/>
          <w:sz w:val="22"/>
          <w:szCs w:val="22"/>
        </w:rPr>
        <w:t>¿Las normas relativas a los impedimentos y recusaciones en el Código General del Proceso, son aplicables a los Defensores de Familia?</w:t>
      </w:r>
    </w:p>
    <w:p w14:paraId="40402E9E" w14:textId="77777777" w:rsidR="00542032" w:rsidRPr="00542032" w:rsidRDefault="00542032" w:rsidP="00542032">
      <w:pPr>
        <w:jc w:val="both"/>
        <w:rPr>
          <w:rFonts w:ascii="Verdana" w:hAnsi="Verdana"/>
          <w:sz w:val="22"/>
          <w:szCs w:val="22"/>
        </w:rPr>
      </w:pPr>
      <w:r w:rsidRPr="00542032">
        <w:rPr>
          <w:rFonts w:ascii="Verdana" w:hAnsi="Verdana"/>
          <w:sz w:val="22"/>
          <w:szCs w:val="22"/>
        </w:rPr>
        <w:t>¿Cuál es el procedimiento para declarar y resolver un impedimento o recusación de un Defensor de Familia?, ¿Tiene el ICBF la facultad para regular dicho trámite?</w:t>
      </w:r>
    </w:p>
    <w:p w14:paraId="7949294E" w14:textId="77777777" w:rsidR="00542032" w:rsidRPr="00542032" w:rsidRDefault="00542032" w:rsidP="00542032">
      <w:pPr>
        <w:jc w:val="both"/>
        <w:rPr>
          <w:rFonts w:ascii="Verdana" w:hAnsi="Verdana"/>
          <w:sz w:val="22"/>
          <w:szCs w:val="22"/>
        </w:rPr>
      </w:pPr>
      <w:r w:rsidRPr="00542032">
        <w:rPr>
          <w:rFonts w:ascii="Verdana" w:hAnsi="Verdana"/>
          <w:b/>
          <w:bCs/>
          <w:sz w:val="22"/>
          <w:szCs w:val="22"/>
        </w:rPr>
        <w:t>III. ANÁLISIS DEL PROBLEMA JURÍDICO</w:t>
      </w:r>
    </w:p>
    <w:p w14:paraId="06C2813D" w14:textId="77777777" w:rsidR="00542032" w:rsidRPr="00542032" w:rsidRDefault="00542032" w:rsidP="00542032">
      <w:pPr>
        <w:jc w:val="both"/>
        <w:rPr>
          <w:rFonts w:ascii="Verdana" w:hAnsi="Verdana"/>
          <w:sz w:val="22"/>
          <w:szCs w:val="22"/>
        </w:rPr>
      </w:pPr>
      <w:r w:rsidRPr="00542032">
        <w:rPr>
          <w:rFonts w:ascii="Verdana" w:hAnsi="Verdana"/>
          <w:sz w:val="22"/>
          <w:szCs w:val="22"/>
        </w:rPr>
        <w:t>Para dar respuesta a los problemas jurídicos planteados, el presente concepto desarrollará la siguiente estructura: 3.1 El régimen de los impedimentos y las recusaciones; 3.2 El proceso administrativo de restablecimiento de derechos; 3.3 El caso concreto.</w:t>
      </w:r>
    </w:p>
    <w:p w14:paraId="6EE4A3D9" w14:textId="77777777" w:rsidR="00542032" w:rsidRPr="00542032" w:rsidRDefault="00542032" w:rsidP="00542032">
      <w:pPr>
        <w:jc w:val="both"/>
        <w:rPr>
          <w:rFonts w:ascii="Verdana" w:hAnsi="Verdana"/>
          <w:sz w:val="22"/>
          <w:szCs w:val="22"/>
        </w:rPr>
      </w:pPr>
      <w:r w:rsidRPr="00542032">
        <w:rPr>
          <w:rFonts w:ascii="Verdana" w:hAnsi="Verdana"/>
          <w:b/>
          <w:bCs/>
          <w:sz w:val="22"/>
          <w:szCs w:val="22"/>
          <w:u w:val="single"/>
        </w:rPr>
        <w:t>3.1. El régimen de los impedimentos y las recusaciones</w:t>
      </w:r>
    </w:p>
    <w:p w14:paraId="546EBFDB" w14:textId="77777777" w:rsidR="00542032" w:rsidRPr="00542032" w:rsidRDefault="00542032" w:rsidP="00542032">
      <w:pPr>
        <w:jc w:val="both"/>
        <w:rPr>
          <w:rFonts w:ascii="Verdana" w:hAnsi="Verdana"/>
          <w:sz w:val="22"/>
          <w:szCs w:val="22"/>
        </w:rPr>
      </w:pPr>
      <w:r w:rsidRPr="00542032">
        <w:rPr>
          <w:rFonts w:ascii="Verdana" w:hAnsi="Verdana"/>
          <w:sz w:val="22"/>
          <w:szCs w:val="22"/>
        </w:rPr>
        <w:t>Los impedimentos y las recusaciones son instituciones del derecho procesal que buscan la materialización del derecho a la administración de justicia y la imparcialidad de los jueces. Son una excepción al principio de la </w:t>
      </w:r>
      <w:proofErr w:type="spellStart"/>
      <w:r w:rsidRPr="00542032">
        <w:rPr>
          <w:rFonts w:ascii="Verdana" w:hAnsi="Verdana"/>
          <w:i/>
          <w:iCs/>
          <w:sz w:val="22"/>
          <w:szCs w:val="22"/>
        </w:rPr>
        <w:t>perpetuatio</w:t>
      </w:r>
      <w:proofErr w:type="spellEnd"/>
      <w:r w:rsidRPr="00542032">
        <w:rPr>
          <w:rFonts w:ascii="Verdana" w:hAnsi="Verdana"/>
          <w:i/>
          <w:iCs/>
          <w:sz w:val="22"/>
          <w:szCs w:val="22"/>
        </w:rPr>
        <w:t xml:space="preserve"> </w:t>
      </w:r>
      <w:proofErr w:type="spellStart"/>
      <w:r w:rsidRPr="00542032">
        <w:rPr>
          <w:rFonts w:ascii="Verdana" w:hAnsi="Verdana"/>
          <w:i/>
          <w:iCs/>
          <w:sz w:val="22"/>
          <w:szCs w:val="22"/>
        </w:rPr>
        <w:t>jurisdictionis</w:t>
      </w:r>
      <w:proofErr w:type="spellEnd"/>
      <w:r w:rsidRPr="00542032">
        <w:rPr>
          <w:rFonts w:ascii="Verdana" w:hAnsi="Verdana"/>
          <w:i/>
          <w:iCs/>
          <w:sz w:val="22"/>
          <w:szCs w:val="22"/>
        </w:rPr>
        <w:t xml:space="preserve"> o </w:t>
      </w:r>
      <w:r w:rsidRPr="00542032">
        <w:rPr>
          <w:rFonts w:ascii="Verdana" w:hAnsi="Verdana"/>
          <w:sz w:val="22"/>
          <w:szCs w:val="22"/>
        </w:rPr>
        <w:t>inmutabilidad de la competencia,</w:t>
      </w:r>
      <w:r w:rsidRPr="00542032">
        <w:rPr>
          <w:rFonts w:ascii="Verdana" w:hAnsi="Verdana"/>
          <w:sz w:val="22"/>
          <w:szCs w:val="22"/>
          <w:vertAlign w:val="superscript"/>
        </w:rPr>
        <w:t>[1]</w:t>
      </w:r>
      <w:r w:rsidRPr="00542032">
        <w:rPr>
          <w:rFonts w:ascii="Verdana" w:hAnsi="Verdana"/>
          <w:sz w:val="22"/>
          <w:szCs w:val="22"/>
        </w:rPr>
        <w:t> en la medida que permiten la modificación del juez de conocimiento de un asunto, esto es, la regla de competencia, dada unas causales que recen en su persona y pueden generar riesgo en la objetividad en la resolución del caso concreto. Sobre estos, la Corte Constitucional ha manifestado:</w:t>
      </w:r>
    </w:p>
    <w:p w14:paraId="37C3107F" w14:textId="15D8FB5A" w:rsidR="00542032" w:rsidRPr="00542032" w:rsidRDefault="00542032" w:rsidP="00542032">
      <w:pPr>
        <w:jc w:val="both"/>
        <w:rPr>
          <w:rFonts w:ascii="Verdana" w:hAnsi="Verdana"/>
          <w:sz w:val="22"/>
          <w:szCs w:val="22"/>
        </w:rPr>
      </w:pPr>
      <w:r w:rsidRPr="00542032">
        <w:rPr>
          <w:rFonts w:ascii="Verdana" w:hAnsi="Verdana"/>
          <w:i/>
          <w:iCs/>
          <w:sz w:val="22"/>
          <w:szCs w:val="22"/>
        </w:rPr>
        <w:lastRenderedPageBreak/>
        <w:t>“La jurisprudencia de esta corporación ha puntualizado que los atributos de independencia e imparcialidad del funcionario judicial están orientados a salvaguardar los principios esenciales de la administración de justicia, y se traducen en un derecho subjetivo de los ciudadanos en la medida que forman parte del debido proceso. Los impedimentos y las recusaciones son los mecanismos previstos en el orden jurídico para garantizar el principio de imparcialidad del funcionario judicial. Tienen su fundamento constitucional en el artículo 29 de la Constitución, y en los convenios internacionales sobre derechos humanos aprobados por el estado colombiano Sobre el particular señaló la Corte:</w:t>
      </w:r>
    </w:p>
    <w:p w14:paraId="515CAD1B" w14:textId="652A74C5" w:rsidR="00542032" w:rsidRPr="00542032" w:rsidRDefault="00542032" w:rsidP="00542032">
      <w:pPr>
        <w:jc w:val="both"/>
        <w:rPr>
          <w:rFonts w:ascii="Verdana" w:hAnsi="Verdana"/>
          <w:sz w:val="22"/>
          <w:szCs w:val="22"/>
        </w:rPr>
      </w:pPr>
      <w:r w:rsidRPr="00542032">
        <w:rPr>
          <w:rFonts w:ascii="Verdana" w:hAnsi="Verdana"/>
          <w:i/>
          <w:iCs/>
          <w:sz w:val="22"/>
          <w:szCs w:val="22"/>
        </w:rPr>
        <w:t>“Los impedimentos constituyen un mecanismo procedimental dirigido a la protección de los principios esenciales de la administración de justicia: la independencia e imparcialidad del juez, que se traducen así mismo en un derecho subjetivo de los ciudadanos, pues una de las esferas esenciales del debido proceso, es la posibilidad del ciudadano de acudir ante un funcionario imparcial para resolver sus controversias, (artículo 29 de la Constitución  Política, en concordancia con diversas disposiciones contenidas en instrumentos de derechos humanos, tales como los artículos 14.1 del Pacto Internacional de Derechos Civiles y Políticos, de la Convención Americana sobre Derechos Humanos, y 10° de la Declaración Universal de Derechos Humanos).</w:t>
      </w:r>
    </w:p>
    <w:p w14:paraId="6B69BDE5"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5.2. No obstante, la jurisprudencia colombiana ha destacado el carácter excepcional de los impedimentos y las recusaciones y por ende el carácter taxativo de las causales en que se originan, lo cual exige una interpretación restrictiva de las mismas:</w:t>
      </w:r>
    </w:p>
    <w:p w14:paraId="52A6F945" w14:textId="76DC1372" w:rsidR="00542032" w:rsidRPr="00542032" w:rsidRDefault="00542032" w:rsidP="00542032">
      <w:pPr>
        <w:jc w:val="both"/>
        <w:rPr>
          <w:rFonts w:ascii="Verdana" w:hAnsi="Verdana"/>
          <w:sz w:val="22"/>
          <w:szCs w:val="22"/>
        </w:rPr>
      </w:pPr>
      <w:r w:rsidRPr="00542032">
        <w:rPr>
          <w:rFonts w:ascii="Verdana" w:hAnsi="Verdana"/>
          <w:i/>
          <w:iCs/>
          <w:sz w:val="22"/>
          <w:szCs w:val="22"/>
        </w:rPr>
        <w:t>“Técnicamente, el impedimento es una facultad excepcional otorgada al juez para declinar su competencia en un asunto especifico, separándose de su conocimiento, cuando considere que existen motivos fundados para que su imparcialidad se encuentre seriamente comprometida. Sin embargo, con el fin de evitar que el impedimento se convierta en una forma de evadir el ejercicio de la tarea esencial del juez, y en una limitación excesiva al derecho fundamental al acceso a la administración de justicia (Artículo 228, C.P.), jurisprudencia coincidente y consolidada de los órganos de cierre de cada jurisdicción, ha determinado que los impedimentos tienen un carácter taxativo y que su interpretación debe efectuarse de forma restringida".</w:t>
      </w:r>
      <w:r w:rsidRPr="00542032">
        <w:rPr>
          <w:rFonts w:ascii="Verdana" w:hAnsi="Verdana"/>
          <w:i/>
          <w:iCs/>
          <w:sz w:val="22"/>
          <w:szCs w:val="22"/>
          <w:vertAlign w:val="superscript"/>
        </w:rPr>
        <w:t>[2]</w:t>
      </w:r>
    </w:p>
    <w:p w14:paraId="6AB5A84D" w14:textId="1BA8546E" w:rsidR="00542032" w:rsidRPr="00542032" w:rsidRDefault="00542032" w:rsidP="00542032">
      <w:pPr>
        <w:jc w:val="both"/>
        <w:rPr>
          <w:rFonts w:ascii="Verdana" w:hAnsi="Verdana"/>
          <w:sz w:val="22"/>
          <w:szCs w:val="22"/>
        </w:rPr>
      </w:pPr>
      <w:r w:rsidRPr="00542032">
        <w:rPr>
          <w:rFonts w:ascii="Verdana" w:hAnsi="Verdana"/>
          <w:sz w:val="22"/>
          <w:szCs w:val="22"/>
        </w:rPr>
        <w:t>En materia administrativa, los impedimentos y recusaciones son una institución que también busca la garantía de la imparcialidad en el ejercicio de la función pública, fundada en el artículo 209 de la Constitución Política, que la reconoce como un principio y materializa que su finalidad sea la satisfacción del interés general:</w:t>
      </w:r>
    </w:p>
    <w:p w14:paraId="560682D0"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lastRenderedPageBreak/>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52D55488" w14:textId="32B51F32" w:rsidR="00542032" w:rsidRPr="00542032" w:rsidRDefault="00542032" w:rsidP="00542032">
      <w:pPr>
        <w:jc w:val="both"/>
        <w:rPr>
          <w:rFonts w:ascii="Verdana" w:hAnsi="Verdana"/>
          <w:sz w:val="22"/>
          <w:szCs w:val="22"/>
        </w:rPr>
      </w:pPr>
      <w:r w:rsidRPr="00542032">
        <w:rPr>
          <w:rFonts w:ascii="Verdana" w:hAnsi="Verdana"/>
          <w:sz w:val="22"/>
          <w:szCs w:val="22"/>
        </w:rPr>
        <w:t xml:space="preserve">Por su parte, el Código de Procedimiento Administrativo y de lo Contencioso Administrativo, aprobado por la Ley 1437 de 2011, estableció </w:t>
      </w:r>
      <w:proofErr w:type="gramStart"/>
      <w:r w:rsidRPr="00542032">
        <w:rPr>
          <w:rFonts w:ascii="Verdana" w:hAnsi="Verdana"/>
          <w:sz w:val="22"/>
          <w:szCs w:val="22"/>
        </w:rPr>
        <w:t>que</w:t>
      </w:r>
      <w:proofErr w:type="gramEnd"/>
      <w:r w:rsidRPr="00542032">
        <w:rPr>
          <w:rFonts w:ascii="Verdana" w:hAnsi="Verdana"/>
          <w:sz w:val="22"/>
          <w:szCs w:val="22"/>
        </w:rPr>
        <w:t xml:space="preserve"> en virtud del principio de imparcialidad, </w:t>
      </w:r>
      <w:r w:rsidRPr="00542032">
        <w:rPr>
          <w:rFonts w:ascii="Verdana" w:hAnsi="Verdana"/>
          <w:i/>
          <w:iCs/>
          <w:sz w:val="22"/>
          <w:szCs w:val="22"/>
        </w:rPr>
        <w:t>“las autoridades deberán actuar teniendo en cuenta que la finalidad de los procedimientos consiste en asegurar y garantizar los derechos de todas las personas sin discriminación alguna y </w:t>
      </w:r>
      <w:r w:rsidRPr="00542032">
        <w:rPr>
          <w:rFonts w:ascii="Verdana" w:hAnsi="Verdana"/>
          <w:i/>
          <w:iCs/>
          <w:sz w:val="22"/>
          <w:szCs w:val="22"/>
          <w:u w:val="single"/>
        </w:rPr>
        <w:t>sin tener en consideración factores de afecto o de interés</w:t>
      </w:r>
      <w:r w:rsidRPr="00542032">
        <w:rPr>
          <w:rFonts w:ascii="Verdana" w:hAnsi="Verdana"/>
          <w:sz w:val="22"/>
          <w:szCs w:val="22"/>
          <w:u w:val="single"/>
        </w:rPr>
        <w:t> y. </w:t>
      </w:r>
      <w:r w:rsidRPr="00542032">
        <w:rPr>
          <w:rFonts w:ascii="Verdana" w:hAnsi="Verdana"/>
          <w:i/>
          <w:iCs/>
          <w:sz w:val="22"/>
          <w:szCs w:val="22"/>
          <w:u w:val="single"/>
        </w:rPr>
        <w:t>en general, cualquier clase de motivación subjetiva</w:t>
      </w:r>
      <w:r w:rsidRPr="00542032">
        <w:rPr>
          <w:rFonts w:ascii="Verdana" w:hAnsi="Verdana"/>
          <w:i/>
          <w:iCs/>
          <w:sz w:val="22"/>
          <w:szCs w:val="22"/>
        </w:rPr>
        <w:t>”.</w:t>
      </w:r>
      <w:r w:rsidRPr="00542032">
        <w:rPr>
          <w:rFonts w:ascii="Verdana" w:hAnsi="Verdana"/>
          <w:i/>
          <w:iCs/>
          <w:sz w:val="22"/>
          <w:szCs w:val="22"/>
          <w:vertAlign w:val="superscript"/>
        </w:rPr>
        <w:t>[3]</w:t>
      </w:r>
    </w:p>
    <w:p w14:paraId="5D18BF9E" w14:textId="77777777" w:rsidR="00542032" w:rsidRPr="00542032" w:rsidRDefault="00542032" w:rsidP="00542032">
      <w:pPr>
        <w:jc w:val="both"/>
        <w:rPr>
          <w:rFonts w:ascii="Verdana" w:hAnsi="Verdana"/>
          <w:sz w:val="22"/>
          <w:szCs w:val="22"/>
        </w:rPr>
      </w:pPr>
      <w:r w:rsidRPr="00542032">
        <w:rPr>
          <w:rFonts w:ascii="Verdana" w:hAnsi="Verdana"/>
          <w:sz w:val="22"/>
          <w:szCs w:val="22"/>
        </w:rPr>
        <w:t>El Consejo de Estado, Sala de lo Contencioso Administrativo, Sección Tercera, en la sentencia de 24 de enero de 2002, con ponencia del Consejero Germán Rodríguez Villamizar definió los impedimentos como </w:t>
      </w:r>
      <w:r w:rsidRPr="00542032">
        <w:rPr>
          <w:rFonts w:ascii="Verdana" w:hAnsi="Verdana"/>
          <w:i/>
          <w:iCs/>
          <w:sz w:val="22"/>
          <w:szCs w:val="22"/>
        </w:rPr>
        <w:t>“aquel obstáculo, dificultad o evento que se opone al desarrollo de una actividad, concepto este que aplicado al ejercicio de la función pública en general y de la administrativa en particular, implica que la persona que está desempeñando funciones públicas no puede ejercerlas en determinadas situaciones o circunstancias, como por ejemplo, en los asuntos que aquella o sus parientes cercanos tangan interés directo, etc."</w:t>
      </w:r>
    </w:p>
    <w:p w14:paraId="197C04EA" w14:textId="77777777" w:rsidR="00542032" w:rsidRPr="00542032" w:rsidRDefault="00542032" w:rsidP="00542032">
      <w:pPr>
        <w:jc w:val="both"/>
        <w:rPr>
          <w:rFonts w:ascii="Verdana" w:hAnsi="Verdana"/>
          <w:sz w:val="22"/>
          <w:szCs w:val="22"/>
        </w:rPr>
      </w:pPr>
      <w:r w:rsidRPr="00542032">
        <w:rPr>
          <w:rFonts w:ascii="Verdana" w:hAnsi="Verdana"/>
          <w:sz w:val="22"/>
          <w:szCs w:val="22"/>
        </w:rPr>
        <w:t>En la judicatura, el Código General del Proceso en virtud del principio de reserva de ley, reguló las causales y el trámite para resolver los impedimentos y recusaciones, y el Consejo Superior de la Judicatura como órgano administrador de la rama judicial, reglamentó los aspectos eminentemente operativos a través del Acuerdo 1472 de 2002, Así, las causales de impedimento y recusación, así como el procedimiento para tramitarlos, se encuentran en el capítulo II, del Título V, de la Sección II. del Libro Segundo del Código General del Proceso.</w:t>
      </w:r>
      <w:r w:rsidRPr="00542032">
        <w:rPr>
          <w:rFonts w:ascii="Verdana" w:hAnsi="Verdana"/>
          <w:sz w:val="22"/>
          <w:szCs w:val="22"/>
          <w:vertAlign w:val="superscript"/>
        </w:rPr>
        <w:t>[4]</w:t>
      </w:r>
    </w:p>
    <w:p w14:paraId="45D549CB" w14:textId="5B24723B" w:rsidR="00542032" w:rsidRPr="00542032" w:rsidRDefault="00542032" w:rsidP="00542032">
      <w:pPr>
        <w:jc w:val="both"/>
        <w:rPr>
          <w:rFonts w:ascii="Verdana" w:hAnsi="Verdana"/>
          <w:sz w:val="22"/>
          <w:szCs w:val="22"/>
        </w:rPr>
      </w:pPr>
      <w:r w:rsidRPr="00542032">
        <w:rPr>
          <w:rFonts w:ascii="Verdana" w:hAnsi="Verdana"/>
          <w:sz w:val="22"/>
          <w:szCs w:val="22"/>
        </w:rPr>
        <w:t>Para el caso de la rama ejecutiva, el CPACA, reguló en los artículos 11 y 12, los conflictos de interés, así como las causales de impedimento y recusación de los servidores públicos y su trámite. Para tal efecto, dispone la obligación en cabeza de todo servidor que deba adelantar o sustanciar actuaciones administrativas, realizar investigaciones, practicar pruebas o pronunciar decisiones definitivas, de declararse impedido </w:t>
      </w:r>
      <w:r w:rsidRPr="00542032">
        <w:rPr>
          <w:rFonts w:ascii="Verdana" w:hAnsi="Verdana"/>
          <w:i/>
          <w:iCs/>
          <w:sz w:val="22"/>
          <w:szCs w:val="22"/>
        </w:rPr>
        <w:t>"cuando el interés general propio de la función pública entre en conflicto con el interés particular y directo del servidor público”, </w:t>
      </w:r>
      <w:r w:rsidRPr="00542032">
        <w:rPr>
          <w:rFonts w:ascii="Verdana" w:hAnsi="Verdana"/>
          <w:sz w:val="22"/>
          <w:szCs w:val="22"/>
        </w:rPr>
        <w:t>por las siguientes causales:</w:t>
      </w:r>
    </w:p>
    <w:p w14:paraId="227CC0D9"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 Tener interés particular y directo en la regulación, gestión, control o decisión del asunto, o tenerlo su cónyuge, compañero o compañera permanente, o alguno de sus parientes dentro del cuarto grado de consanguinidad, segundo de afinidad o primero civil, o su socio o socios de hecho o de derecho.</w:t>
      </w:r>
    </w:p>
    <w:p w14:paraId="26FEFEFA"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lastRenderedPageBreak/>
        <w:t>2. Haber conocido del asunto, en oportunidad anterior, el servidor, su cónyuge, compañero permanente o alguno de sus parientes indicados en el numeral precedente.</w:t>
      </w:r>
    </w:p>
    <w:p w14:paraId="1F8894DD"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3. Ser el servidor, su cónyuge, compañero permanente o alguno de sus parientes arriba indicados, curador o tutor de persona interesada en el asunto.</w:t>
      </w:r>
    </w:p>
    <w:p w14:paraId="55C3A62B"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4. Ser alguno de los interesados en la actuación administrativa: representante, apoderado, dependiente, mandatario o administrador de los negocios del servidor público.</w:t>
      </w:r>
    </w:p>
    <w:p w14:paraId="4DCAAF30"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5. Existir litigio o controversia ante autoridades administrativas o jurisdiccionales entre el servidor, su cónyuge, compañero permanente, o alguno de sus parientes indicados en el numeral 1, y cualquiera de los interesados en la actuación, su representante o apoderado.</w:t>
      </w:r>
    </w:p>
    <w:p w14:paraId="73AFB008"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6. Haber formulado alguno de los interesados en la actuación, su representante o apoderado, denuncia penal contra el servidor, su cónyuge, compañero permanente, o pariente hasta el segundo grado de consanguinidad, segundo de afinidad o primero civil, antes de iniciarse la actuación administrativa; o después, siempre que la denuncia se refiera a hechos ajenos a la actuación y que el denunciado se halle vinculado a la investigación penal.</w:t>
      </w:r>
    </w:p>
    <w:p w14:paraId="36011CD1"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7. Haber formulado el servidor, su cónyuge, compañero permanente o pariente hasta el segundo grado de consanguinidad, segundo de afinidad o primero civil, denuncia penal contra una de las personas interesadas en la actuación administrativa o su representante o apoderado, o estar aquellos legitimados para intervenir como parte civil en el respectivo proceso penal.</w:t>
      </w:r>
    </w:p>
    <w:p w14:paraId="63BB45C8"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8. Existir enemistad grave por hechos ajenos a la actuación administrativa, o amistad entrañable entre el servidor y alguna de las personas interesadas en la actuación administrativa, su representante o apoderado.</w:t>
      </w:r>
    </w:p>
    <w:p w14:paraId="2270EAEA"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9. Ser el servidor, su cónyuge, compañero permanente o alguno de sus parientes en segundo grado de consanguinidad, primero de afinidad o primero civil, acreedor o deudor de alguna de las personas interesadas en la actuación administrativa, su representante o apoderado, salvo cuando se trate de persona de derecho público, establecimiento de crédito o sociedad anónima.</w:t>
      </w:r>
    </w:p>
    <w:p w14:paraId="60F0E401"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10. Ser el servidor, su cónyuge, compañero permanente o alguno de sus parientes indicados en el numeral anterior, socio de alguna de las personas interesadas en la actuación administrativa o su representante o apoderado en sociedad de personas.</w:t>
      </w:r>
    </w:p>
    <w:p w14:paraId="1467E1C4"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 xml:space="preserve">11. Haber dado el servidor consejo o concepto por fuera de la actuación administrativa sobre las cuestiones materia de </w:t>
      </w:r>
      <w:proofErr w:type="gramStart"/>
      <w:r w:rsidRPr="00542032">
        <w:rPr>
          <w:rFonts w:ascii="Verdana" w:hAnsi="Verdana"/>
          <w:i/>
          <w:iCs/>
          <w:sz w:val="22"/>
          <w:szCs w:val="22"/>
        </w:rPr>
        <w:t>la misma</w:t>
      </w:r>
      <w:proofErr w:type="gramEnd"/>
      <w:r w:rsidRPr="00542032">
        <w:rPr>
          <w:rFonts w:ascii="Verdana" w:hAnsi="Verdana"/>
          <w:i/>
          <w:iCs/>
          <w:sz w:val="22"/>
          <w:szCs w:val="22"/>
        </w:rPr>
        <w:t xml:space="preserve">, o haber intervenido en </w:t>
      </w:r>
      <w:r w:rsidRPr="00542032">
        <w:rPr>
          <w:rFonts w:ascii="Verdana" w:hAnsi="Verdana"/>
          <w:i/>
          <w:iCs/>
          <w:sz w:val="22"/>
          <w:szCs w:val="22"/>
        </w:rPr>
        <w:lastRenderedPageBreak/>
        <w:t>esta como apoderado, Agente del Ministerio Público, perito o testigo. Sin embargo, no tendrán el carácter de concepto las referencias o explicaciones que el servidor público haga sobre el contenido de una decisión tomada por la administración.</w:t>
      </w:r>
    </w:p>
    <w:p w14:paraId="704CE927"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12. Ser el servidor, su cónyuge, compañero permanente o alguno de sus parientes indicados en el numeral 1, heredero o legatario de alguna de las personas interesadas en la actuación administrativa.</w:t>
      </w:r>
    </w:p>
    <w:p w14:paraId="51996BE9"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13. Tener el servidor, su cónyuge, compañero permanente o alguno de sus parientes en segundo grado de consanguinidad o primero civil, decisión administrativa pendiente en que se controvierta la misma cuestión jurídica que él debe resolver.</w:t>
      </w:r>
    </w:p>
    <w:p w14:paraId="05CDB578"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14. Haber hecho parte de listas de candidatos a cuerpos colegiados de elección popular inscritas o integradas también por el interesado en el período electoral coincidente con la actuación administrativa o en alguno de los dos períodos anteriores.</w:t>
      </w:r>
    </w:p>
    <w:p w14:paraId="3FB77EAE"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15. Haber sido recomendado por el interesado en la actuación para llegar al cargo que ocupa el servidor público o haber sido señalado por este como referencia con el mismo fin.</w:t>
      </w:r>
    </w:p>
    <w:p w14:paraId="7D83BAFD"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16. Dentro del año anterior, haber tenido interés directo o haber actuado como representante,</w:t>
      </w:r>
      <w:r w:rsidRPr="00542032">
        <w:rPr>
          <w:rFonts w:ascii="Verdana" w:hAnsi="Verdana"/>
          <w:sz w:val="22"/>
          <w:szCs w:val="22"/>
        </w:rPr>
        <w:t> </w:t>
      </w:r>
      <w:r w:rsidRPr="00542032">
        <w:rPr>
          <w:rFonts w:ascii="Verdana" w:hAnsi="Verdana"/>
          <w:i/>
          <w:iCs/>
          <w:sz w:val="22"/>
          <w:szCs w:val="22"/>
        </w:rPr>
        <w:t>asesor, presidente, gerente, director, miembro de Junta Directiva o socio de gremio, sindicato, sociedad, asociación o grupo social o económico interesado en el asunto objeto de definición".</w:t>
      </w:r>
    </w:p>
    <w:p w14:paraId="41A97DB0" w14:textId="48A75280" w:rsidR="00542032" w:rsidRPr="00542032" w:rsidRDefault="00542032" w:rsidP="00542032">
      <w:pPr>
        <w:jc w:val="both"/>
        <w:rPr>
          <w:rFonts w:ascii="Verdana" w:hAnsi="Verdana"/>
          <w:sz w:val="22"/>
          <w:szCs w:val="22"/>
        </w:rPr>
      </w:pPr>
      <w:r w:rsidRPr="00542032">
        <w:rPr>
          <w:rFonts w:ascii="Verdana" w:hAnsi="Verdana"/>
          <w:sz w:val="22"/>
          <w:szCs w:val="22"/>
        </w:rPr>
        <w:t>Sobre el procedimiento para tramitar el impedimento, el artículo 12 </w:t>
      </w:r>
      <w:proofErr w:type="spellStart"/>
      <w:r w:rsidRPr="00542032">
        <w:rPr>
          <w:rFonts w:ascii="Verdana" w:hAnsi="Verdana"/>
          <w:sz w:val="22"/>
          <w:szCs w:val="22"/>
        </w:rPr>
        <w:t>Ibídem</w:t>
      </w:r>
      <w:proofErr w:type="spellEnd"/>
      <w:r w:rsidRPr="00542032">
        <w:rPr>
          <w:rFonts w:ascii="Verdana" w:hAnsi="Verdana"/>
          <w:sz w:val="22"/>
          <w:szCs w:val="22"/>
        </w:rPr>
        <w:t>, establece, que el servidor público, enviará la actuación al superior mediante escrito motivado dentro de los tres (3) días siguientes a su conocimiento, quien decidirá de plano dentro de los diez (10) días siguientes a la fecha de recibo, determinando en caso de aceptar el impedimento, el servidor a quien corresponderá el conocimiento del asunto.</w:t>
      </w:r>
    </w:p>
    <w:p w14:paraId="1E47937E" w14:textId="77777777" w:rsidR="00542032" w:rsidRPr="00542032" w:rsidRDefault="00542032" w:rsidP="00542032">
      <w:pPr>
        <w:jc w:val="both"/>
        <w:rPr>
          <w:rFonts w:ascii="Verdana" w:hAnsi="Verdana"/>
          <w:sz w:val="22"/>
          <w:szCs w:val="22"/>
        </w:rPr>
      </w:pPr>
      <w:r w:rsidRPr="00542032">
        <w:rPr>
          <w:rFonts w:ascii="Verdana" w:hAnsi="Verdana"/>
          <w:sz w:val="22"/>
          <w:szCs w:val="22"/>
        </w:rPr>
        <w:t xml:space="preserve">Cuando se trate de una recusación, se seguirá el mismo procedimiento, no </w:t>
      </w:r>
      <w:proofErr w:type="gramStart"/>
      <w:r w:rsidRPr="00542032">
        <w:rPr>
          <w:rFonts w:ascii="Verdana" w:hAnsi="Verdana"/>
          <w:sz w:val="22"/>
          <w:szCs w:val="22"/>
        </w:rPr>
        <w:t>obstante</w:t>
      </w:r>
      <w:proofErr w:type="gramEnd"/>
      <w:r w:rsidRPr="00542032">
        <w:rPr>
          <w:rFonts w:ascii="Verdana" w:hAnsi="Verdana"/>
          <w:sz w:val="22"/>
          <w:szCs w:val="22"/>
        </w:rPr>
        <w:t xml:space="preserve"> el servidor público, tendrá cinco (5) días para manifestar si acepta o no la causal invocada.</w:t>
      </w:r>
    </w:p>
    <w:p w14:paraId="3AF21859" w14:textId="77777777" w:rsidR="00542032" w:rsidRPr="00542032" w:rsidRDefault="00542032" w:rsidP="00542032">
      <w:pPr>
        <w:jc w:val="both"/>
        <w:rPr>
          <w:rFonts w:ascii="Verdana" w:hAnsi="Verdana"/>
          <w:sz w:val="22"/>
          <w:szCs w:val="22"/>
        </w:rPr>
      </w:pPr>
      <w:r w:rsidRPr="00542032">
        <w:rPr>
          <w:rFonts w:ascii="Verdana" w:hAnsi="Verdana"/>
          <w:sz w:val="22"/>
          <w:szCs w:val="22"/>
        </w:rPr>
        <w:t xml:space="preserve">El Instituto Colombiano de Bienestar Familiar, en el marco del Proceso de Gestión del Talento Humano, emitió la Guía para el manejo de conflicto de intereses G3.GTH, el 6 de diciembre de 2016, la cual establece los principios y políticas para la detección, prevención y administración de potenciales conflictos de interés derivados del desarrollo de todas las actividades del Instituto y se aplica </w:t>
      </w:r>
      <w:r w:rsidRPr="00542032">
        <w:rPr>
          <w:rFonts w:ascii="Verdana" w:hAnsi="Verdana"/>
          <w:sz w:val="22"/>
          <w:szCs w:val="22"/>
        </w:rPr>
        <w:lastRenderedPageBreak/>
        <w:t>a todos los servidores públicos, contratistas y colaboradores dentro y fuera del Instituto Colombiano de Bienestar Familiar, que interactúen con la entidad.</w:t>
      </w:r>
    </w:p>
    <w:p w14:paraId="749CE46C" w14:textId="77777777" w:rsidR="00542032" w:rsidRPr="00542032" w:rsidRDefault="00542032" w:rsidP="00542032">
      <w:pPr>
        <w:jc w:val="both"/>
        <w:rPr>
          <w:rFonts w:ascii="Verdana" w:hAnsi="Verdana"/>
          <w:sz w:val="22"/>
          <w:szCs w:val="22"/>
        </w:rPr>
      </w:pPr>
      <w:r w:rsidRPr="00542032">
        <w:rPr>
          <w:rFonts w:ascii="Verdana" w:hAnsi="Verdana"/>
          <w:b/>
          <w:bCs/>
          <w:sz w:val="22"/>
          <w:szCs w:val="22"/>
          <w:u w:val="single"/>
        </w:rPr>
        <w:t>3.2. El proceso administrativo de restablecimiento de derechos</w:t>
      </w:r>
    </w:p>
    <w:p w14:paraId="41F3F81F" w14:textId="77777777" w:rsidR="00542032" w:rsidRPr="00542032" w:rsidRDefault="00542032" w:rsidP="00542032">
      <w:pPr>
        <w:jc w:val="both"/>
        <w:rPr>
          <w:rFonts w:ascii="Verdana" w:hAnsi="Verdana"/>
          <w:sz w:val="22"/>
          <w:szCs w:val="22"/>
        </w:rPr>
      </w:pPr>
      <w:r w:rsidRPr="00542032">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4782A4E3" w14:textId="77777777" w:rsidR="00542032" w:rsidRPr="00542032" w:rsidRDefault="00542032" w:rsidP="00542032">
      <w:pPr>
        <w:jc w:val="both"/>
        <w:rPr>
          <w:rFonts w:ascii="Verdana" w:hAnsi="Verdana"/>
          <w:sz w:val="22"/>
          <w:szCs w:val="22"/>
        </w:rPr>
      </w:pPr>
      <w:r w:rsidRPr="00542032">
        <w:rPr>
          <w:rFonts w:ascii="Verdana" w:hAnsi="Verdana"/>
          <w:sz w:val="22"/>
          <w:szCs w:val="22"/>
        </w:rPr>
        <w:t>En efecto, dicho proceso constituye un instrumento fundamental para la realización de los mandatos constitucionales y para la operatividad del Código de la Infancia y la Adolescencia. En este, se establecen normas sustantivas y procesales de naturaleza especial y que responden al interés superior de los sujetos de derechos que pretende proteger, y en todo caso está sujeto a las normas generales y superiores de respeto al debido proceso. Así lo ha manifestado la Corte Constitucional:</w:t>
      </w:r>
    </w:p>
    <w:p w14:paraId="79FC7A51"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"El debido proceso en los asuntos administrativos, implica entonces que el Estado se sujete a las reglas definidas en el ordenamiento jurídico, con el fin de evitar que la suerte del particular quede en manos del ente administrativo. Por lo cual, todo acto arbitrario, por ejemplo, entendido por tal el que se aparta de las normas aplicables para realizar su propia voluntad, implica violación del debido proceso.</w:t>
      </w:r>
    </w:p>
    <w:p w14:paraId="65ED7E2B" w14:textId="0B9D5539" w:rsidR="00542032" w:rsidRPr="00542032" w:rsidRDefault="00542032" w:rsidP="00542032">
      <w:pPr>
        <w:jc w:val="both"/>
        <w:rPr>
          <w:rFonts w:ascii="Verdana" w:hAnsi="Verdana"/>
          <w:sz w:val="22"/>
          <w:szCs w:val="22"/>
        </w:rPr>
      </w:pPr>
      <w:r w:rsidRPr="00542032">
        <w:rPr>
          <w:rFonts w:ascii="Verdana" w:hAnsi="Verdana"/>
          <w:i/>
          <w:iCs/>
          <w:sz w:val="22"/>
          <w:szCs w:val="22"/>
        </w:rPr>
        <w:t>En consonancia con lo anterior, es necesario señalar que el respeto a las garantías sustanciales y procesales que informan el debido proceso constitucional, son aplicables al proceso administrativo de restablecimiento de derechos de los niños, niñas y adolescentes, en cuanto se debe observar el principio de legalidad, el juez natural o legal (autoridad administrativa competente), la favorabilidad, la presunción de inocencia, el derecho a la defensa (que se materializa en el derecho a ser oído y a intervenir en el proceso, directamente o a través de abogado, a presentar y controvertir pruebas, y a interponer recursos contra la decisión que se tome) y el debido proceso sin dilaciones injustificadas. Adicionalmente, el proceso administrativo de restablecimiento de derechos debe cumplir con los principios de igualdad, moralidad, eficacia, economía, celeridad, imparcialidad y publicidad, que orientan las actuaciones administrativas en acatamiento del artículo 209 </w:t>
      </w:r>
      <w:proofErr w:type="spellStart"/>
      <w:r w:rsidRPr="00542032">
        <w:rPr>
          <w:rFonts w:ascii="Verdana" w:hAnsi="Verdana"/>
          <w:i/>
          <w:iCs/>
          <w:sz w:val="22"/>
          <w:szCs w:val="22"/>
        </w:rPr>
        <w:t>ibídem</w:t>
      </w:r>
      <w:proofErr w:type="spellEnd"/>
      <w:r w:rsidRPr="00542032">
        <w:rPr>
          <w:rFonts w:ascii="Verdana" w:hAnsi="Verdana"/>
          <w:i/>
          <w:iCs/>
          <w:sz w:val="22"/>
          <w:szCs w:val="22"/>
        </w:rPr>
        <w:t>.</w:t>
      </w:r>
    </w:p>
    <w:p w14:paraId="630E247D"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2.6.2. Entonces, el proceso de restablecimiento de derechos es definido como un trámite administrativo que debe ceñirse a los postulados constitucionales y legales que iluminan el derecho fundamental al debido proceso”.</w:t>
      </w:r>
      <w:r w:rsidRPr="00542032">
        <w:rPr>
          <w:rFonts w:ascii="Verdana" w:hAnsi="Verdana"/>
          <w:i/>
          <w:iCs/>
          <w:sz w:val="22"/>
          <w:szCs w:val="22"/>
          <w:vertAlign w:val="superscript"/>
        </w:rPr>
        <w:t>[5]</w:t>
      </w:r>
    </w:p>
    <w:p w14:paraId="309ACCB1" w14:textId="73177657" w:rsidR="00542032" w:rsidRPr="00542032" w:rsidRDefault="00542032" w:rsidP="00542032">
      <w:pPr>
        <w:jc w:val="both"/>
        <w:rPr>
          <w:rFonts w:ascii="Verdana" w:hAnsi="Verdana"/>
          <w:sz w:val="22"/>
          <w:szCs w:val="22"/>
        </w:rPr>
      </w:pPr>
      <w:r w:rsidRPr="00542032">
        <w:rPr>
          <w:rFonts w:ascii="Verdana" w:hAnsi="Verdana"/>
          <w:sz w:val="22"/>
          <w:szCs w:val="22"/>
        </w:rPr>
        <w:lastRenderedPageBreak/>
        <w:t>En atención a lo anterior, el proceso administrativo de restablecimiento de derechos, se rige por los principios de la función administrativa del artículo 209 Constitucional y se tramita de acuerdo con las normas especiales del Código de la Infancia y la Adolescencia y en algunos asuntos a las normas procesales propias de los juicios civiles, tales como las notificaciones, y recursos, los cuales se adelantan de acuerdo con lo establecido en Código General del Proceso, dada la naturaleza de los mismos y la definición del propio legislador.</w:t>
      </w:r>
    </w:p>
    <w:p w14:paraId="3DAB70C0" w14:textId="77777777" w:rsidR="00542032" w:rsidRPr="00542032" w:rsidRDefault="00542032" w:rsidP="00542032">
      <w:pPr>
        <w:jc w:val="both"/>
        <w:rPr>
          <w:rFonts w:ascii="Verdana" w:hAnsi="Verdana"/>
          <w:sz w:val="22"/>
          <w:szCs w:val="22"/>
        </w:rPr>
      </w:pPr>
      <w:r w:rsidRPr="00542032">
        <w:rPr>
          <w:rFonts w:ascii="Verdana" w:hAnsi="Verdana"/>
          <w:b/>
          <w:bCs/>
          <w:sz w:val="22"/>
          <w:szCs w:val="22"/>
          <w:u w:val="single"/>
        </w:rPr>
        <w:t>3.3. Caso Concreto</w:t>
      </w:r>
    </w:p>
    <w:p w14:paraId="75115668" w14:textId="77777777" w:rsidR="00542032" w:rsidRPr="00542032" w:rsidRDefault="00542032" w:rsidP="00542032">
      <w:pPr>
        <w:jc w:val="both"/>
        <w:rPr>
          <w:rFonts w:ascii="Verdana" w:hAnsi="Verdana"/>
          <w:sz w:val="22"/>
          <w:szCs w:val="22"/>
        </w:rPr>
      </w:pPr>
      <w:r w:rsidRPr="00542032">
        <w:rPr>
          <w:rFonts w:ascii="Verdana" w:hAnsi="Verdana"/>
          <w:sz w:val="22"/>
          <w:szCs w:val="22"/>
        </w:rPr>
        <w:t>La Coordinadora de Autoridades Administrativas presenta los siguientes interrogantes, los cuales, de acuerdo con el marco jurídico expuesto, se entran a resolver, así:</w:t>
      </w:r>
    </w:p>
    <w:p w14:paraId="352CB9C2"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“1) ¿El ICBF tiene la facultad para emitir una resolución que regule lo relacionado con impedimentos y recusaciones de Defensores de Familia, tal como lo hacía el ya derogado Estatuto del Defensor de Familia?</w:t>
      </w:r>
    </w:p>
    <w:p w14:paraId="0FDF2990"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2) En caso de ser negativa la respuesta, ¿en los eventos en que se presenten solicitudes de impedimentos y recusaciones, qué trámite se debe adelantar y con base en qué normatividad?</w:t>
      </w:r>
    </w:p>
    <w:p w14:paraId="7F4A23DE" w14:textId="77777777" w:rsidR="00542032" w:rsidRPr="00542032" w:rsidRDefault="00542032" w:rsidP="00542032">
      <w:pPr>
        <w:jc w:val="both"/>
        <w:rPr>
          <w:rFonts w:ascii="Verdana" w:hAnsi="Verdana"/>
          <w:sz w:val="22"/>
          <w:szCs w:val="22"/>
        </w:rPr>
      </w:pPr>
      <w:r w:rsidRPr="00542032">
        <w:rPr>
          <w:rFonts w:ascii="Verdana" w:hAnsi="Verdana"/>
          <w:i/>
          <w:iCs/>
          <w:sz w:val="22"/>
          <w:szCs w:val="22"/>
        </w:rPr>
        <w:t>3) Si de la respuesta anterior se colige que debe aplicarse lo establecido en Código General del Proceso ¿cómo debe aplicarse estas disposiciones frente a la estructura del ICBF y las particularidades del Proceso Administrativo de Restablecimiento de Derechos?"</w:t>
      </w:r>
    </w:p>
    <w:p w14:paraId="5A4F0271" w14:textId="6E7D7329" w:rsidR="00542032" w:rsidRPr="00542032" w:rsidRDefault="00542032" w:rsidP="00542032">
      <w:pPr>
        <w:jc w:val="both"/>
        <w:rPr>
          <w:rFonts w:ascii="Verdana" w:hAnsi="Verdana"/>
          <w:sz w:val="22"/>
          <w:szCs w:val="22"/>
        </w:rPr>
      </w:pPr>
      <w:r w:rsidRPr="00542032">
        <w:rPr>
          <w:rFonts w:ascii="Verdana" w:hAnsi="Verdana"/>
          <w:sz w:val="22"/>
          <w:szCs w:val="22"/>
        </w:rPr>
        <w:t>En materia del proceso administrativo de restablecimiento de derechos, el Código de la Infancia y la Adolescencia no contiene normas respecto de los impedimentos y recusaciones de la autoridad administrativa competente, por lo cual y en virtud de que los impedimentos y recusaciones tienen la capacidad de alterar o modificar la competencia, y tienen relación directa con la garantía de la imparcialidad e independencia de dicha autoridad, se considera que las normas aplicables son las contenidas en los artículo 11 y 12 del CPACA y la Guía para el manejo de conflicto de intereses G3.GTH, el 6 de diciembre de 2016, expedida por el ICBF.</w:t>
      </w:r>
    </w:p>
    <w:p w14:paraId="241DA090" w14:textId="57075B89" w:rsidR="00542032" w:rsidRPr="00542032" w:rsidRDefault="00542032" w:rsidP="00542032">
      <w:pPr>
        <w:jc w:val="both"/>
        <w:rPr>
          <w:rFonts w:ascii="Verdana" w:hAnsi="Verdana"/>
          <w:sz w:val="22"/>
          <w:szCs w:val="22"/>
        </w:rPr>
      </w:pPr>
      <w:r w:rsidRPr="00542032">
        <w:rPr>
          <w:rFonts w:ascii="Verdana" w:hAnsi="Verdana"/>
          <w:sz w:val="22"/>
          <w:szCs w:val="22"/>
        </w:rPr>
        <w:t>Lo anterior, dado que el Defensor de Familia es un servidor público vinculado a la planta global del ICBF, cuyas actuaciones se rigen por los principios establecidos en el artículo 209 constitucional y los propios del Código de la Infancia y la Adolescencia.</w:t>
      </w:r>
    </w:p>
    <w:p w14:paraId="1FA5834A" w14:textId="77777777" w:rsidR="00542032" w:rsidRPr="00542032" w:rsidRDefault="00542032" w:rsidP="00542032">
      <w:pPr>
        <w:jc w:val="both"/>
        <w:rPr>
          <w:rFonts w:ascii="Verdana" w:hAnsi="Verdana"/>
          <w:sz w:val="22"/>
          <w:szCs w:val="22"/>
        </w:rPr>
      </w:pPr>
      <w:r w:rsidRPr="00542032">
        <w:rPr>
          <w:rFonts w:ascii="Verdana" w:hAnsi="Verdana"/>
          <w:sz w:val="22"/>
          <w:szCs w:val="22"/>
        </w:rPr>
        <w:t xml:space="preserve">En dicha medida, se considera que no es necesario ni procedente expedir un procedimiento diferente para el trámite de impedimentos y recusaciones para los Defensores de Familia, pues existen normas aplicables de manera directa, </w:t>
      </w:r>
      <w:r w:rsidRPr="00542032">
        <w:rPr>
          <w:rFonts w:ascii="Verdana" w:hAnsi="Verdana"/>
          <w:sz w:val="22"/>
          <w:szCs w:val="22"/>
        </w:rPr>
        <w:lastRenderedPageBreak/>
        <w:t>que establecen tanto las causales como el procedimiento a adelantar ante el superior administrativo de la entidad de acuerdo con la estructura organizacional.</w:t>
      </w:r>
    </w:p>
    <w:p w14:paraId="2BAA7298" w14:textId="34B03F17" w:rsidR="00542032" w:rsidRPr="00542032" w:rsidRDefault="00542032" w:rsidP="00542032">
      <w:pPr>
        <w:jc w:val="both"/>
        <w:rPr>
          <w:rFonts w:ascii="Verdana" w:hAnsi="Verdana"/>
          <w:sz w:val="22"/>
          <w:szCs w:val="22"/>
        </w:rPr>
      </w:pPr>
      <w:r w:rsidRPr="00542032">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4FAFA59" w14:textId="77777777" w:rsidR="00542032" w:rsidRPr="00542032" w:rsidRDefault="00542032" w:rsidP="00542032">
      <w:pPr>
        <w:jc w:val="both"/>
        <w:rPr>
          <w:rFonts w:ascii="Verdana" w:hAnsi="Verdana"/>
          <w:sz w:val="22"/>
          <w:szCs w:val="22"/>
        </w:rPr>
      </w:pPr>
      <w:r w:rsidRPr="00542032">
        <w:rPr>
          <w:rFonts w:ascii="Verdana" w:hAnsi="Verdana"/>
          <w:sz w:val="22"/>
          <w:szCs w:val="22"/>
        </w:rPr>
        <w:t>Cordialmente,</w:t>
      </w:r>
    </w:p>
    <w:p w14:paraId="6B630CF5" w14:textId="77777777" w:rsidR="00542032" w:rsidRPr="00542032" w:rsidRDefault="00542032" w:rsidP="00542032">
      <w:pPr>
        <w:jc w:val="both"/>
        <w:rPr>
          <w:rFonts w:ascii="Verdana" w:hAnsi="Verdana"/>
          <w:sz w:val="22"/>
          <w:szCs w:val="22"/>
        </w:rPr>
      </w:pPr>
      <w:r w:rsidRPr="00542032">
        <w:rPr>
          <w:rFonts w:ascii="Verdana" w:hAnsi="Verdana"/>
          <w:b/>
          <w:bCs/>
          <w:sz w:val="22"/>
          <w:szCs w:val="22"/>
        </w:rPr>
        <w:t>LUZ KARIME FERNANDEZ CASTILLO</w:t>
      </w:r>
    </w:p>
    <w:p w14:paraId="51F51108" w14:textId="77777777" w:rsidR="00542032" w:rsidRDefault="00542032" w:rsidP="00542032">
      <w:pPr>
        <w:jc w:val="both"/>
        <w:rPr>
          <w:rFonts w:ascii="Verdana" w:hAnsi="Verdana"/>
          <w:sz w:val="22"/>
          <w:szCs w:val="22"/>
        </w:rPr>
      </w:pPr>
      <w:r w:rsidRPr="00542032">
        <w:rPr>
          <w:rFonts w:ascii="Verdana" w:hAnsi="Verdana"/>
          <w:sz w:val="22"/>
          <w:szCs w:val="22"/>
        </w:rPr>
        <w:t>Jefe Oficina Asesora Jurídica</w:t>
      </w:r>
    </w:p>
    <w:p w14:paraId="7309838B" w14:textId="77777777" w:rsidR="00542032" w:rsidRDefault="00542032" w:rsidP="00542032">
      <w:pPr>
        <w:jc w:val="both"/>
        <w:rPr>
          <w:rFonts w:ascii="Verdana" w:hAnsi="Verdana"/>
          <w:sz w:val="22"/>
          <w:szCs w:val="22"/>
        </w:rPr>
      </w:pPr>
    </w:p>
    <w:p w14:paraId="10BC87EA" w14:textId="7E162B93" w:rsidR="00542032" w:rsidRPr="00542032" w:rsidRDefault="00542032" w:rsidP="00542032">
      <w:pPr>
        <w:jc w:val="both"/>
        <w:rPr>
          <w:rFonts w:ascii="Verdana" w:hAnsi="Verdana"/>
          <w:b/>
          <w:bCs/>
          <w:sz w:val="22"/>
          <w:szCs w:val="22"/>
        </w:rPr>
      </w:pPr>
      <w:r w:rsidRPr="00542032">
        <w:rPr>
          <w:rFonts w:ascii="Verdana" w:hAnsi="Verdana"/>
          <w:b/>
          <w:bCs/>
          <w:sz w:val="22"/>
          <w:szCs w:val="22"/>
        </w:rPr>
        <w:t>Notas pie de página:</w:t>
      </w:r>
    </w:p>
    <w:p w14:paraId="419B4DD4" w14:textId="77777777" w:rsidR="00542032" w:rsidRPr="00542032" w:rsidRDefault="00542032" w:rsidP="00542032">
      <w:pPr>
        <w:jc w:val="both"/>
        <w:rPr>
          <w:rFonts w:ascii="Verdana" w:hAnsi="Verdana"/>
          <w:sz w:val="22"/>
          <w:szCs w:val="22"/>
        </w:rPr>
      </w:pPr>
      <w:r w:rsidRPr="00542032">
        <w:rPr>
          <w:rFonts w:ascii="Verdana" w:hAnsi="Verdana"/>
          <w:sz w:val="22"/>
          <w:szCs w:val="22"/>
        </w:rPr>
        <w:t>1. Sobre este principio ha manifestado la Corte Constitucional: “Por regla general, corresponde al legislador en aquellos casos en que el Constituyente no lo haya hecho, asignar competencia a los distintos entes u órganos del Estado. Una vez definida la competencia es posible determinar cuál es el funcionario a quien le corresponde conocer o tramitar un asunto específico. La competencia se fija de acuerdo con distintos factores, a saber: la naturaleza o materia del proceso y la cuantía (factor objetivo), la calidad de las partes que intervienen en el proceso (factor subjetivo), la naturaleza de la función que desempeña el funcionario que debe resolver el proceso (factor funcional), el lugar donde debe tramitarse el proceso (factor territorial), el factor de conexidad.</w:t>
      </w:r>
    </w:p>
    <w:p w14:paraId="7E058365" w14:textId="77777777" w:rsidR="00542032" w:rsidRPr="00542032" w:rsidRDefault="00542032" w:rsidP="00542032">
      <w:pPr>
        <w:jc w:val="both"/>
        <w:rPr>
          <w:rFonts w:ascii="Verdana" w:hAnsi="Verdana"/>
          <w:sz w:val="22"/>
          <w:szCs w:val="22"/>
        </w:rPr>
      </w:pPr>
      <w:r w:rsidRPr="00542032">
        <w:rPr>
          <w:rFonts w:ascii="Verdana" w:hAnsi="Verdana"/>
          <w:sz w:val="22"/>
          <w:szCs w:val="22"/>
        </w:rPr>
        <w:t xml:space="preserve">La competencia debe tener las siguientes calidades: legalidad, pues debe ser fijada por la ley; imperatividad, lo que significa que no es derogable por la voluntad de las partes, </w:t>
      </w:r>
      <w:proofErr w:type="spellStart"/>
      <w:r w:rsidRPr="00542032">
        <w:rPr>
          <w:rFonts w:ascii="Verdana" w:hAnsi="Verdana"/>
          <w:sz w:val="22"/>
          <w:szCs w:val="22"/>
        </w:rPr>
        <w:t>inmodificabilidad</w:t>
      </w:r>
      <w:proofErr w:type="spellEnd"/>
      <w:r w:rsidRPr="00542032">
        <w:rPr>
          <w:rFonts w:ascii="Verdana" w:hAnsi="Verdana"/>
          <w:sz w:val="22"/>
          <w:szCs w:val="22"/>
        </w:rPr>
        <w:t xml:space="preserve"> </w:t>
      </w:r>
      <w:proofErr w:type="spellStart"/>
      <w:r w:rsidRPr="00542032">
        <w:rPr>
          <w:rFonts w:ascii="Verdana" w:hAnsi="Verdana"/>
          <w:sz w:val="22"/>
          <w:szCs w:val="22"/>
        </w:rPr>
        <w:t>por que</w:t>
      </w:r>
      <w:proofErr w:type="spellEnd"/>
      <w:r w:rsidRPr="00542032">
        <w:rPr>
          <w:rFonts w:ascii="Verdana" w:hAnsi="Verdana"/>
          <w:sz w:val="22"/>
          <w:szCs w:val="22"/>
        </w:rPr>
        <w:t xml:space="preserve"> no se puede variar en el curso de un proceso (</w:t>
      </w:r>
      <w:proofErr w:type="spellStart"/>
      <w:r w:rsidRPr="00542032">
        <w:rPr>
          <w:rFonts w:ascii="Verdana" w:hAnsi="Verdana"/>
          <w:sz w:val="22"/>
          <w:szCs w:val="22"/>
        </w:rPr>
        <w:t>perpetuatio</w:t>
      </w:r>
      <w:proofErr w:type="spellEnd"/>
      <w:r w:rsidRPr="00542032">
        <w:rPr>
          <w:rFonts w:ascii="Verdana" w:hAnsi="Verdana"/>
          <w:sz w:val="22"/>
          <w:szCs w:val="22"/>
        </w:rPr>
        <w:t xml:space="preserve"> </w:t>
      </w:r>
      <w:proofErr w:type="spellStart"/>
      <w:r w:rsidRPr="00542032">
        <w:rPr>
          <w:rFonts w:ascii="Verdana" w:hAnsi="Verdana"/>
          <w:sz w:val="22"/>
          <w:szCs w:val="22"/>
        </w:rPr>
        <w:t>jurisdictionis</w:t>
      </w:r>
      <w:proofErr w:type="spellEnd"/>
      <w:r w:rsidRPr="00542032">
        <w:rPr>
          <w:rFonts w:ascii="Verdana" w:hAnsi="Verdana"/>
          <w:sz w:val="22"/>
          <w:szCs w:val="22"/>
        </w:rPr>
        <w:t xml:space="preserve">), la </w:t>
      </w:r>
      <w:proofErr w:type="spellStart"/>
      <w:r w:rsidRPr="00542032">
        <w:rPr>
          <w:rFonts w:ascii="Verdana" w:hAnsi="Verdana"/>
          <w:sz w:val="22"/>
          <w:szCs w:val="22"/>
        </w:rPr>
        <w:t>indelegabilidad</w:t>
      </w:r>
      <w:proofErr w:type="spellEnd"/>
      <w:r w:rsidRPr="00542032">
        <w:rPr>
          <w:rFonts w:ascii="Verdana" w:hAnsi="Verdana"/>
          <w:sz w:val="22"/>
          <w:szCs w:val="22"/>
        </w:rPr>
        <w:t>, ya que no puede ser delegada por quien la detenta; y es de orden público puesto que se funda en principios de interés general"</w:t>
      </w:r>
      <w:r w:rsidRPr="00542032">
        <w:rPr>
          <w:rFonts w:ascii="Verdana" w:hAnsi="Verdana"/>
          <w:i/>
          <w:iCs/>
          <w:sz w:val="22"/>
          <w:szCs w:val="22"/>
        </w:rPr>
        <w:t> Sentencia C -655 de 1997.</w:t>
      </w:r>
    </w:p>
    <w:p w14:paraId="348EC18A" w14:textId="77777777" w:rsidR="00542032" w:rsidRPr="00542032" w:rsidRDefault="00542032" w:rsidP="00542032">
      <w:pPr>
        <w:jc w:val="both"/>
        <w:rPr>
          <w:rFonts w:ascii="Verdana" w:hAnsi="Verdana"/>
          <w:sz w:val="22"/>
          <w:szCs w:val="22"/>
          <w:lang w:val="pt-PT"/>
        </w:rPr>
      </w:pPr>
      <w:r w:rsidRPr="00542032">
        <w:rPr>
          <w:rFonts w:ascii="Verdana" w:hAnsi="Verdana"/>
          <w:sz w:val="22"/>
          <w:szCs w:val="22"/>
          <w:lang w:val="pt-PT"/>
        </w:rPr>
        <w:t>2. Corte Constitucional Sentencia C-881 de 2011.</w:t>
      </w:r>
    </w:p>
    <w:p w14:paraId="63A38ABF" w14:textId="26D19D31" w:rsidR="00542032" w:rsidRPr="00542032" w:rsidRDefault="00542032" w:rsidP="00542032">
      <w:pPr>
        <w:jc w:val="both"/>
        <w:rPr>
          <w:rFonts w:ascii="Verdana" w:hAnsi="Verdana"/>
          <w:sz w:val="22"/>
          <w:szCs w:val="22"/>
        </w:rPr>
      </w:pPr>
      <w:r w:rsidRPr="00542032">
        <w:rPr>
          <w:rFonts w:ascii="Verdana" w:hAnsi="Verdana"/>
          <w:sz w:val="22"/>
          <w:szCs w:val="22"/>
        </w:rPr>
        <w:t>3. Artículo 3 numeral 3.</w:t>
      </w:r>
    </w:p>
    <w:p w14:paraId="140EA365" w14:textId="6E4666CF" w:rsidR="00542032" w:rsidRPr="00542032" w:rsidRDefault="00542032" w:rsidP="00542032">
      <w:pPr>
        <w:jc w:val="both"/>
        <w:rPr>
          <w:rFonts w:ascii="Verdana" w:hAnsi="Verdana"/>
          <w:sz w:val="22"/>
          <w:szCs w:val="22"/>
        </w:rPr>
      </w:pPr>
      <w:r w:rsidRPr="00542032">
        <w:rPr>
          <w:rFonts w:ascii="Verdana" w:hAnsi="Verdana"/>
          <w:sz w:val="22"/>
          <w:szCs w:val="22"/>
        </w:rPr>
        <w:lastRenderedPageBreak/>
        <w:t>4. Sobre el particular el artículo 141 establece las causales de recusación y el artículo 140 el deber de los jueces, magistrados y conjueces de declarase impedidos cuando adviertan la existencia de alguna de ellas.</w:t>
      </w:r>
    </w:p>
    <w:p w14:paraId="109F23A6" w14:textId="77777777" w:rsidR="00542032" w:rsidRPr="00542032" w:rsidRDefault="00542032" w:rsidP="00542032">
      <w:pPr>
        <w:jc w:val="both"/>
        <w:rPr>
          <w:rFonts w:ascii="Verdana" w:hAnsi="Verdana"/>
          <w:sz w:val="22"/>
          <w:szCs w:val="22"/>
        </w:rPr>
      </w:pPr>
      <w:r w:rsidRPr="00542032">
        <w:rPr>
          <w:rFonts w:ascii="Verdana" w:hAnsi="Verdana"/>
          <w:sz w:val="22"/>
          <w:szCs w:val="22"/>
        </w:rPr>
        <w:t>5. Sentencia T-768 de 2013</w:t>
      </w:r>
    </w:p>
    <w:p w14:paraId="020F0CF2" w14:textId="77777777" w:rsidR="00542032" w:rsidRPr="00542032" w:rsidRDefault="00542032" w:rsidP="00542032">
      <w:pPr>
        <w:jc w:val="both"/>
      </w:pPr>
    </w:p>
    <w:sectPr w:rsidR="00542032" w:rsidRPr="005420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032"/>
    <w:rsid w:val="00422937"/>
    <w:rsid w:val="00542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D085"/>
  <w15:chartTrackingRefBased/>
  <w15:docId w15:val="{EFE9396E-1C54-4C3E-A610-EE7AB805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2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2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20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20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20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20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20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20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20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0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20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20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20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20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20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20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20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2032"/>
    <w:rPr>
      <w:rFonts w:eastAsiaTheme="majorEastAsia" w:cstheme="majorBidi"/>
      <w:color w:val="272727" w:themeColor="text1" w:themeTint="D8"/>
    </w:rPr>
  </w:style>
  <w:style w:type="paragraph" w:styleId="Ttulo">
    <w:name w:val="Title"/>
    <w:basedOn w:val="Normal"/>
    <w:next w:val="Normal"/>
    <w:link w:val="TtuloCar"/>
    <w:uiPriority w:val="10"/>
    <w:qFormat/>
    <w:rsid w:val="00542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20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20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20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2032"/>
    <w:pPr>
      <w:spacing w:before="160"/>
      <w:jc w:val="center"/>
    </w:pPr>
    <w:rPr>
      <w:i/>
      <w:iCs/>
      <w:color w:val="404040" w:themeColor="text1" w:themeTint="BF"/>
    </w:rPr>
  </w:style>
  <w:style w:type="character" w:customStyle="1" w:styleId="CitaCar">
    <w:name w:val="Cita Car"/>
    <w:basedOn w:val="Fuentedeprrafopredeter"/>
    <w:link w:val="Cita"/>
    <w:uiPriority w:val="29"/>
    <w:rsid w:val="00542032"/>
    <w:rPr>
      <w:i/>
      <w:iCs/>
      <w:color w:val="404040" w:themeColor="text1" w:themeTint="BF"/>
    </w:rPr>
  </w:style>
  <w:style w:type="paragraph" w:styleId="Prrafodelista">
    <w:name w:val="List Paragraph"/>
    <w:basedOn w:val="Normal"/>
    <w:uiPriority w:val="34"/>
    <w:qFormat/>
    <w:rsid w:val="00542032"/>
    <w:pPr>
      <w:ind w:left="720"/>
      <w:contextualSpacing/>
    </w:pPr>
  </w:style>
  <w:style w:type="character" w:styleId="nfasisintenso">
    <w:name w:val="Intense Emphasis"/>
    <w:basedOn w:val="Fuentedeprrafopredeter"/>
    <w:uiPriority w:val="21"/>
    <w:qFormat/>
    <w:rsid w:val="00542032"/>
    <w:rPr>
      <w:i/>
      <w:iCs/>
      <w:color w:val="0F4761" w:themeColor="accent1" w:themeShade="BF"/>
    </w:rPr>
  </w:style>
  <w:style w:type="paragraph" w:styleId="Citadestacada">
    <w:name w:val="Intense Quote"/>
    <w:basedOn w:val="Normal"/>
    <w:next w:val="Normal"/>
    <w:link w:val="CitadestacadaCar"/>
    <w:uiPriority w:val="30"/>
    <w:qFormat/>
    <w:rsid w:val="00542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2032"/>
    <w:rPr>
      <w:i/>
      <w:iCs/>
      <w:color w:val="0F4761" w:themeColor="accent1" w:themeShade="BF"/>
    </w:rPr>
  </w:style>
  <w:style w:type="character" w:styleId="Referenciaintensa">
    <w:name w:val="Intense Reference"/>
    <w:basedOn w:val="Fuentedeprrafopredeter"/>
    <w:uiPriority w:val="32"/>
    <w:qFormat/>
    <w:rsid w:val="00542032"/>
    <w:rPr>
      <w:b/>
      <w:bCs/>
      <w:smallCaps/>
      <w:color w:val="0F4761" w:themeColor="accent1" w:themeShade="BF"/>
      <w:spacing w:val="5"/>
    </w:rPr>
  </w:style>
  <w:style w:type="character" w:styleId="Hipervnculo">
    <w:name w:val="Hyperlink"/>
    <w:basedOn w:val="Fuentedeprrafopredeter"/>
    <w:uiPriority w:val="99"/>
    <w:unhideWhenUsed/>
    <w:rsid w:val="00542032"/>
    <w:rPr>
      <w:color w:val="467886" w:themeColor="hyperlink"/>
      <w:u w:val="single"/>
    </w:rPr>
  </w:style>
  <w:style w:type="character" w:styleId="Mencinsinresolver">
    <w:name w:val="Unresolved Mention"/>
    <w:basedOn w:val="Fuentedeprrafopredeter"/>
    <w:uiPriority w:val="99"/>
    <w:semiHidden/>
    <w:unhideWhenUsed/>
    <w:rsid w:val="0054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0F2C8-6650-4D3C-A1C8-72D8CA6C24CB}"/>
</file>

<file path=customXml/itemProps2.xml><?xml version="1.0" encoding="utf-8"?>
<ds:datastoreItem xmlns:ds="http://schemas.openxmlformats.org/officeDocument/2006/customXml" ds:itemID="{504CFA42-E0D8-4BAC-B4ED-8F79FAF97CB8}"/>
</file>

<file path=customXml/itemProps3.xml><?xml version="1.0" encoding="utf-8"?>
<ds:datastoreItem xmlns:ds="http://schemas.openxmlformats.org/officeDocument/2006/customXml" ds:itemID="{19208D4B-8AE5-492C-B8FC-41A60AF92D62}"/>
</file>

<file path=docProps/app.xml><?xml version="1.0" encoding="utf-8"?>
<Properties xmlns="http://schemas.openxmlformats.org/officeDocument/2006/extended-properties" xmlns:vt="http://schemas.openxmlformats.org/officeDocument/2006/docPropsVTypes">
  <Template>Normal</Template>
  <TotalTime>1</TotalTime>
  <Pages>9</Pages>
  <Words>3109</Words>
  <Characters>17105</Characters>
  <Application>Microsoft Office Word</Application>
  <DocSecurity>0</DocSecurity>
  <Lines>142</Lines>
  <Paragraphs>40</Paragraphs>
  <ScaleCrop>false</ScaleCrop>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2026-04-27T15:49:00Z</dcterms:created>
  <dcterms:modified xsi:type="dcterms:W3CDTF">2026-04-27T15:50:00Z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