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04841" w14:textId="4FED7CFB" w:rsidR="00AB47CB" w:rsidRDefault="00B609A6" w:rsidP="3C1C5266">
      <w:pPr>
        <w:spacing w:after="0" w:line="240" w:lineRule="auto"/>
        <w:jc w:val="center"/>
        <w:rPr>
          <w:rFonts w:ascii="Verdana" w:eastAsia="Verdana" w:hAnsi="Verdana" w:cs="Verdana"/>
          <w:b/>
          <w:bCs/>
        </w:rPr>
      </w:pPr>
      <w:r w:rsidRPr="3C1C5266">
        <w:rPr>
          <w:rFonts w:ascii="Verdana" w:eastAsia="Verdana" w:hAnsi="Verdana" w:cs="Verdana"/>
          <w:b/>
          <w:bCs/>
        </w:rPr>
        <w:t>CONCEPTO No. 2 DE 2024</w:t>
      </w:r>
    </w:p>
    <w:p w14:paraId="0F2B5467" w14:textId="77777777" w:rsidR="00B609A6" w:rsidRDefault="00B609A6" w:rsidP="3C1C5266">
      <w:pPr>
        <w:spacing w:after="0" w:line="240" w:lineRule="auto"/>
        <w:jc w:val="center"/>
        <w:rPr>
          <w:rFonts w:ascii="Verdana" w:eastAsia="Verdana" w:hAnsi="Verdana" w:cs="Verdana"/>
          <w:b/>
          <w:bCs/>
        </w:rPr>
      </w:pPr>
    </w:p>
    <w:p w14:paraId="12C1DDDB" w14:textId="17559B19" w:rsidR="00B609A6" w:rsidRDefault="00B609A6" w:rsidP="3C1C5266">
      <w:pPr>
        <w:spacing w:after="0" w:line="240" w:lineRule="auto"/>
        <w:jc w:val="center"/>
        <w:rPr>
          <w:rFonts w:ascii="Verdana" w:eastAsia="Verdana" w:hAnsi="Verdana" w:cs="Verdana"/>
        </w:rPr>
      </w:pPr>
      <w:r w:rsidRPr="3C1C5266">
        <w:rPr>
          <w:rFonts w:ascii="Verdana" w:eastAsia="Verdana" w:hAnsi="Verdana" w:cs="Verdana"/>
        </w:rPr>
        <w:t>(12 de febrero)</w:t>
      </w:r>
    </w:p>
    <w:p w14:paraId="36D22A74" w14:textId="77777777" w:rsidR="00B609A6" w:rsidRDefault="00B609A6" w:rsidP="3C1C5266">
      <w:pPr>
        <w:spacing w:after="0" w:line="240" w:lineRule="auto"/>
        <w:jc w:val="center"/>
        <w:rPr>
          <w:rFonts w:ascii="Verdana" w:eastAsia="Verdana" w:hAnsi="Verdana" w:cs="Verdana"/>
        </w:rPr>
      </w:pPr>
    </w:p>
    <w:p w14:paraId="7C70724B" w14:textId="1B92A630" w:rsidR="00B609A6" w:rsidRPr="00B609A6" w:rsidRDefault="00B609A6" w:rsidP="3C1C5266">
      <w:pPr>
        <w:spacing w:after="0" w:line="240" w:lineRule="auto"/>
        <w:jc w:val="center"/>
        <w:rPr>
          <w:rFonts w:ascii="Verdana" w:eastAsia="Verdana" w:hAnsi="Verdana" w:cs="Verdana"/>
          <w:b/>
          <w:bCs/>
        </w:rPr>
      </w:pPr>
      <w:r w:rsidRPr="3C1C5266">
        <w:rPr>
          <w:rFonts w:ascii="Verdana" w:eastAsia="Verdana" w:hAnsi="Verdana" w:cs="Verdana"/>
          <w:b/>
          <w:bCs/>
        </w:rPr>
        <w:t>INSTITUTO COLOMBIANO DE BIENESTAR FAMILIAR</w:t>
      </w:r>
    </w:p>
    <w:p w14:paraId="2D5B057F" w14:textId="77777777" w:rsidR="00B609A6" w:rsidRPr="00B609A6" w:rsidRDefault="00B609A6" w:rsidP="3C1C5266">
      <w:pPr>
        <w:spacing w:after="0" w:line="240" w:lineRule="auto"/>
        <w:jc w:val="center"/>
        <w:rPr>
          <w:rFonts w:ascii="Verdana" w:eastAsia="Verdana" w:hAnsi="Verdana" w:cs="Verdana"/>
        </w:rPr>
      </w:pPr>
    </w:p>
    <w:p w14:paraId="01904ECB" w14:textId="77777777" w:rsidR="0032589F" w:rsidRPr="00B609A6" w:rsidRDefault="0032589F" w:rsidP="3C1C5266">
      <w:pPr>
        <w:spacing w:after="0" w:line="240" w:lineRule="auto"/>
        <w:jc w:val="both"/>
        <w:rPr>
          <w:rFonts w:ascii="Verdana" w:eastAsia="Verdana" w:hAnsi="Verdana" w:cs="Verdana"/>
          <w:lang w:val="es-CO"/>
        </w:rPr>
      </w:pPr>
    </w:p>
    <w:p w14:paraId="182B6830" w14:textId="369EABA8" w:rsidR="0032589F" w:rsidRPr="00B609A6" w:rsidRDefault="0032589F" w:rsidP="3C1C5266">
      <w:pPr>
        <w:spacing w:after="0" w:line="240" w:lineRule="auto"/>
        <w:rPr>
          <w:rFonts w:ascii="Verdana" w:eastAsia="Verdana" w:hAnsi="Verdana" w:cs="Verdana"/>
          <w:lang w:val="es-CO"/>
        </w:rPr>
      </w:pPr>
      <w:r w:rsidRPr="3C1C5266">
        <w:rPr>
          <w:rFonts w:ascii="Verdana" w:eastAsia="Verdana" w:hAnsi="Verdana" w:cs="Verdana"/>
          <w:b/>
          <w:bCs/>
          <w:lang w:val="es-CO"/>
        </w:rPr>
        <w:t>Asunto:</w:t>
      </w:r>
      <w:r>
        <w:tab/>
      </w:r>
      <w:r w:rsidR="007B3D38" w:rsidRPr="3C1C5266">
        <w:rPr>
          <w:rFonts w:ascii="Verdana" w:eastAsia="Verdana" w:hAnsi="Verdana" w:cs="Verdana"/>
          <w:lang w:val="es-CO"/>
        </w:rPr>
        <w:t>Respuesta Memorando *202337200000009583* Solicitud concepto jurídico</w:t>
      </w:r>
    </w:p>
    <w:p w14:paraId="7CE4128B" w14:textId="77777777" w:rsidR="00AB47CB" w:rsidRPr="00B609A6" w:rsidRDefault="00AB47CB" w:rsidP="3C1C5266">
      <w:pPr>
        <w:spacing w:after="0" w:line="240" w:lineRule="auto"/>
        <w:rPr>
          <w:rFonts w:ascii="Verdana" w:eastAsia="Verdana" w:hAnsi="Verdana" w:cs="Verdana"/>
          <w:b/>
          <w:bCs/>
          <w:lang w:val="es-CO"/>
        </w:rPr>
      </w:pPr>
    </w:p>
    <w:p w14:paraId="66EAFF97" w14:textId="552B784C" w:rsidR="008F0A14" w:rsidRPr="00AB0E9C" w:rsidRDefault="007B3D38" w:rsidP="3C1C5266">
      <w:pPr>
        <w:widowControl w:val="0"/>
        <w:autoSpaceDE w:val="0"/>
        <w:autoSpaceDN w:val="0"/>
        <w:adjustRightInd w:val="0"/>
        <w:spacing w:after="0"/>
        <w:jc w:val="both"/>
        <w:rPr>
          <w:rFonts w:ascii="Verdana" w:eastAsia="Verdana" w:hAnsi="Verdana" w:cs="Verdana"/>
          <w:spacing w:val="-3"/>
          <w:lang w:eastAsia="es-ES"/>
        </w:rPr>
      </w:pPr>
      <w:r w:rsidRPr="3C1C5266">
        <w:rPr>
          <w:rFonts w:ascii="Verdana" w:eastAsia="Verdana" w:hAnsi="Verdana" w:cs="Verdana"/>
          <w:spacing w:val="-3"/>
          <w:lang w:eastAsia="es-ES"/>
        </w:rPr>
        <w:t xml:space="preserve">Atendiendo </w:t>
      </w:r>
      <w:r w:rsidR="008104B0" w:rsidRPr="3C1C5266">
        <w:rPr>
          <w:rFonts w:ascii="Verdana" w:eastAsia="Verdana" w:hAnsi="Verdana" w:cs="Verdana"/>
          <w:spacing w:val="-3"/>
          <w:lang w:eastAsia="es-ES"/>
        </w:rPr>
        <w:t xml:space="preserve">a su consulta formulada mediante oficio bajo radicado </w:t>
      </w:r>
      <w:r w:rsidR="008104B0" w:rsidRPr="3C1C5266">
        <w:rPr>
          <w:rFonts w:ascii="Verdana" w:eastAsia="Verdana" w:hAnsi="Verdana" w:cs="Verdana"/>
        </w:rPr>
        <w:t xml:space="preserve">202337200000009583 del 7 de noviembre de 2023, en cumplimiento de las funciones previstas en el </w:t>
      </w:r>
      <w:r w:rsidR="008F0A14" w:rsidRPr="3C1C5266">
        <w:rPr>
          <w:rFonts w:ascii="Verdana" w:eastAsia="Verdana" w:hAnsi="Verdana" w:cs="Verdana"/>
          <w:spacing w:val="-3"/>
          <w:lang w:eastAsia="es-ES"/>
        </w:rPr>
        <w:t>numeral 4º del artículo 6º del Decreto 987 de 2012, esta Oficina</w:t>
      </w:r>
      <w:r w:rsidR="008104B0" w:rsidRPr="3C1C5266">
        <w:rPr>
          <w:rFonts w:ascii="Verdana" w:eastAsia="Verdana" w:hAnsi="Verdana" w:cs="Verdana"/>
          <w:spacing w:val="-3"/>
          <w:lang w:eastAsia="es-ES"/>
        </w:rPr>
        <w:t xml:space="preserve"> Asesora Jurídica</w:t>
      </w:r>
      <w:r w:rsidR="008F0A14" w:rsidRPr="3C1C5266">
        <w:rPr>
          <w:rFonts w:ascii="Verdana" w:eastAsia="Verdana" w:hAnsi="Verdana" w:cs="Verdana"/>
          <w:spacing w:val="-3"/>
          <w:lang w:eastAsia="es-ES"/>
        </w:rPr>
        <w:t xml:space="preserve"> </w:t>
      </w:r>
      <w:r w:rsidR="008104B0" w:rsidRPr="3C1C5266">
        <w:rPr>
          <w:rFonts w:ascii="Verdana" w:eastAsia="Verdana" w:hAnsi="Verdana" w:cs="Verdana"/>
          <w:spacing w:val="-3"/>
          <w:lang w:eastAsia="es-ES"/>
        </w:rPr>
        <w:t>procede a emitir</w:t>
      </w:r>
      <w:r w:rsidR="008F0A14" w:rsidRPr="3C1C5266">
        <w:rPr>
          <w:rFonts w:ascii="Verdana" w:eastAsia="Verdana" w:hAnsi="Verdana" w:cs="Verdana"/>
          <w:spacing w:val="-3"/>
          <w:lang w:eastAsia="es-ES"/>
        </w:rPr>
        <w:t xml:space="preserve"> </w:t>
      </w:r>
      <w:r w:rsidR="007B5827" w:rsidRPr="3C1C5266">
        <w:rPr>
          <w:rFonts w:ascii="Verdana" w:eastAsia="Verdana" w:hAnsi="Verdana" w:cs="Verdana"/>
          <w:spacing w:val="-3"/>
          <w:lang w:eastAsia="es-ES"/>
        </w:rPr>
        <w:t>concepto</w:t>
      </w:r>
      <w:r w:rsidR="008104B0" w:rsidRPr="3C1C5266">
        <w:rPr>
          <w:rFonts w:ascii="Verdana" w:eastAsia="Verdana" w:hAnsi="Verdana" w:cs="Verdana"/>
          <w:spacing w:val="-3"/>
          <w:lang w:eastAsia="es-ES"/>
        </w:rPr>
        <w:t xml:space="preserve"> </w:t>
      </w:r>
      <w:r w:rsidR="008F0A14" w:rsidRPr="3C1C5266">
        <w:rPr>
          <w:rFonts w:ascii="Verdana" w:eastAsia="Verdana" w:hAnsi="Verdana" w:cs="Verdana"/>
          <w:spacing w:val="-3"/>
          <w:lang w:eastAsia="es-ES"/>
        </w:rPr>
        <w:t>en los siguientes términos:</w:t>
      </w:r>
    </w:p>
    <w:p w14:paraId="694B6BF0" w14:textId="51C88B18" w:rsidR="008F0A14" w:rsidRPr="00AB0E9C" w:rsidRDefault="008F0A14" w:rsidP="3C1C5266">
      <w:pPr>
        <w:widowControl w:val="0"/>
        <w:autoSpaceDE w:val="0"/>
        <w:autoSpaceDN w:val="0"/>
        <w:adjustRightInd w:val="0"/>
        <w:spacing w:after="0"/>
        <w:jc w:val="both"/>
        <w:rPr>
          <w:rFonts w:ascii="Verdana" w:eastAsia="Verdana" w:hAnsi="Verdana" w:cs="Verdana"/>
          <w:lang w:eastAsia="es-ES"/>
        </w:rPr>
      </w:pPr>
    </w:p>
    <w:p w14:paraId="317B3DB9" w14:textId="08912B90" w:rsidR="000A540C" w:rsidRPr="008104B0" w:rsidRDefault="005E523C" w:rsidP="3C1C5266">
      <w:pPr>
        <w:widowControl w:val="0"/>
        <w:autoSpaceDE w:val="0"/>
        <w:autoSpaceDN w:val="0"/>
        <w:adjustRightInd w:val="0"/>
        <w:spacing w:after="0"/>
        <w:jc w:val="center"/>
        <w:rPr>
          <w:rFonts w:ascii="Verdana" w:eastAsia="Verdana" w:hAnsi="Verdana" w:cs="Verdana"/>
          <w:b/>
          <w:bCs/>
          <w:lang w:val="es-419"/>
        </w:rPr>
      </w:pPr>
      <w:r w:rsidRPr="3C1C5266">
        <w:rPr>
          <w:rFonts w:ascii="Verdana" w:eastAsia="Verdana" w:hAnsi="Verdana" w:cs="Verdana"/>
          <w:b/>
          <w:bCs/>
          <w:color w:val="000000" w:themeColor="text1"/>
          <w:lang w:val="es"/>
        </w:rPr>
        <w:t xml:space="preserve">I. </w:t>
      </w:r>
      <w:r w:rsidR="000A540C" w:rsidRPr="3C1C5266">
        <w:rPr>
          <w:rFonts w:ascii="Verdana" w:eastAsia="Verdana" w:hAnsi="Verdana" w:cs="Verdana"/>
          <w:b/>
          <w:bCs/>
          <w:lang w:val="es-419"/>
        </w:rPr>
        <w:t>PROBLEMA JURÍDICO</w:t>
      </w:r>
    </w:p>
    <w:p w14:paraId="628CA978" w14:textId="77777777" w:rsidR="00DB3B66" w:rsidRPr="00AB0E9C" w:rsidRDefault="00DB3B66" w:rsidP="3C1C5266">
      <w:pPr>
        <w:widowControl w:val="0"/>
        <w:autoSpaceDE w:val="0"/>
        <w:autoSpaceDN w:val="0"/>
        <w:adjustRightInd w:val="0"/>
        <w:spacing w:after="0"/>
        <w:jc w:val="both"/>
        <w:rPr>
          <w:rFonts w:ascii="Verdana" w:eastAsia="Verdana" w:hAnsi="Verdana" w:cs="Verdana"/>
          <w:lang w:val="es-419"/>
        </w:rPr>
      </w:pPr>
    </w:p>
    <w:p w14:paraId="32F1EA6A" w14:textId="703A767C" w:rsidR="007C0404" w:rsidRDefault="007C0404" w:rsidP="3C1C5266">
      <w:pPr>
        <w:widowControl w:val="0"/>
        <w:autoSpaceDE w:val="0"/>
        <w:autoSpaceDN w:val="0"/>
        <w:adjustRightInd w:val="0"/>
        <w:spacing w:after="0"/>
        <w:jc w:val="both"/>
        <w:rPr>
          <w:rFonts w:ascii="Verdana" w:eastAsia="Verdana" w:hAnsi="Verdana" w:cs="Verdana"/>
          <w:lang w:val="es-419"/>
        </w:rPr>
      </w:pPr>
      <w:r w:rsidRPr="3C1C5266">
        <w:rPr>
          <w:rFonts w:ascii="Verdana" w:eastAsia="Verdana" w:hAnsi="Verdana" w:cs="Verdana"/>
          <w:lang w:val="es-419"/>
        </w:rPr>
        <w:t>De acuerdo con l</w:t>
      </w:r>
      <w:r w:rsidR="008104B0" w:rsidRPr="3C1C5266">
        <w:rPr>
          <w:rFonts w:ascii="Verdana" w:eastAsia="Verdana" w:hAnsi="Verdana" w:cs="Verdana"/>
          <w:lang w:val="es-419"/>
        </w:rPr>
        <w:t>as situaciones</w:t>
      </w:r>
      <w:r w:rsidRPr="3C1C5266">
        <w:rPr>
          <w:rFonts w:ascii="Verdana" w:eastAsia="Verdana" w:hAnsi="Verdana" w:cs="Verdana"/>
          <w:lang w:val="es-419"/>
        </w:rPr>
        <w:t xml:space="preserve"> fáctic</w:t>
      </w:r>
      <w:r w:rsidR="008104B0" w:rsidRPr="3C1C5266">
        <w:rPr>
          <w:rFonts w:ascii="Verdana" w:eastAsia="Verdana" w:hAnsi="Verdana" w:cs="Verdana"/>
          <w:lang w:val="es-419"/>
        </w:rPr>
        <w:t>a</w:t>
      </w:r>
      <w:r w:rsidRPr="3C1C5266">
        <w:rPr>
          <w:rFonts w:ascii="Verdana" w:eastAsia="Verdana" w:hAnsi="Verdana" w:cs="Verdana"/>
          <w:lang w:val="es-419"/>
        </w:rPr>
        <w:t xml:space="preserve">s </w:t>
      </w:r>
      <w:r w:rsidR="008104B0" w:rsidRPr="3C1C5266">
        <w:rPr>
          <w:rFonts w:ascii="Verdana" w:eastAsia="Verdana" w:hAnsi="Verdana" w:cs="Verdana"/>
          <w:lang w:val="es-419"/>
        </w:rPr>
        <w:t>descritas en su solicitud</w:t>
      </w:r>
      <w:r w:rsidRPr="3C1C5266">
        <w:rPr>
          <w:rFonts w:ascii="Verdana" w:eastAsia="Verdana" w:hAnsi="Verdana" w:cs="Verdana"/>
          <w:lang w:val="es-419"/>
        </w:rPr>
        <w:t xml:space="preserve">, la presente consulta se circunscribe a resolver el siguiente problema jurídico: </w:t>
      </w:r>
    </w:p>
    <w:p w14:paraId="30B3FFF9" w14:textId="77777777" w:rsidR="007C0404" w:rsidRDefault="007C0404" w:rsidP="3C1C5266">
      <w:pPr>
        <w:widowControl w:val="0"/>
        <w:autoSpaceDE w:val="0"/>
        <w:autoSpaceDN w:val="0"/>
        <w:adjustRightInd w:val="0"/>
        <w:spacing w:after="0"/>
        <w:jc w:val="both"/>
        <w:rPr>
          <w:rFonts w:ascii="Verdana" w:eastAsia="Verdana" w:hAnsi="Verdana" w:cs="Verdana"/>
          <w:lang w:val="es-419"/>
        </w:rPr>
      </w:pPr>
    </w:p>
    <w:p w14:paraId="4EC21E30" w14:textId="4BEFBCCF" w:rsidR="007C0404" w:rsidRDefault="007C0404" w:rsidP="3C1C5266">
      <w:pPr>
        <w:widowControl w:val="0"/>
        <w:autoSpaceDE w:val="0"/>
        <w:autoSpaceDN w:val="0"/>
        <w:adjustRightInd w:val="0"/>
        <w:spacing w:after="0"/>
        <w:jc w:val="both"/>
        <w:rPr>
          <w:rFonts w:ascii="Verdana" w:eastAsia="Verdana" w:hAnsi="Verdana" w:cs="Verdana"/>
          <w:lang w:val="es-419"/>
        </w:rPr>
      </w:pPr>
      <w:r w:rsidRPr="3C1C5266">
        <w:rPr>
          <w:rFonts w:ascii="Verdana" w:eastAsia="Verdana" w:hAnsi="Verdana" w:cs="Verdana"/>
          <w:lang w:val="es-419"/>
        </w:rPr>
        <w:t>¿La Regional Caldas debe seguir adelante con el proceso de cobro coactivo</w:t>
      </w:r>
      <w:r w:rsidR="0039073A" w:rsidRPr="3C1C5266">
        <w:rPr>
          <w:rFonts w:ascii="Verdana" w:eastAsia="Verdana" w:hAnsi="Verdana" w:cs="Verdana"/>
          <w:lang w:val="es-419"/>
        </w:rPr>
        <w:t xml:space="preserve"> en contra de las Cooperativas </w:t>
      </w:r>
      <w:r w:rsidR="00B609A6" w:rsidRPr="3C1C5266">
        <w:rPr>
          <w:rFonts w:ascii="Verdana" w:eastAsia="Verdana" w:hAnsi="Verdana" w:cs="Verdana"/>
          <w:lang w:val="es-419"/>
        </w:rPr>
        <w:t xml:space="preserve">*** </w:t>
      </w:r>
      <w:r w:rsidR="0039073A" w:rsidRPr="3C1C5266">
        <w:rPr>
          <w:rFonts w:ascii="Verdana" w:eastAsia="Verdana" w:hAnsi="Verdana" w:cs="Verdana"/>
          <w:lang w:val="es-419"/>
        </w:rPr>
        <w:t xml:space="preserve"> </w:t>
      </w:r>
      <w:r w:rsidRPr="3C1C5266">
        <w:rPr>
          <w:rFonts w:ascii="Verdana" w:eastAsia="Verdana" w:hAnsi="Verdana" w:cs="Verdana"/>
          <w:lang w:val="es-419"/>
        </w:rPr>
        <w:t>del cual ya avocó conocimiento,</w:t>
      </w:r>
      <w:r w:rsidR="0088034B" w:rsidRPr="3C1C5266">
        <w:rPr>
          <w:rFonts w:ascii="Verdana" w:eastAsia="Verdana" w:hAnsi="Verdana" w:cs="Verdana"/>
          <w:lang w:val="es-419"/>
        </w:rPr>
        <w:t xml:space="preserve"> teniendo en cuenta que</w:t>
      </w:r>
      <w:r w:rsidR="004456AB" w:rsidRPr="3C1C5266">
        <w:rPr>
          <w:rFonts w:ascii="Verdana" w:eastAsia="Verdana" w:hAnsi="Verdana" w:cs="Verdana"/>
          <w:lang w:val="es-419"/>
        </w:rPr>
        <w:t xml:space="preserve"> al ICBF</w:t>
      </w:r>
      <w:r w:rsidR="0088034B" w:rsidRPr="3C1C5266">
        <w:rPr>
          <w:rFonts w:ascii="Verdana" w:eastAsia="Verdana" w:hAnsi="Verdana" w:cs="Verdana"/>
          <w:lang w:val="es-419"/>
        </w:rPr>
        <w:t xml:space="preserve"> </w:t>
      </w:r>
      <w:r w:rsidR="003C4834" w:rsidRPr="3C1C5266">
        <w:rPr>
          <w:rFonts w:ascii="Verdana" w:eastAsia="Verdana" w:hAnsi="Verdana" w:cs="Verdana"/>
          <w:lang w:val="es-419"/>
        </w:rPr>
        <w:t>le fue notificado</w:t>
      </w:r>
      <w:r w:rsidR="00BB283B" w:rsidRPr="3C1C5266">
        <w:rPr>
          <w:rFonts w:ascii="Verdana" w:eastAsia="Verdana" w:hAnsi="Verdana" w:cs="Verdana"/>
          <w:lang w:val="es-419"/>
        </w:rPr>
        <w:t xml:space="preserve"> el</w:t>
      </w:r>
      <w:r w:rsidR="003C4834" w:rsidRPr="3C1C5266">
        <w:rPr>
          <w:rFonts w:ascii="Verdana" w:eastAsia="Verdana" w:hAnsi="Verdana" w:cs="Verdana"/>
          <w:lang w:val="es-419"/>
        </w:rPr>
        <w:t xml:space="preserve"> auto de admisión de</w:t>
      </w:r>
      <w:r w:rsidR="0088034B" w:rsidRPr="3C1C5266">
        <w:rPr>
          <w:rFonts w:ascii="Verdana" w:eastAsia="Verdana" w:hAnsi="Verdana" w:cs="Verdana"/>
          <w:lang w:val="es-419"/>
        </w:rPr>
        <w:t xml:space="preserve"> demanda </w:t>
      </w:r>
      <w:r w:rsidR="00BB283B" w:rsidRPr="3C1C5266">
        <w:rPr>
          <w:rFonts w:ascii="Verdana" w:eastAsia="Verdana" w:hAnsi="Verdana" w:cs="Verdana"/>
          <w:lang w:val="es-419"/>
        </w:rPr>
        <w:t xml:space="preserve">de medio de control </w:t>
      </w:r>
      <w:r w:rsidR="0088034B" w:rsidRPr="3C1C5266">
        <w:rPr>
          <w:rFonts w:ascii="Verdana" w:eastAsia="Verdana" w:hAnsi="Verdana" w:cs="Verdana"/>
          <w:lang w:val="es-419"/>
        </w:rPr>
        <w:t xml:space="preserve">de </w:t>
      </w:r>
      <w:r w:rsidR="00BB283B" w:rsidRPr="3C1C5266">
        <w:rPr>
          <w:rFonts w:ascii="Verdana" w:eastAsia="Verdana" w:hAnsi="Verdana" w:cs="Verdana"/>
          <w:lang w:val="es-419"/>
        </w:rPr>
        <w:t>N</w:t>
      </w:r>
      <w:r w:rsidR="0088034B" w:rsidRPr="3C1C5266">
        <w:rPr>
          <w:rFonts w:ascii="Verdana" w:eastAsia="Verdana" w:hAnsi="Verdana" w:cs="Verdana"/>
          <w:lang w:val="es-419"/>
        </w:rPr>
        <w:t xml:space="preserve">ulidad </w:t>
      </w:r>
      <w:r w:rsidR="00BB283B" w:rsidRPr="3C1C5266">
        <w:rPr>
          <w:rFonts w:ascii="Verdana" w:eastAsia="Verdana" w:hAnsi="Verdana" w:cs="Verdana"/>
          <w:lang w:val="es-419"/>
        </w:rPr>
        <w:t>y</w:t>
      </w:r>
      <w:r w:rsidR="0088034B" w:rsidRPr="3C1C5266">
        <w:rPr>
          <w:rFonts w:ascii="Verdana" w:eastAsia="Verdana" w:hAnsi="Verdana" w:cs="Verdana"/>
          <w:lang w:val="es-419"/>
        </w:rPr>
        <w:t xml:space="preserve"> Restablecimiento del Derecho</w:t>
      </w:r>
      <w:r w:rsidR="00BB283B" w:rsidRPr="3C1C5266">
        <w:rPr>
          <w:rFonts w:ascii="Verdana" w:eastAsia="Verdana" w:hAnsi="Verdana" w:cs="Verdana"/>
          <w:lang w:val="es-419"/>
        </w:rPr>
        <w:t xml:space="preserve"> interpuesto por las mencionadas cooperativas</w:t>
      </w:r>
      <w:r w:rsidR="0088034B" w:rsidRPr="3C1C5266">
        <w:rPr>
          <w:rFonts w:ascii="Verdana" w:eastAsia="Verdana" w:hAnsi="Verdana" w:cs="Verdana"/>
          <w:lang w:val="es-419"/>
        </w:rPr>
        <w:t xml:space="preserve">, </w:t>
      </w:r>
      <w:r w:rsidRPr="3C1C5266">
        <w:rPr>
          <w:rFonts w:ascii="Verdana" w:eastAsia="Verdana" w:hAnsi="Verdana" w:cs="Verdana"/>
          <w:lang w:val="es-419"/>
        </w:rPr>
        <w:t xml:space="preserve">o por el contrario, debe </w:t>
      </w:r>
      <w:r w:rsidR="00985C4F" w:rsidRPr="3C1C5266">
        <w:rPr>
          <w:rFonts w:ascii="Verdana" w:eastAsia="Verdana" w:hAnsi="Verdana" w:cs="Verdana"/>
          <w:lang w:val="es-419"/>
        </w:rPr>
        <w:t xml:space="preserve">dar por terminado el proceso administrativo de cobro coactivo y proceder a </w:t>
      </w:r>
      <w:r w:rsidRPr="3C1C5266">
        <w:rPr>
          <w:rFonts w:ascii="Verdana" w:eastAsia="Verdana" w:hAnsi="Verdana" w:cs="Verdana"/>
          <w:lang w:val="es-419"/>
        </w:rPr>
        <w:t xml:space="preserve">demandar el </w:t>
      </w:r>
      <w:r w:rsidR="00985C4F" w:rsidRPr="3C1C5266">
        <w:rPr>
          <w:rFonts w:ascii="Verdana" w:eastAsia="Verdana" w:hAnsi="Verdana" w:cs="Verdana"/>
          <w:lang w:val="es-419"/>
        </w:rPr>
        <w:t>pago</w:t>
      </w:r>
      <w:r w:rsidRPr="3C1C5266">
        <w:rPr>
          <w:rFonts w:ascii="Verdana" w:eastAsia="Verdana" w:hAnsi="Verdana" w:cs="Verdana"/>
          <w:lang w:val="es-419"/>
        </w:rPr>
        <w:t xml:space="preserve"> de la obligación ante </w:t>
      </w:r>
      <w:r w:rsidR="00985C4F" w:rsidRPr="3C1C5266">
        <w:rPr>
          <w:rFonts w:ascii="Verdana" w:eastAsia="Verdana" w:hAnsi="Verdana" w:cs="Verdana"/>
          <w:lang w:val="es-419"/>
        </w:rPr>
        <w:t>los jueces competentes</w:t>
      </w:r>
      <w:r w:rsidRPr="3C1C5266">
        <w:rPr>
          <w:rFonts w:ascii="Verdana" w:eastAsia="Verdana" w:hAnsi="Verdana" w:cs="Verdana"/>
          <w:lang w:val="es-419"/>
        </w:rPr>
        <w:t>?</w:t>
      </w:r>
    </w:p>
    <w:p w14:paraId="75D9DB72" w14:textId="0DE06025" w:rsidR="00985C4F" w:rsidRDefault="00985C4F" w:rsidP="3C1C5266">
      <w:pPr>
        <w:widowControl w:val="0"/>
        <w:autoSpaceDE w:val="0"/>
        <w:autoSpaceDN w:val="0"/>
        <w:adjustRightInd w:val="0"/>
        <w:spacing w:after="0"/>
        <w:jc w:val="both"/>
        <w:rPr>
          <w:rFonts w:ascii="Verdana" w:eastAsia="Verdana" w:hAnsi="Verdana" w:cs="Verdana"/>
          <w:lang w:val="es-419"/>
        </w:rPr>
      </w:pPr>
    </w:p>
    <w:p w14:paraId="73D530E6" w14:textId="27FC61F6" w:rsidR="008104B0" w:rsidRPr="008104B0" w:rsidRDefault="005058BB" w:rsidP="3C1C5266">
      <w:pPr>
        <w:pStyle w:val="Prrafodelista"/>
        <w:widowControl w:val="0"/>
        <w:numPr>
          <w:ilvl w:val="0"/>
          <w:numId w:val="26"/>
        </w:numPr>
        <w:autoSpaceDE w:val="0"/>
        <w:autoSpaceDN w:val="0"/>
        <w:adjustRightInd w:val="0"/>
        <w:spacing w:after="0"/>
        <w:ind w:left="2410" w:hanging="283"/>
        <w:rPr>
          <w:rFonts w:ascii="Verdana" w:eastAsia="Verdana" w:hAnsi="Verdana" w:cs="Verdana"/>
          <w:b/>
          <w:bCs/>
          <w:lang w:val="es-419"/>
        </w:rPr>
      </w:pPr>
      <w:r w:rsidRPr="3C1C5266">
        <w:rPr>
          <w:rFonts w:ascii="Verdana" w:eastAsia="Verdana" w:hAnsi="Verdana" w:cs="Verdana"/>
          <w:b/>
          <w:bCs/>
          <w:lang w:val="es-419"/>
        </w:rPr>
        <w:t xml:space="preserve"> </w:t>
      </w:r>
      <w:r w:rsidR="008104B0" w:rsidRPr="3C1C5266">
        <w:rPr>
          <w:rFonts w:ascii="Verdana" w:eastAsia="Verdana" w:hAnsi="Verdana" w:cs="Verdana"/>
          <w:b/>
          <w:bCs/>
          <w:lang w:val="es-419"/>
        </w:rPr>
        <w:t>ANÁLISIS DEL PROBLEMA JURÍDICO</w:t>
      </w:r>
    </w:p>
    <w:p w14:paraId="7A34575D" w14:textId="77777777" w:rsidR="008104B0" w:rsidRPr="008104B0" w:rsidRDefault="008104B0" w:rsidP="3C1C5266">
      <w:pPr>
        <w:pStyle w:val="Prrafodelista"/>
        <w:widowControl w:val="0"/>
        <w:autoSpaceDE w:val="0"/>
        <w:autoSpaceDN w:val="0"/>
        <w:adjustRightInd w:val="0"/>
        <w:spacing w:after="0"/>
        <w:jc w:val="both"/>
        <w:rPr>
          <w:rFonts w:ascii="Verdana" w:eastAsia="Verdana" w:hAnsi="Verdana" w:cs="Verdana"/>
          <w:lang w:val="es-419"/>
        </w:rPr>
      </w:pPr>
    </w:p>
    <w:p w14:paraId="03875C70" w14:textId="0EE86723" w:rsidR="00BD7EA6" w:rsidRDefault="00985C4F" w:rsidP="3C1C5266">
      <w:pPr>
        <w:widowControl w:val="0"/>
        <w:autoSpaceDE w:val="0"/>
        <w:autoSpaceDN w:val="0"/>
        <w:adjustRightInd w:val="0"/>
        <w:spacing w:after="0"/>
        <w:jc w:val="both"/>
        <w:rPr>
          <w:rFonts w:ascii="Verdana" w:eastAsia="Verdana" w:hAnsi="Verdana" w:cs="Verdana"/>
          <w:lang w:val="es-419"/>
        </w:rPr>
      </w:pPr>
      <w:r w:rsidRPr="3C1C5266">
        <w:rPr>
          <w:rFonts w:ascii="Verdana" w:eastAsia="Verdana" w:hAnsi="Verdana" w:cs="Verdana"/>
          <w:lang w:val="es-419"/>
        </w:rPr>
        <w:t xml:space="preserve">Para dar respuesta </w:t>
      </w:r>
      <w:r w:rsidR="008104B0" w:rsidRPr="3C1C5266">
        <w:rPr>
          <w:rFonts w:ascii="Verdana" w:eastAsia="Verdana" w:hAnsi="Verdana" w:cs="Verdana"/>
          <w:lang w:val="es-419"/>
        </w:rPr>
        <w:t>al</w:t>
      </w:r>
      <w:r w:rsidRPr="3C1C5266">
        <w:rPr>
          <w:rFonts w:ascii="Verdana" w:eastAsia="Verdana" w:hAnsi="Verdana" w:cs="Verdana"/>
          <w:lang w:val="es-419"/>
        </w:rPr>
        <w:t xml:space="preserve"> problema jurídico</w:t>
      </w:r>
      <w:r w:rsidR="00B85477" w:rsidRPr="3C1C5266">
        <w:rPr>
          <w:rFonts w:ascii="Verdana" w:eastAsia="Verdana" w:hAnsi="Verdana" w:cs="Verdana"/>
          <w:lang w:val="es-419"/>
        </w:rPr>
        <w:t xml:space="preserve"> se analizará el asunto abordando los siguientes puntos:</w:t>
      </w:r>
      <w:r w:rsidRPr="3C1C5266">
        <w:rPr>
          <w:rFonts w:ascii="Verdana" w:eastAsia="Verdana" w:hAnsi="Verdana" w:cs="Verdana"/>
          <w:lang w:val="es-419"/>
        </w:rPr>
        <w:t xml:space="preserve"> </w:t>
      </w:r>
      <w:r w:rsidR="00FE261A" w:rsidRPr="3C1C5266">
        <w:rPr>
          <w:rFonts w:ascii="Verdana" w:eastAsia="Verdana" w:hAnsi="Verdana" w:cs="Verdana"/>
          <w:lang w:val="es-419"/>
        </w:rPr>
        <w:t>2</w:t>
      </w:r>
      <w:r w:rsidR="00B85477" w:rsidRPr="3C1C5266">
        <w:rPr>
          <w:rFonts w:ascii="Verdana" w:eastAsia="Verdana" w:hAnsi="Verdana" w:cs="Verdana"/>
          <w:lang w:val="es-419"/>
        </w:rPr>
        <w:t>.1</w:t>
      </w:r>
      <w:r w:rsidR="001057EB" w:rsidRPr="3C1C5266">
        <w:rPr>
          <w:rFonts w:ascii="Verdana" w:eastAsia="Verdana" w:hAnsi="Verdana" w:cs="Verdana"/>
          <w:lang w:val="es-419"/>
        </w:rPr>
        <w:t>.</w:t>
      </w:r>
      <w:r w:rsidR="00133283" w:rsidRPr="3C1C5266">
        <w:rPr>
          <w:rFonts w:ascii="Verdana" w:eastAsia="Verdana" w:hAnsi="Verdana" w:cs="Verdana"/>
          <w:lang w:val="es-419"/>
        </w:rPr>
        <w:t xml:space="preserve"> </w:t>
      </w:r>
      <w:r w:rsidR="00B85477" w:rsidRPr="3C1C5266">
        <w:rPr>
          <w:rFonts w:ascii="Verdana" w:eastAsia="Verdana" w:hAnsi="Verdana" w:cs="Verdana"/>
          <w:lang w:val="es-CO"/>
        </w:rPr>
        <w:t>Ma</w:t>
      </w:r>
      <w:r w:rsidR="00133283" w:rsidRPr="3C1C5266">
        <w:rPr>
          <w:rFonts w:ascii="Verdana" w:eastAsia="Verdana" w:hAnsi="Verdana" w:cs="Verdana"/>
          <w:lang w:val="es-CO"/>
        </w:rPr>
        <w:t>rco normativo que rige el proceso de cobro coactivo</w:t>
      </w:r>
      <w:r w:rsidR="00B85477" w:rsidRPr="3C1C5266">
        <w:rPr>
          <w:rFonts w:ascii="Verdana" w:eastAsia="Verdana" w:hAnsi="Verdana" w:cs="Verdana"/>
          <w:lang w:val="es-CO"/>
        </w:rPr>
        <w:t>;</w:t>
      </w:r>
      <w:r w:rsidR="00133283" w:rsidRPr="3C1C5266">
        <w:rPr>
          <w:rFonts w:ascii="Verdana" w:eastAsia="Verdana" w:hAnsi="Verdana" w:cs="Verdana"/>
          <w:lang w:val="es-CO"/>
        </w:rPr>
        <w:t xml:space="preserve"> </w:t>
      </w:r>
      <w:r w:rsidR="00FE261A" w:rsidRPr="3C1C5266">
        <w:rPr>
          <w:rFonts w:ascii="Verdana" w:eastAsia="Verdana" w:hAnsi="Verdana" w:cs="Verdana"/>
          <w:lang w:val="es-CO"/>
        </w:rPr>
        <w:t>2</w:t>
      </w:r>
      <w:r w:rsidR="00B85477" w:rsidRPr="3C1C5266">
        <w:rPr>
          <w:rFonts w:ascii="Verdana" w:eastAsia="Verdana" w:hAnsi="Verdana" w:cs="Verdana"/>
          <w:lang w:val="es-CO"/>
        </w:rPr>
        <w:t>.2</w:t>
      </w:r>
      <w:r w:rsidR="001057EB" w:rsidRPr="3C1C5266">
        <w:rPr>
          <w:rFonts w:ascii="Verdana" w:eastAsia="Verdana" w:hAnsi="Verdana" w:cs="Verdana"/>
          <w:lang w:val="es-419"/>
        </w:rPr>
        <w:t xml:space="preserve">. </w:t>
      </w:r>
      <w:r w:rsidR="00B85477" w:rsidRPr="3C1C5266">
        <w:rPr>
          <w:rFonts w:ascii="Verdana" w:eastAsia="Verdana" w:hAnsi="Verdana" w:cs="Verdana"/>
          <w:lang w:val="es-419"/>
        </w:rPr>
        <w:t>F</w:t>
      </w:r>
      <w:r w:rsidRPr="3C1C5266">
        <w:rPr>
          <w:rFonts w:ascii="Verdana" w:eastAsia="Verdana" w:hAnsi="Verdana" w:cs="Verdana"/>
          <w:lang w:val="es-419"/>
        </w:rPr>
        <w:t xml:space="preserve">irmeza del acto administrativo y la presunción de legalidad que lo cobija, en virtud de </w:t>
      </w:r>
      <w:r w:rsidR="00753158" w:rsidRPr="3C1C5266">
        <w:rPr>
          <w:rFonts w:ascii="Verdana" w:eastAsia="Verdana" w:hAnsi="Verdana" w:cs="Verdana"/>
          <w:lang w:val="es-419"/>
        </w:rPr>
        <w:t>lo dispuesto</w:t>
      </w:r>
      <w:r w:rsidRPr="3C1C5266">
        <w:rPr>
          <w:rFonts w:ascii="Verdana" w:eastAsia="Verdana" w:hAnsi="Verdana" w:cs="Verdana"/>
          <w:lang w:val="es-419"/>
        </w:rPr>
        <w:t xml:space="preserve"> e</w:t>
      </w:r>
      <w:r w:rsidR="00753158" w:rsidRPr="3C1C5266">
        <w:rPr>
          <w:rFonts w:ascii="Verdana" w:eastAsia="Verdana" w:hAnsi="Verdana" w:cs="Verdana"/>
          <w:lang w:val="es-419"/>
        </w:rPr>
        <w:t>n</w:t>
      </w:r>
      <w:r w:rsidR="001871A9" w:rsidRPr="3C1C5266">
        <w:rPr>
          <w:rFonts w:ascii="Verdana" w:eastAsia="Verdana" w:hAnsi="Verdana" w:cs="Verdana"/>
          <w:lang w:val="es-419"/>
        </w:rPr>
        <w:t xml:space="preserve"> la Ley 1437 de 2011</w:t>
      </w:r>
      <w:r w:rsidR="00753158" w:rsidRPr="3C1C5266">
        <w:rPr>
          <w:rFonts w:ascii="Verdana" w:eastAsia="Verdana" w:hAnsi="Verdana" w:cs="Verdana"/>
          <w:lang w:val="es-419"/>
        </w:rPr>
        <w:t xml:space="preserve"> </w:t>
      </w:r>
      <w:r w:rsidR="001871A9" w:rsidRPr="3C1C5266">
        <w:rPr>
          <w:rFonts w:ascii="Verdana" w:eastAsia="Verdana" w:hAnsi="Verdana" w:cs="Verdana"/>
          <w:lang w:val="es-419"/>
        </w:rPr>
        <w:t xml:space="preserve">(Código de Procedimiento Administrativo y de lo Contencioso Administrativo en adelante </w:t>
      </w:r>
      <w:r w:rsidR="00C13C1F" w:rsidRPr="3C1C5266">
        <w:rPr>
          <w:rFonts w:ascii="Verdana" w:eastAsia="Verdana" w:hAnsi="Verdana" w:cs="Verdana"/>
          <w:lang w:val="es-419"/>
        </w:rPr>
        <w:t>–</w:t>
      </w:r>
      <w:r w:rsidR="001871A9" w:rsidRPr="3C1C5266">
        <w:rPr>
          <w:rFonts w:ascii="Verdana" w:eastAsia="Verdana" w:hAnsi="Verdana" w:cs="Verdana"/>
          <w:lang w:val="es-419"/>
        </w:rPr>
        <w:t xml:space="preserve"> </w:t>
      </w:r>
      <w:r w:rsidRPr="3C1C5266">
        <w:rPr>
          <w:rFonts w:ascii="Verdana" w:eastAsia="Verdana" w:hAnsi="Verdana" w:cs="Verdana"/>
          <w:lang w:val="es-419"/>
        </w:rPr>
        <w:t>C</w:t>
      </w:r>
      <w:r w:rsidR="00C13C1F" w:rsidRPr="3C1C5266">
        <w:rPr>
          <w:rFonts w:ascii="Verdana" w:eastAsia="Verdana" w:hAnsi="Verdana" w:cs="Verdana"/>
          <w:lang w:val="es-419"/>
        </w:rPr>
        <w:t>.</w:t>
      </w:r>
      <w:r w:rsidRPr="3C1C5266">
        <w:rPr>
          <w:rFonts w:ascii="Verdana" w:eastAsia="Verdana" w:hAnsi="Verdana" w:cs="Verdana"/>
          <w:lang w:val="es-419"/>
        </w:rPr>
        <w:t>P</w:t>
      </w:r>
      <w:r w:rsidR="00C13C1F" w:rsidRPr="3C1C5266">
        <w:rPr>
          <w:rFonts w:ascii="Verdana" w:eastAsia="Verdana" w:hAnsi="Verdana" w:cs="Verdana"/>
          <w:lang w:val="es-419"/>
        </w:rPr>
        <w:t>.</w:t>
      </w:r>
      <w:r w:rsidRPr="3C1C5266">
        <w:rPr>
          <w:rFonts w:ascii="Verdana" w:eastAsia="Verdana" w:hAnsi="Verdana" w:cs="Verdana"/>
          <w:lang w:val="es-419"/>
        </w:rPr>
        <w:t>A</w:t>
      </w:r>
      <w:r w:rsidR="00C13C1F" w:rsidRPr="3C1C5266">
        <w:rPr>
          <w:rFonts w:ascii="Verdana" w:eastAsia="Verdana" w:hAnsi="Verdana" w:cs="Verdana"/>
          <w:lang w:val="es-419"/>
        </w:rPr>
        <w:t>.</w:t>
      </w:r>
      <w:r w:rsidRPr="3C1C5266">
        <w:rPr>
          <w:rFonts w:ascii="Verdana" w:eastAsia="Verdana" w:hAnsi="Verdana" w:cs="Verdana"/>
          <w:lang w:val="es-419"/>
        </w:rPr>
        <w:t>C</w:t>
      </w:r>
      <w:r w:rsidR="00C13C1F" w:rsidRPr="3C1C5266">
        <w:rPr>
          <w:rFonts w:ascii="Verdana" w:eastAsia="Verdana" w:hAnsi="Verdana" w:cs="Verdana"/>
          <w:lang w:val="es-419"/>
        </w:rPr>
        <w:t>.</w:t>
      </w:r>
      <w:r w:rsidRPr="3C1C5266">
        <w:rPr>
          <w:rFonts w:ascii="Verdana" w:eastAsia="Verdana" w:hAnsi="Verdana" w:cs="Verdana"/>
          <w:lang w:val="es-419"/>
        </w:rPr>
        <w:t>A</w:t>
      </w:r>
      <w:r w:rsidR="00C13C1F" w:rsidRPr="3C1C5266">
        <w:rPr>
          <w:rFonts w:ascii="Verdana" w:eastAsia="Verdana" w:hAnsi="Verdana" w:cs="Verdana"/>
          <w:lang w:val="es-419"/>
        </w:rPr>
        <w:t>.</w:t>
      </w:r>
      <w:r w:rsidR="001871A9" w:rsidRPr="3C1C5266">
        <w:rPr>
          <w:rFonts w:ascii="Verdana" w:eastAsia="Verdana" w:hAnsi="Verdana" w:cs="Verdana"/>
          <w:lang w:val="es-419"/>
        </w:rPr>
        <w:t>)</w:t>
      </w:r>
      <w:r w:rsidR="00B85477" w:rsidRPr="3C1C5266">
        <w:rPr>
          <w:rFonts w:ascii="Verdana" w:eastAsia="Verdana" w:hAnsi="Verdana" w:cs="Verdana"/>
          <w:lang w:val="es-419"/>
        </w:rPr>
        <w:t>;</w:t>
      </w:r>
      <w:r w:rsidRPr="3C1C5266">
        <w:rPr>
          <w:rFonts w:ascii="Verdana" w:eastAsia="Verdana" w:hAnsi="Verdana" w:cs="Verdana"/>
          <w:lang w:val="es-419"/>
        </w:rPr>
        <w:t xml:space="preserve"> </w:t>
      </w:r>
      <w:r w:rsidR="00AF39E0" w:rsidRPr="3C1C5266">
        <w:rPr>
          <w:rFonts w:ascii="Verdana" w:eastAsia="Verdana" w:hAnsi="Verdana" w:cs="Verdana"/>
          <w:lang w:val="es-419"/>
        </w:rPr>
        <w:t xml:space="preserve">2.3. Terminación del proceso de cobro coactivo; </w:t>
      </w:r>
      <w:r w:rsidR="00FE261A" w:rsidRPr="3C1C5266">
        <w:rPr>
          <w:rFonts w:ascii="Verdana" w:eastAsia="Verdana" w:hAnsi="Verdana" w:cs="Verdana"/>
          <w:lang w:val="es-419"/>
        </w:rPr>
        <w:t>2</w:t>
      </w:r>
      <w:r w:rsidR="00B85477" w:rsidRPr="3C1C5266">
        <w:rPr>
          <w:rFonts w:ascii="Verdana" w:eastAsia="Verdana" w:hAnsi="Verdana" w:cs="Verdana"/>
          <w:lang w:val="es-419"/>
        </w:rPr>
        <w:t>.</w:t>
      </w:r>
      <w:r w:rsidR="00AF39E0" w:rsidRPr="3C1C5266">
        <w:rPr>
          <w:rFonts w:ascii="Verdana" w:eastAsia="Verdana" w:hAnsi="Verdana" w:cs="Verdana"/>
          <w:lang w:val="es-419"/>
        </w:rPr>
        <w:t>4</w:t>
      </w:r>
      <w:r w:rsidR="001057EB" w:rsidRPr="3C1C5266">
        <w:rPr>
          <w:rFonts w:ascii="Verdana" w:eastAsia="Verdana" w:hAnsi="Verdana" w:cs="Verdana"/>
          <w:lang w:val="es-419"/>
        </w:rPr>
        <w:t>.</w:t>
      </w:r>
      <w:r w:rsidR="00B85477" w:rsidRPr="3C1C5266">
        <w:rPr>
          <w:rFonts w:ascii="Verdana" w:eastAsia="Verdana" w:hAnsi="Verdana" w:cs="Verdana"/>
          <w:lang w:val="es-419"/>
        </w:rPr>
        <w:t xml:space="preserve"> E</w:t>
      </w:r>
      <w:r w:rsidR="00753158" w:rsidRPr="3C1C5266">
        <w:rPr>
          <w:rFonts w:ascii="Verdana" w:eastAsia="Verdana" w:hAnsi="Verdana" w:cs="Verdana"/>
          <w:lang w:val="es-419"/>
        </w:rPr>
        <w:t xml:space="preserve">fectos jurídicos que tiene la admisión de la demanda de nulidad y restablecimiento del derecho dentro del proceso de cobro coactivo. </w:t>
      </w:r>
    </w:p>
    <w:p w14:paraId="1EDE9AE5" w14:textId="77777777" w:rsidR="00C9622E" w:rsidRDefault="00C9622E" w:rsidP="3C1C5266">
      <w:pPr>
        <w:widowControl w:val="0"/>
        <w:autoSpaceDE w:val="0"/>
        <w:autoSpaceDN w:val="0"/>
        <w:adjustRightInd w:val="0"/>
        <w:spacing w:after="0"/>
        <w:jc w:val="both"/>
        <w:rPr>
          <w:rFonts w:ascii="Verdana" w:eastAsia="Verdana" w:hAnsi="Verdana" w:cs="Verdana"/>
          <w:b/>
          <w:bCs/>
          <w:lang w:eastAsia="es-ES"/>
        </w:rPr>
      </w:pPr>
    </w:p>
    <w:p w14:paraId="1EF2942B" w14:textId="59940708" w:rsidR="002E4765" w:rsidRDefault="00FE261A" w:rsidP="3C1C5266">
      <w:pPr>
        <w:widowControl w:val="0"/>
        <w:autoSpaceDE w:val="0"/>
        <w:autoSpaceDN w:val="0"/>
        <w:adjustRightInd w:val="0"/>
        <w:spacing w:after="0"/>
        <w:jc w:val="both"/>
        <w:rPr>
          <w:rFonts w:ascii="Verdana" w:eastAsia="Verdana" w:hAnsi="Verdana" w:cs="Verdana"/>
          <w:b/>
          <w:bCs/>
          <w:lang w:eastAsia="es-ES"/>
        </w:rPr>
      </w:pPr>
      <w:r w:rsidRPr="3C1C5266">
        <w:rPr>
          <w:rFonts w:ascii="Verdana" w:eastAsia="Verdana" w:hAnsi="Verdana" w:cs="Verdana"/>
          <w:b/>
          <w:bCs/>
          <w:lang w:eastAsia="es-ES"/>
        </w:rPr>
        <w:t>2</w:t>
      </w:r>
      <w:r w:rsidR="00B85477" w:rsidRPr="3C1C5266">
        <w:rPr>
          <w:rFonts w:ascii="Verdana" w:eastAsia="Verdana" w:hAnsi="Verdana" w:cs="Verdana"/>
          <w:b/>
          <w:bCs/>
          <w:lang w:eastAsia="es-ES"/>
        </w:rPr>
        <w:t>.1. Marco normativo que rige el proceso de cobro coactivo</w:t>
      </w:r>
    </w:p>
    <w:p w14:paraId="4CDEFF5C" w14:textId="77777777" w:rsidR="00B85477" w:rsidRPr="002E4765" w:rsidRDefault="00B85477" w:rsidP="3C1C5266">
      <w:pPr>
        <w:widowControl w:val="0"/>
        <w:autoSpaceDE w:val="0"/>
        <w:autoSpaceDN w:val="0"/>
        <w:adjustRightInd w:val="0"/>
        <w:spacing w:after="0"/>
        <w:jc w:val="both"/>
        <w:rPr>
          <w:rFonts w:ascii="Verdana" w:eastAsia="Verdana" w:hAnsi="Verdana" w:cs="Verdana"/>
          <w:b/>
          <w:bCs/>
          <w:lang w:eastAsia="es-ES"/>
        </w:rPr>
      </w:pPr>
    </w:p>
    <w:p w14:paraId="61AC1E9E" w14:textId="4CA20A16" w:rsidR="00912EF8" w:rsidRDefault="00B85477" w:rsidP="3C1C5266">
      <w:pPr>
        <w:widowControl w:val="0"/>
        <w:autoSpaceDE w:val="0"/>
        <w:autoSpaceDN w:val="0"/>
        <w:adjustRightInd w:val="0"/>
        <w:spacing w:after="0"/>
        <w:jc w:val="both"/>
        <w:rPr>
          <w:rFonts w:ascii="Verdana" w:eastAsia="Verdana" w:hAnsi="Verdana" w:cs="Verdana"/>
          <w:lang w:eastAsia="es-ES"/>
        </w:rPr>
      </w:pPr>
      <w:r w:rsidRPr="3C1C5266">
        <w:rPr>
          <w:rFonts w:ascii="Verdana" w:eastAsia="Verdana" w:hAnsi="Verdana" w:cs="Verdana"/>
          <w:lang w:eastAsia="es-ES"/>
        </w:rPr>
        <w:t>La</w:t>
      </w:r>
      <w:r w:rsidR="00912EF8" w:rsidRPr="3C1C5266">
        <w:rPr>
          <w:rFonts w:ascii="Verdana" w:eastAsia="Verdana" w:hAnsi="Verdana" w:cs="Verdana"/>
          <w:lang w:eastAsia="es-ES"/>
        </w:rPr>
        <w:t xml:space="preserve"> jurisdicción de cobro coactivo es una facultad excepcional de las entidades </w:t>
      </w:r>
      <w:r w:rsidR="00912EF8" w:rsidRPr="3C1C5266">
        <w:rPr>
          <w:rFonts w:ascii="Verdana" w:eastAsia="Verdana" w:hAnsi="Verdana" w:cs="Verdana"/>
          <w:lang w:eastAsia="es-ES"/>
        </w:rPr>
        <w:lastRenderedPageBreak/>
        <w:t xml:space="preserve">públicas, que les permite cobrar directamente, sin necesidad de acudir ante los jueces competentes, lo cual se considera un privilegio exclusivo y extraordinario del Estado. </w:t>
      </w:r>
    </w:p>
    <w:p w14:paraId="42D9A413" w14:textId="77777777" w:rsidR="00912EF8" w:rsidRDefault="00912EF8" w:rsidP="3C1C5266">
      <w:pPr>
        <w:widowControl w:val="0"/>
        <w:autoSpaceDE w:val="0"/>
        <w:autoSpaceDN w:val="0"/>
        <w:adjustRightInd w:val="0"/>
        <w:spacing w:after="0"/>
        <w:jc w:val="both"/>
        <w:rPr>
          <w:rFonts w:ascii="Verdana" w:eastAsia="Verdana" w:hAnsi="Verdana" w:cs="Verdana"/>
          <w:lang w:eastAsia="es-ES"/>
        </w:rPr>
      </w:pPr>
    </w:p>
    <w:p w14:paraId="791BCB66" w14:textId="33997556" w:rsidR="00912EF8" w:rsidRDefault="00912EF8" w:rsidP="3C1C5266">
      <w:pPr>
        <w:widowControl w:val="0"/>
        <w:autoSpaceDE w:val="0"/>
        <w:autoSpaceDN w:val="0"/>
        <w:adjustRightInd w:val="0"/>
        <w:spacing w:after="0"/>
        <w:jc w:val="both"/>
        <w:rPr>
          <w:rFonts w:ascii="Verdana" w:eastAsia="Verdana" w:hAnsi="Verdana" w:cs="Verdana"/>
          <w:lang w:eastAsia="es-ES"/>
        </w:rPr>
      </w:pPr>
      <w:r w:rsidRPr="3C1C5266">
        <w:rPr>
          <w:rFonts w:ascii="Verdana" w:eastAsia="Verdana" w:hAnsi="Verdana" w:cs="Verdana"/>
        </w:rPr>
        <w:t xml:space="preserve">Bajo este precepto, el artículo 98 de la Ley 1437 de 2011, establece </w:t>
      </w:r>
      <w:r w:rsidRPr="3C1C5266">
        <w:rPr>
          <w:rFonts w:ascii="Verdana" w:eastAsia="Verdana" w:hAnsi="Verdana" w:cs="Verdana"/>
          <w:lang w:val="es-CO" w:eastAsia="es-ES"/>
        </w:rPr>
        <w:t xml:space="preserve">el deber que tienen las entidades públicas de adelantar el cobro de las obligaciones exigibles a su favor y que consten en documentos que presten mérito ejecutivo. </w:t>
      </w:r>
      <w:r w:rsidRPr="3C1C5266">
        <w:rPr>
          <w:rFonts w:ascii="Verdana" w:eastAsia="Verdana" w:hAnsi="Verdana" w:cs="Verdana"/>
          <w:lang w:eastAsia="es-ES"/>
        </w:rPr>
        <w:t xml:space="preserve"> El precitado artículo establece:</w:t>
      </w:r>
    </w:p>
    <w:p w14:paraId="3A57087C" w14:textId="77777777" w:rsidR="00912EF8" w:rsidRDefault="00912EF8" w:rsidP="3C1C5266">
      <w:pPr>
        <w:widowControl w:val="0"/>
        <w:autoSpaceDE w:val="0"/>
        <w:autoSpaceDN w:val="0"/>
        <w:adjustRightInd w:val="0"/>
        <w:spacing w:after="0"/>
        <w:jc w:val="both"/>
        <w:rPr>
          <w:rFonts w:ascii="Verdana" w:eastAsia="Verdana" w:hAnsi="Verdana" w:cs="Verdana"/>
          <w:lang w:eastAsia="es-ES"/>
        </w:rPr>
      </w:pPr>
    </w:p>
    <w:p w14:paraId="37ED3D69" w14:textId="65E7D606" w:rsidR="00912EF8" w:rsidRPr="00461575" w:rsidRDefault="00912EF8" w:rsidP="3C1C5266">
      <w:pPr>
        <w:widowControl w:val="0"/>
        <w:autoSpaceDE w:val="0"/>
        <w:autoSpaceDN w:val="0"/>
        <w:adjustRightInd w:val="0"/>
        <w:spacing w:after="0"/>
        <w:ind w:left="709"/>
        <w:jc w:val="both"/>
        <w:rPr>
          <w:rFonts w:ascii="Verdana" w:eastAsia="Verdana" w:hAnsi="Verdana" w:cs="Verdana"/>
          <w:i/>
          <w:iCs/>
          <w:lang w:eastAsia="es-ES"/>
        </w:rPr>
      </w:pPr>
      <w:r w:rsidRPr="3C1C5266">
        <w:rPr>
          <w:rFonts w:ascii="Verdana" w:eastAsia="Verdana" w:hAnsi="Verdana" w:cs="Verdana"/>
          <w:i/>
          <w:iCs/>
          <w:lang w:eastAsia="es-ES"/>
        </w:rPr>
        <w:t>“Artículo 98. Deber de recaudo y prerrogativa del cobro coactivo:</w:t>
      </w:r>
    </w:p>
    <w:p w14:paraId="2359C01C" w14:textId="77777777" w:rsidR="00912EF8" w:rsidRPr="00461575" w:rsidRDefault="00912EF8" w:rsidP="3C1C5266">
      <w:pPr>
        <w:widowControl w:val="0"/>
        <w:autoSpaceDE w:val="0"/>
        <w:autoSpaceDN w:val="0"/>
        <w:adjustRightInd w:val="0"/>
        <w:spacing w:after="0"/>
        <w:ind w:left="709"/>
        <w:jc w:val="both"/>
        <w:rPr>
          <w:rFonts w:ascii="Verdana" w:eastAsia="Verdana" w:hAnsi="Verdana" w:cs="Verdana"/>
          <w:i/>
          <w:iCs/>
          <w:lang w:eastAsia="es-ES"/>
        </w:rPr>
      </w:pPr>
    </w:p>
    <w:p w14:paraId="452BB947" w14:textId="404B623B" w:rsidR="00912EF8" w:rsidRPr="00461575" w:rsidRDefault="00912EF8" w:rsidP="3C1C5266">
      <w:pPr>
        <w:widowControl w:val="0"/>
        <w:autoSpaceDE w:val="0"/>
        <w:autoSpaceDN w:val="0"/>
        <w:adjustRightInd w:val="0"/>
        <w:spacing w:after="0"/>
        <w:ind w:left="709"/>
        <w:jc w:val="both"/>
        <w:rPr>
          <w:rFonts w:ascii="Verdana" w:eastAsia="Verdana" w:hAnsi="Verdana" w:cs="Verdana"/>
          <w:vertAlign w:val="superscript"/>
          <w:lang w:eastAsia="es-ES"/>
        </w:rPr>
      </w:pPr>
      <w:r w:rsidRPr="3C1C5266">
        <w:rPr>
          <w:rFonts w:ascii="Verdana" w:eastAsia="Verdana" w:hAnsi="Verdana" w:cs="Verdana"/>
          <w:i/>
          <w:iCs/>
          <w:lang w:eastAsia="es-ES"/>
        </w:rPr>
        <w:t xml:space="preserve">Las entidades públicas definidas en el parágrafo del artículo 104 deberán recaudar las obligaciones creadas en su favor, que consten en documentos que presten mérito ejecutivo de conformidad con este Código. Para tal efecto, están revestidas </w:t>
      </w:r>
      <w:r w:rsidRPr="3C1C5266">
        <w:rPr>
          <w:rFonts w:ascii="Verdana" w:eastAsia="Verdana" w:hAnsi="Verdana" w:cs="Verdana"/>
          <w:i/>
          <w:iCs/>
          <w:u w:val="single"/>
          <w:lang w:eastAsia="es-ES"/>
        </w:rPr>
        <w:t>de la prerrogativa de cobro coactivo o podrán acudir ante los jueces competentes</w:t>
      </w:r>
      <w:r w:rsidRPr="3C1C5266">
        <w:rPr>
          <w:rFonts w:ascii="Verdana" w:eastAsia="Verdana" w:hAnsi="Verdana" w:cs="Verdana"/>
          <w:i/>
          <w:iCs/>
          <w:lang w:eastAsia="es-ES"/>
        </w:rPr>
        <w:t>.</w:t>
      </w:r>
      <w:r w:rsidRPr="3C1C5266">
        <w:rPr>
          <w:rFonts w:ascii="Verdana" w:eastAsia="Verdana" w:hAnsi="Verdana" w:cs="Verdana"/>
          <w:vertAlign w:val="superscript"/>
          <w:lang w:eastAsia="es-ES"/>
        </w:rPr>
        <w:t xml:space="preserve"> “</w:t>
      </w:r>
      <w:r w:rsidRPr="3C1C5266">
        <w:rPr>
          <w:rFonts w:ascii="Verdana" w:eastAsia="Verdana" w:hAnsi="Verdana" w:cs="Verdana"/>
          <w:vertAlign w:val="superscript"/>
          <w:lang w:eastAsia="es-ES"/>
        </w:rPr>
        <w:footnoteReference w:id="1"/>
      </w:r>
    </w:p>
    <w:p w14:paraId="68E5A3D3" w14:textId="77777777" w:rsidR="00912EF8" w:rsidRPr="00461575" w:rsidRDefault="00912EF8" w:rsidP="3C1C5266">
      <w:pPr>
        <w:widowControl w:val="0"/>
        <w:autoSpaceDE w:val="0"/>
        <w:autoSpaceDN w:val="0"/>
        <w:adjustRightInd w:val="0"/>
        <w:spacing w:after="0"/>
        <w:ind w:left="709"/>
        <w:jc w:val="both"/>
        <w:rPr>
          <w:rFonts w:ascii="Verdana" w:eastAsia="Verdana" w:hAnsi="Verdana" w:cs="Verdana"/>
          <w:i/>
          <w:iCs/>
          <w:lang w:eastAsia="es-ES"/>
        </w:rPr>
      </w:pPr>
    </w:p>
    <w:p w14:paraId="1CAEC1E8" w14:textId="26415653" w:rsidR="00912EF8" w:rsidRPr="00461575" w:rsidRDefault="00912EF8" w:rsidP="3C1C5266">
      <w:pPr>
        <w:widowControl w:val="0"/>
        <w:autoSpaceDE w:val="0"/>
        <w:autoSpaceDN w:val="0"/>
        <w:adjustRightInd w:val="0"/>
        <w:spacing w:after="0"/>
        <w:ind w:left="709"/>
        <w:jc w:val="both"/>
        <w:rPr>
          <w:rFonts w:ascii="Verdana" w:eastAsia="Verdana" w:hAnsi="Verdana" w:cs="Verdana"/>
          <w:i/>
          <w:iCs/>
          <w:lang w:eastAsia="es-ES"/>
        </w:rPr>
      </w:pPr>
      <w:r w:rsidRPr="3C1C5266">
        <w:rPr>
          <w:rFonts w:ascii="Verdana" w:eastAsia="Verdana" w:hAnsi="Verdana" w:cs="Verdana"/>
          <w:i/>
          <w:iCs/>
          <w:lang w:eastAsia="es-ES"/>
        </w:rPr>
        <w:t xml:space="preserve">(Subraya fuera del texto original) </w:t>
      </w:r>
    </w:p>
    <w:p w14:paraId="396FC118" w14:textId="77777777" w:rsidR="00912EF8" w:rsidRPr="00E05E42" w:rsidRDefault="00912EF8" w:rsidP="3C1C5266">
      <w:pPr>
        <w:widowControl w:val="0"/>
        <w:autoSpaceDE w:val="0"/>
        <w:autoSpaceDN w:val="0"/>
        <w:adjustRightInd w:val="0"/>
        <w:spacing w:after="0"/>
        <w:ind w:left="709"/>
        <w:jc w:val="both"/>
        <w:rPr>
          <w:rFonts w:ascii="Verdana" w:eastAsia="Verdana" w:hAnsi="Verdana" w:cs="Verdana"/>
          <w:i/>
          <w:iCs/>
          <w:lang w:eastAsia="es-ES"/>
        </w:rPr>
      </w:pPr>
    </w:p>
    <w:p w14:paraId="0F4F8991" w14:textId="62480C13" w:rsidR="00912EF8" w:rsidRDefault="00912EF8" w:rsidP="3C1C5266">
      <w:pPr>
        <w:widowControl w:val="0"/>
        <w:autoSpaceDE w:val="0"/>
        <w:autoSpaceDN w:val="0"/>
        <w:adjustRightInd w:val="0"/>
        <w:spacing w:after="0"/>
        <w:jc w:val="both"/>
        <w:rPr>
          <w:rFonts w:ascii="Verdana" w:eastAsia="Verdana" w:hAnsi="Verdana" w:cs="Verdana"/>
          <w:lang w:eastAsia="es-ES"/>
        </w:rPr>
      </w:pPr>
      <w:r w:rsidRPr="3C1C5266">
        <w:rPr>
          <w:rFonts w:ascii="Verdana" w:eastAsia="Verdana" w:hAnsi="Verdana" w:cs="Verdana"/>
          <w:lang w:eastAsia="es-ES"/>
        </w:rPr>
        <w:t xml:space="preserve">En </w:t>
      </w:r>
      <w:r w:rsidR="00FB4A5E" w:rsidRPr="3C1C5266">
        <w:rPr>
          <w:rFonts w:ascii="Verdana" w:eastAsia="Verdana" w:hAnsi="Verdana" w:cs="Verdana"/>
          <w:lang w:eastAsia="es-ES"/>
        </w:rPr>
        <w:t>ese</w:t>
      </w:r>
      <w:r w:rsidRPr="3C1C5266">
        <w:rPr>
          <w:rFonts w:ascii="Verdana" w:eastAsia="Verdana" w:hAnsi="Verdana" w:cs="Verdana"/>
          <w:lang w:eastAsia="es-ES"/>
        </w:rPr>
        <w:t xml:space="preserve"> sentido, la ley les otorga a las </w:t>
      </w:r>
      <w:r w:rsidR="00CF53EF" w:rsidRPr="3C1C5266">
        <w:rPr>
          <w:rFonts w:ascii="Verdana" w:eastAsia="Verdana" w:hAnsi="Verdana" w:cs="Verdana"/>
          <w:lang w:eastAsia="es-ES"/>
        </w:rPr>
        <w:t>e</w:t>
      </w:r>
      <w:r w:rsidRPr="3C1C5266">
        <w:rPr>
          <w:rFonts w:ascii="Verdana" w:eastAsia="Verdana" w:hAnsi="Verdana" w:cs="Verdana"/>
          <w:lang w:eastAsia="es-ES"/>
        </w:rPr>
        <w:t xml:space="preserve">ntidades del Estado la posibilidad de recaudar las deudas a su favor mediante el proceso de cobro coactivo o les permite acudir ante los jueces competentes; así lo ha sostenido el Consejo de Estado: </w:t>
      </w:r>
    </w:p>
    <w:p w14:paraId="795D3CF7" w14:textId="77777777" w:rsidR="00912EF8" w:rsidRPr="00FC6E04" w:rsidRDefault="00912EF8" w:rsidP="3C1C5266">
      <w:pPr>
        <w:widowControl w:val="0"/>
        <w:autoSpaceDE w:val="0"/>
        <w:autoSpaceDN w:val="0"/>
        <w:adjustRightInd w:val="0"/>
        <w:spacing w:after="0"/>
        <w:jc w:val="both"/>
        <w:rPr>
          <w:rFonts w:ascii="Verdana" w:eastAsia="Verdana" w:hAnsi="Verdana" w:cs="Verdana"/>
          <w:lang w:eastAsia="es-ES"/>
        </w:rPr>
      </w:pPr>
    </w:p>
    <w:p w14:paraId="15F52C63" w14:textId="77777777" w:rsidR="00912EF8" w:rsidRPr="002E4765" w:rsidRDefault="00912EF8" w:rsidP="3C1C5266">
      <w:pPr>
        <w:widowControl w:val="0"/>
        <w:autoSpaceDE w:val="0"/>
        <w:autoSpaceDN w:val="0"/>
        <w:adjustRightInd w:val="0"/>
        <w:spacing w:after="0"/>
        <w:ind w:left="709"/>
        <w:jc w:val="both"/>
        <w:rPr>
          <w:rFonts w:ascii="Verdana" w:eastAsia="Verdana" w:hAnsi="Verdana" w:cs="Verdana"/>
          <w:i/>
          <w:iCs/>
          <w:lang w:eastAsia="es-ES"/>
        </w:rPr>
      </w:pPr>
      <w:r w:rsidRPr="3C1C5266">
        <w:rPr>
          <w:rFonts w:ascii="Verdana" w:eastAsia="Verdana" w:hAnsi="Verdana" w:cs="Verdana"/>
          <w:i/>
          <w:iCs/>
          <w:lang w:eastAsia="es-ES"/>
        </w:rPr>
        <w:t>“(…) El ordenamiento jurídico colombiano prevé esta clase de fórmulas para el cobro de los créditos en favor del Estado: 1</w:t>
      </w:r>
      <w:r w:rsidRPr="3C1C5266">
        <w:rPr>
          <w:rFonts w:ascii="Verdana" w:eastAsia="Verdana" w:hAnsi="Verdana" w:cs="Verdana"/>
          <w:i/>
          <w:iCs/>
          <w:u w:val="single"/>
          <w:lang w:eastAsia="es-ES"/>
        </w:rPr>
        <w:t>. Ante los jueces administrativos por vía del proceso ejecutivo.</w:t>
      </w:r>
      <w:r w:rsidRPr="3C1C5266">
        <w:rPr>
          <w:rFonts w:ascii="Verdana" w:eastAsia="Verdana" w:hAnsi="Verdana" w:cs="Verdana"/>
          <w:i/>
          <w:iCs/>
          <w:lang w:eastAsia="es-ES"/>
        </w:rPr>
        <w:t xml:space="preserve"> 2. </w:t>
      </w:r>
      <w:r w:rsidRPr="3C1C5266">
        <w:rPr>
          <w:rFonts w:ascii="Verdana" w:eastAsia="Verdana" w:hAnsi="Verdana" w:cs="Verdana"/>
          <w:i/>
          <w:iCs/>
          <w:u w:val="single"/>
          <w:lang w:eastAsia="es-ES"/>
        </w:rPr>
        <w:t>Recurriendo ante los jueces civiles, mediante el mismo proceso ejecutivo;</w:t>
      </w:r>
      <w:r w:rsidRPr="3C1C5266">
        <w:rPr>
          <w:rFonts w:ascii="Verdana" w:eastAsia="Verdana" w:hAnsi="Verdana" w:cs="Verdana"/>
          <w:i/>
          <w:iCs/>
          <w:lang w:eastAsia="es-ES"/>
        </w:rPr>
        <w:t xml:space="preserve"> </w:t>
      </w:r>
      <w:r w:rsidRPr="3C1C5266">
        <w:rPr>
          <w:rFonts w:ascii="Verdana" w:eastAsia="Verdana" w:hAnsi="Verdana" w:cs="Verdana"/>
          <w:b/>
          <w:bCs/>
          <w:i/>
          <w:iCs/>
          <w:u w:val="single"/>
          <w:lang w:eastAsia="es-ES"/>
        </w:rPr>
        <w:t>o por la propia administración, en asuntos tributarios por medio del procedimiento administrativo de jurisdicción coactiva</w:t>
      </w:r>
      <w:r w:rsidRPr="3C1C5266">
        <w:rPr>
          <w:rFonts w:ascii="Verdana" w:eastAsia="Verdana" w:hAnsi="Verdana" w:cs="Verdana"/>
          <w:i/>
          <w:iCs/>
          <w:lang w:eastAsia="es-ES"/>
        </w:rPr>
        <w:t xml:space="preserve"> (…)”</w:t>
      </w:r>
      <w:r w:rsidRPr="3C1C5266">
        <w:rPr>
          <w:rFonts w:ascii="Verdana" w:eastAsia="Verdana" w:hAnsi="Verdana" w:cs="Verdana"/>
          <w:i/>
          <w:iCs/>
          <w:vertAlign w:val="superscript"/>
          <w:lang w:eastAsia="es-ES"/>
        </w:rPr>
        <w:footnoteReference w:id="2"/>
      </w:r>
      <w:r w:rsidRPr="3C1C5266">
        <w:rPr>
          <w:rFonts w:ascii="Verdana" w:eastAsia="Verdana" w:hAnsi="Verdana" w:cs="Verdana"/>
          <w:i/>
          <w:iCs/>
          <w:lang w:eastAsia="es-ES"/>
        </w:rPr>
        <w:t xml:space="preserve">. </w:t>
      </w:r>
    </w:p>
    <w:p w14:paraId="1D7011BA" w14:textId="77777777" w:rsidR="00912EF8" w:rsidRPr="002E4765" w:rsidRDefault="00912EF8" w:rsidP="3C1C5266">
      <w:pPr>
        <w:widowControl w:val="0"/>
        <w:autoSpaceDE w:val="0"/>
        <w:autoSpaceDN w:val="0"/>
        <w:adjustRightInd w:val="0"/>
        <w:spacing w:after="0"/>
        <w:ind w:left="709"/>
        <w:jc w:val="both"/>
        <w:rPr>
          <w:rFonts w:ascii="Verdana" w:eastAsia="Verdana" w:hAnsi="Verdana" w:cs="Verdana"/>
          <w:i/>
          <w:iCs/>
          <w:lang w:eastAsia="es-ES"/>
        </w:rPr>
      </w:pPr>
    </w:p>
    <w:p w14:paraId="08F8BFE7" w14:textId="79B48570" w:rsidR="00912EF8" w:rsidRPr="002E4765" w:rsidRDefault="00912EF8" w:rsidP="3C1C5266">
      <w:pPr>
        <w:widowControl w:val="0"/>
        <w:autoSpaceDE w:val="0"/>
        <w:autoSpaceDN w:val="0"/>
        <w:adjustRightInd w:val="0"/>
        <w:spacing w:after="0"/>
        <w:ind w:left="709"/>
        <w:jc w:val="both"/>
        <w:rPr>
          <w:rFonts w:ascii="Verdana" w:eastAsia="Verdana" w:hAnsi="Verdana" w:cs="Verdana"/>
          <w:i/>
          <w:iCs/>
          <w:lang w:eastAsia="es-ES"/>
        </w:rPr>
      </w:pPr>
      <w:r w:rsidRPr="3C1C5266">
        <w:rPr>
          <w:rFonts w:ascii="Verdana" w:eastAsia="Verdana" w:hAnsi="Verdana" w:cs="Verdana"/>
          <w:i/>
          <w:iCs/>
          <w:lang w:eastAsia="es-ES"/>
        </w:rPr>
        <w:t>(Subraya y negrilla fuera del texto original)</w:t>
      </w:r>
    </w:p>
    <w:p w14:paraId="49E6B13F" w14:textId="77777777" w:rsidR="00912EF8" w:rsidRPr="0023625B" w:rsidRDefault="00912EF8" w:rsidP="3C1C5266">
      <w:pPr>
        <w:widowControl w:val="0"/>
        <w:autoSpaceDE w:val="0"/>
        <w:autoSpaceDN w:val="0"/>
        <w:adjustRightInd w:val="0"/>
        <w:spacing w:after="0"/>
        <w:ind w:left="709"/>
        <w:jc w:val="both"/>
        <w:rPr>
          <w:rFonts w:ascii="Verdana" w:eastAsia="Verdana" w:hAnsi="Verdana" w:cs="Verdana"/>
          <w:lang w:eastAsia="es-ES"/>
        </w:rPr>
      </w:pPr>
    </w:p>
    <w:p w14:paraId="322A9DCC" w14:textId="7F30C1C1" w:rsidR="00912EF8" w:rsidRDefault="00912EF8" w:rsidP="3C1C5266">
      <w:pPr>
        <w:widowControl w:val="0"/>
        <w:autoSpaceDE w:val="0"/>
        <w:autoSpaceDN w:val="0"/>
        <w:adjustRightInd w:val="0"/>
        <w:spacing w:after="0"/>
        <w:jc w:val="both"/>
        <w:rPr>
          <w:rFonts w:ascii="Verdana" w:eastAsia="Verdana" w:hAnsi="Verdana" w:cs="Verdana"/>
          <w:lang w:eastAsia="es-ES"/>
        </w:rPr>
      </w:pPr>
      <w:r w:rsidRPr="3C1C5266">
        <w:rPr>
          <w:rFonts w:ascii="Verdana" w:eastAsia="Verdana" w:hAnsi="Verdana" w:cs="Verdana"/>
          <w:lang w:eastAsia="es-ES"/>
        </w:rPr>
        <w:t>Al respecto, tanto la opción de recurrir al proceso de cobro coactivo como la de acudir a los jueces competentes mediante procesos ejecutivos, permiten asegurar el cumplimiento de las obligaciones y la recuperación de los recursos adeudados al Estado. Es importante tener en cuenta que estas dos formas de cobro son excluyentes, es decir, no se pueden llevar a cabo simultáneamente si ya se ha iniciado una de ellas.</w:t>
      </w:r>
    </w:p>
    <w:p w14:paraId="4CBFE75D" w14:textId="77777777" w:rsidR="00912EF8" w:rsidRPr="00912EF8" w:rsidRDefault="00912EF8" w:rsidP="3C1C5266">
      <w:pPr>
        <w:widowControl w:val="0"/>
        <w:autoSpaceDE w:val="0"/>
        <w:autoSpaceDN w:val="0"/>
        <w:adjustRightInd w:val="0"/>
        <w:spacing w:after="0"/>
        <w:jc w:val="both"/>
        <w:rPr>
          <w:rFonts w:ascii="Verdana" w:eastAsia="Verdana" w:hAnsi="Verdana" w:cs="Verdana"/>
          <w:lang w:eastAsia="es-ES"/>
        </w:rPr>
      </w:pPr>
    </w:p>
    <w:p w14:paraId="347B8A03" w14:textId="0104133E" w:rsidR="007B5827" w:rsidRDefault="001871A9" w:rsidP="3C1C5266">
      <w:pPr>
        <w:widowControl w:val="0"/>
        <w:autoSpaceDE w:val="0"/>
        <w:autoSpaceDN w:val="0"/>
        <w:adjustRightInd w:val="0"/>
        <w:spacing w:after="0"/>
        <w:jc w:val="both"/>
        <w:rPr>
          <w:rFonts w:ascii="Verdana" w:eastAsia="Verdana" w:hAnsi="Verdana" w:cs="Verdana"/>
          <w:lang w:eastAsia="es-ES"/>
        </w:rPr>
      </w:pPr>
      <w:r w:rsidRPr="3C1C5266">
        <w:rPr>
          <w:rFonts w:ascii="Verdana" w:eastAsia="Verdana" w:hAnsi="Verdana" w:cs="Verdana"/>
          <w:lang w:eastAsia="es-ES"/>
        </w:rPr>
        <w:t>L</w:t>
      </w:r>
      <w:r w:rsidR="00912EF8" w:rsidRPr="3C1C5266">
        <w:rPr>
          <w:rFonts w:ascii="Verdana" w:eastAsia="Verdana" w:hAnsi="Verdana" w:cs="Verdana"/>
          <w:lang w:eastAsia="es-ES"/>
        </w:rPr>
        <w:t xml:space="preserve">a </w:t>
      </w:r>
      <w:r w:rsidR="007B5827" w:rsidRPr="3C1C5266">
        <w:rPr>
          <w:rFonts w:ascii="Verdana" w:eastAsia="Verdana" w:hAnsi="Verdana" w:cs="Verdana"/>
          <w:lang w:eastAsia="es-ES"/>
        </w:rPr>
        <w:t xml:space="preserve">Ley 1066 de 2006 en </w:t>
      </w:r>
      <w:r w:rsidR="00CF53EF" w:rsidRPr="3C1C5266">
        <w:rPr>
          <w:rFonts w:ascii="Verdana" w:eastAsia="Verdana" w:hAnsi="Verdana" w:cs="Verdana"/>
          <w:lang w:eastAsia="es-ES"/>
        </w:rPr>
        <w:t xml:space="preserve">el </w:t>
      </w:r>
      <w:r w:rsidR="007B5827" w:rsidRPr="3C1C5266">
        <w:rPr>
          <w:rFonts w:ascii="Verdana" w:eastAsia="Verdana" w:hAnsi="Verdana" w:cs="Verdana"/>
          <w:lang w:eastAsia="es-ES"/>
        </w:rPr>
        <w:t xml:space="preserve">artículo </w:t>
      </w:r>
      <w:r w:rsidR="007B5827" w:rsidRPr="3C1C5266">
        <w:rPr>
          <w:rFonts w:ascii="Verdana" w:eastAsia="Verdana" w:hAnsi="Verdana" w:cs="Verdana"/>
        </w:rPr>
        <w:t xml:space="preserve">5 </w:t>
      </w:r>
      <w:r w:rsidR="007B5827" w:rsidRPr="3C1C5266">
        <w:rPr>
          <w:rFonts w:ascii="Verdana" w:eastAsia="Verdana" w:hAnsi="Verdana" w:cs="Verdana"/>
          <w:lang w:eastAsia="es-ES"/>
        </w:rPr>
        <w:t xml:space="preserve">otorgó a las </w:t>
      </w:r>
      <w:r w:rsidR="00747B23" w:rsidRPr="3C1C5266">
        <w:rPr>
          <w:rFonts w:ascii="Verdana" w:eastAsia="Verdana" w:hAnsi="Verdana" w:cs="Verdana"/>
          <w:lang w:eastAsia="es-ES"/>
        </w:rPr>
        <w:t>E</w:t>
      </w:r>
      <w:r w:rsidR="007B5827" w:rsidRPr="3C1C5266">
        <w:rPr>
          <w:rFonts w:ascii="Verdana" w:eastAsia="Verdana" w:hAnsi="Verdana" w:cs="Verdana"/>
          <w:lang w:eastAsia="es-ES"/>
        </w:rPr>
        <w:t>ntidades del Estado la prerrogativa del cobro coactivo, permitiéndoles hacer exigibles las deudas a su favor</w:t>
      </w:r>
      <w:r w:rsidR="002E4765" w:rsidRPr="3C1C5266">
        <w:rPr>
          <w:rFonts w:ascii="Verdana" w:eastAsia="Verdana" w:hAnsi="Verdana" w:cs="Verdana"/>
          <w:lang w:eastAsia="es-ES"/>
        </w:rPr>
        <w:t xml:space="preserve">, </w:t>
      </w:r>
      <w:r w:rsidR="00206574" w:rsidRPr="3C1C5266">
        <w:rPr>
          <w:rFonts w:ascii="Verdana" w:eastAsia="Verdana" w:hAnsi="Verdana" w:cs="Verdana"/>
          <w:lang w:eastAsia="es-ES"/>
        </w:rPr>
        <w:t>léase a continuación</w:t>
      </w:r>
      <w:r w:rsidR="002E4765" w:rsidRPr="3C1C5266">
        <w:rPr>
          <w:rFonts w:ascii="Verdana" w:eastAsia="Verdana" w:hAnsi="Verdana" w:cs="Verdana"/>
          <w:lang w:eastAsia="es-ES"/>
        </w:rPr>
        <w:t xml:space="preserve">: </w:t>
      </w:r>
    </w:p>
    <w:p w14:paraId="58960274" w14:textId="77777777" w:rsidR="002E4765" w:rsidRDefault="002E4765" w:rsidP="3C1C5266">
      <w:pPr>
        <w:widowControl w:val="0"/>
        <w:autoSpaceDE w:val="0"/>
        <w:autoSpaceDN w:val="0"/>
        <w:adjustRightInd w:val="0"/>
        <w:spacing w:after="0"/>
        <w:jc w:val="both"/>
        <w:rPr>
          <w:rFonts w:ascii="Verdana" w:eastAsia="Verdana" w:hAnsi="Verdana" w:cs="Verdana"/>
          <w:lang w:eastAsia="es-ES"/>
        </w:rPr>
      </w:pPr>
    </w:p>
    <w:p w14:paraId="3F1FD99D" w14:textId="7B9AE5CD" w:rsidR="002E4765" w:rsidRPr="00C85D76" w:rsidRDefault="002E4765" w:rsidP="3C1C5266">
      <w:pPr>
        <w:widowControl w:val="0"/>
        <w:autoSpaceDE w:val="0"/>
        <w:autoSpaceDN w:val="0"/>
        <w:adjustRightInd w:val="0"/>
        <w:spacing w:after="0"/>
        <w:ind w:left="709"/>
        <w:jc w:val="both"/>
        <w:rPr>
          <w:rFonts w:ascii="Verdana" w:eastAsia="Verdana" w:hAnsi="Verdana" w:cs="Verdana"/>
          <w:i/>
          <w:iCs/>
          <w:u w:val="single"/>
          <w:lang w:eastAsia="es-ES"/>
        </w:rPr>
      </w:pPr>
      <w:r w:rsidRPr="3C1C5266">
        <w:rPr>
          <w:rFonts w:ascii="Verdana" w:eastAsia="Verdana" w:hAnsi="Verdana" w:cs="Verdana"/>
          <w:i/>
          <w:iCs/>
          <w:u w:val="single"/>
          <w:lang w:eastAsia="es-ES"/>
        </w:rPr>
        <w:t>“</w:t>
      </w:r>
      <w:r w:rsidRPr="3C1C5266">
        <w:rPr>
          <w:rFonts w:ascii="Verdana" w:eastAsia="Verdana" w:hAnsi="Verdana" w:cs="Verdana"/>
          <w:i/>
          <w:iCs/>
          <w:u w:val="single"/>
          <w:shd w:val="clear" w:color="auto" w:fill="FFFFFF"/>
        </w:rPr>
        <w:t>Artículo 5°.</w:t>
      </w:r>
      <w:r w:rsidRPr="3C1C5266">
        <w:rPr>
          <w:rFonts w:ascii="Verdana" w:eastAsia="Verdana" w:hAnsi="Verdana" w:cs="Verdana"/>
          <w:b/>
          <w:bCs/>
          <w:i/>
          <w:iCs/>
          <w:u w:val="single"/>
          <w:shd w:val="clear" w:color="auto" w:fill="FFFFFF"/>
        </w:rPr>
        <w:t> </w:t>
      </w:r>
      <w:r w:rsidRPr="3C1C5266">
        <w:rPr>
          <w:rFonts w:ascii="Verdana" w:eastAsia="Verdana" w:hAnsi="Verdana" w:cs="Verdana"/>
          <w:i/>
          <w:iCs/>
          <w:u w:val="single"/>
          <w:shd w:val="clear" w:color="auto" w:fill="FFFFFF"/>
        </w:rPr>
        <w:t>Facultad de cobro coactivo y procedimiento para las entidades públicas. Las entidades públicas que de manera permanente tengan a su cargo el ejercicio de las actividades y funciones administrativas o la prestación de servicios del Estado colombiano y que en virtud de estas tengan que recaudar rentas o caudales públicos, del nivel nacional, territorial, incluidos los órganos autónomos y entidades con régimen especial otorgado por la Constitución Política, tienen jurisdicción coactiva para hacer efectivas las obligaciones exigibles a su favor y, para estos efectos, deberán seguir el procedimiento descrito en el Estatuto Tributario.   (…)”</w:t>
      </w:r>
    </w:p>
    <w:p w14:paraId="08689A94" w14:textId="77777777" w:rsidR="00D60761" w:rsidRDefault="00D60761" w:rsidP="3C1C5266">
      <w:pPr>
        <w:widowControl w:val="0"/>
        <w:autoSpaceDE w:val="0"/>
        <w:autoSpaceDN w:val="0"/>
        <w:adjustRightInd w:val="0"/>
        <w:spacing w:after="0"/>
        <w:jc w:val="both"/>
        <w:rPr>
          <w:rFonts w:ascii="Verdana" w:eastAsia="Verdana" w:hAnsi="Verdana" w:cs="Verdana"/>
          <w:lang w:eastAsia="es-ES"/>
        </w:rPr>
      </w:pPr>
    </w:p>
    <w:p w14:paraId="55FBCA4B" w14:textId="197AD235" w:rsidR="002E4765" w:rsidRDefault="00133283" w:rsidP="3C1C5266">
      <w:pPr>
        <w:widowControl w:val="0"/>
        <w:autoSpaceDE w:val="0"/>
        <w:autoSpaceDN w:val="0"/>
        <w:adjustRightInd w:val="0"/>
        <w:spacing w:after="0"/>
        <w:jc w:val="both"/>
        <w:rPr>
          <w:rFonts w:ascii="Verdana" w:eastAsia="Verdana" w:hAnsi="Verdana" w:cs="Verdana"/>
          <w:lang w:eastAsia="es-ES"/>
        </w:rPr>
      </w:pPr>
      <w:r w:rsidRPr="3C1C5266">
        <w:rPr>
          <w:rFonts w:ascii="Verdana" w:eastAsia="Verdana" w:hAnsi="Verdana" w:cs="Verdana"/>
          <w:lang w:eastAsia="es-ES"/>
        </w:rPr>
        <w:t xml:space="preserve">Adicionalmente, se debe indicar que </w:t>
      </w:r>
      <w:r w:rsidR="00D60761" w:rsidRPr="3C1C5266">
        <w:rPr>
          <w:rFonts w:ascii="Verdana" w:eastAsia="Verdana" w:hAnsi="Verdana" w:cs="Verdana"/>
          <w:lang w:eastAsia="es-ES"/>
        </w:rPr>
        <w:t>el proceso</w:t>
      </w:r>
      <w:r w:rsidRPr="3C1C5266">
        <w:rPr>
          <w:rFonts w:ascii="Verdana" w:eastAsia="Verdana" w:hAnsi="Verdana" w:cs="Verdana"/>
          <w:lang w:eastAsia="es-ES"/>
        </w:rPr>
        <w:t xml:space="preserve"> </w:t>
      </w:r>
      <w:r w:rsidR="006418A1" w:rsidRPr="3C1C5266">
        <w:rPr>
          <w:rFonts w:ascii="Verdana" w:eastAsia="Verdana" w:hAnsi="Verdana" w:cs="Verdana"/>
          <w:lang w:eastAsia="es-ES"/>
        </w:rPr>
        <w:t>de cobro</w:t>
      </w:r>
      <w:r w:rsidRPr="3C1C5266">
        <w:rPr>
          <w:rFonts w:ascii="Verdana" w:eastAsia="Verdana" w:hAnsi="Verdana" w:cs="Verdana"/>
          <w:lang w:eastAsia="es-ES"/>
        </w:rPr>
        <w:t xml:space="preserve"> coactivo tiene un carácter especial, por lo que se </w:t>
      </w:r>
      <w:r w:rsidR="006418A1" w:rsidRPr="3C1C5266">
        <w:rPr>
          <w:rFonts w:ascii="Verdana" w:eastAsia="Verdana" w:hAnsi="Verdana" w:cs="Verdana"/>
          <w:lang w:eastAsia="es-ES"/>
        </w:rPr>
        <w:t>encuentra regulado</w:t>
      </w:r>
      <w:r w:rsidRPr="3C1C5266">
        <w:rPr>
          <w:rFonts w:ascii="Verdana" w:eastAsia="Verdana" w:hAnsi="Verdana" w:cs="Verdana"/>
          <w:lang w:eastAsia="es-ES"/>
        </w:rPr>
        <w:t xml:space="preserve"> en el título IV del Código de Procedimiento Administrativo y lo Contencioso Administrativo (C.P.A.C.A.) y el Estatuto Tributario Nacional. </w:t>
      </w:r>
      <w:r w:rsidR="002E4765" w:rsidRPr="3C1C5266">
        <w:rPr>
          <w:rFonts w:ascii="Verdana" w:eastAsia="Verdana" w:hAnsi="Verdana" w:cs="Verdana"/>
          <w:lang w:eastAsia="es-ES"/>
        </w:rPr>
        <w:t xml:space="preserve">Además, </w:t>
      </w:r>
      <w:r w:rsidR="00CF53EF" w:rsidRPr="3C1C5266">
        <w:rPr>
          <w:rFonts w:ascii="Verdana" w:eastAsia="Verdana" w:hAnsi="Verdana" w:cs="Verdana"/>
          <w:lang w:eastAsia="es-ES"/>
        </w:rPr>
        <w:t xml:space="preserve">en </w:t>
      </w:r>
      <w:r w:rsidR="002E4765" w:rsidRPr="3C1C5266">
        <w:rPr>
          <w:rFonts w:ascii="Verdana" w:eastAsia="Verdana" w:hAnsi="Verdana" w:cs="Verdana"/>
          <w:lang w:eastAsia="es-ES"/>
        </w:rPr>
        <w:t xml:space="preserve">el artículo 100 ibidem, remite expresamente al Código General del Proceso en aquellos aspectos no </w:t>
      </w:r>
      <w:r w:rsidR="007A6CCE" w:rsidRPr="3C1C5266">
        <w:rPr>
          <w:rFonts w:ascii="Verdana" w:eastAsia="Verdana" w:hAnsi="Verdana" w:cs="Verdana"/>
          <w:lang w:eastAsia="es-ES"/>
        </w:rPr>
        <w:t>contemplados</w:t>
      </w:r>
      <w:r w:rsidR="002E4765" w:rsidRPr="3C1C5266">
        <w:rPr>
          <w:rFonts w:ascii="Verdana" w:eastAsia="Verdana" w:hAnsi="Verdana" w:cs="Verdana"/>
          <w:lang w:eastAsia="es-ES"/>
        </w:rPr>
        <w:t xml:space="preserve"> por las normas especiales </w:t>
      </w:r>
      <w:r w:rsidR="00747B23" w:rsidRPr="3C1C5266">
        <w:rPr>
          <w:rFonts w:ascii="Verdana" w:eastAsia="Verdana" w:hAnsi="Verdana" w:cs="Verdana"/>
          <w:lang w:eastAsia="es-ES"/>
        </w:rPr>
        <w:t xml:space="preserve">y </w:t>
      </w:r>
      <w:r w:rsidR="002E4765" w:rsidRPr="3C1C5266">
        <w:rPr>
          <w:rFonts w:ascii="Verdana" w:eastAsia="Verdana" w:hAnsi="Verdana" w:cs="Verdana"/>
          <w:lang w:eastAsia="es-ES"/>
        </w:rPr>
        <w:t>anteriormente referidas.</w:t>
      </w:r>
    </w:p>
    <w:p w14:paraId="1B49BA78" w14:textId="472DBEC1" w:rsidR="002E4765" w:rsidRDefault="002E4765" w:rsidP="3C1C5266">
      <w:pPr>
        <w:widowControl w:val="0"/>
        <w:autoSpaceDE w:val="0"/>
        <w:autoSpaceDN w:val="0"/>
        <w:adjustRightInd w:val="0"/>
        <w:spacing w:after="0"/>
        <w:jc w:val="both"/>
        <w:rPr>
          <w:rFonts w:ascii="Verdana" w:eastAsia="Verdana" w:hAnsi="Verdana" w:cs="Verdana"/>
          <w:lang w:eastAsia="es-ES"/>
        </w:rPr>
      </w:pPr>
    </w:p>
    <w:p w14:paraId="40FBDDA3" w14:textId="4AEB1B67" w:rsidR="000B1448" w:rsidRPr="000B1448" w:rsidRDefault="00FE261A" w:rsidP="3C1C5266">
      <w:pPr>
        <w:widowControl w:val="0"/>
        <w:autoSpaceDE w:val="0"/>
        <w:autoSpaceDN w:val="0"/>
        <w:adjustRightInd w:val="0"/>
        <w:spacing w:after="0"/>
        <w:jc w:val="both"/>
        <w:rPr>
          <w:rFonts w:ascii="Verdana" w:eastAsia="Verdana" w:hAnsi="Verdana" w:cs="Verdana"/>
          <w:b/>
          <w:bCs/>
          <w:lang w:eastAsia="es-ES"/>
        </w:rPr>
      </w:pPr>
      <w:r w:rsidRPr="3C1C5266">
        <w:rPr>
          <w:rFonts w:ascii="Verdana" w:eastAsia="Verdana" w:hAnsi="Verdana" w:cs="Verdana"/>
          <w:b/>
          <w:bCs/>
          <w:lang w:eastAsia="es-ES"/>
        </w:rPr>
        <w:t>2</w:t>
      </w:r>
      <w:r w:rsidR="000B1448" w:rsidRPr="3C1C5266">
        <w:rPr>
          <w:rFonts w:ascii="Verdana" w:eastAsia="Verdana" w:hAnsi="Verdana" w:cs="Verdana"/>
          <w:b/>
          <w:bCs/>
          <w:lang w:eastAsia="es-ES"/>
        </w:rPr>
        <w:t>.2</w:t>
      </w:r>
      <w:r w:rsidRPr="3C1C5266">
        <w:rPr>
          <w:rFonts w:ascii="Verdana" w:eastAsia="Verdana" w:hAnsi="Verdana" w:cs="Verdana"/>
          <w:b/>
          <w:bCs/>
          <w:lang w:eastAsia="es-ES"/>
        </w:rPr>
        <w:t>.</w:t>
      </w:r>
      <w:r w:rsidR="000B1448" w:rsidRPr="3C1C5266">
        <w:rPr>
          <w:rFonts w:ascii="Verdana" w:eastAsia="Verdana" w:hAnsi="Verdana" w:cs="Verdana"/>
          <w:b/>
          <w:bCs/>
          <w:lang w:eastAsia="es-ES"/>
        </w:rPr>
        <w:t xml:space="preserve"> Firmeza del acto administrativo </w:t>
      </w:r>
      <w:r w:rsidR="00C13C1F" w:rsidRPr="3C1C5266">
        <w:rPr>
          <w:rFonts w:ascii="Verdana" w:eastAsia="Verdana" w:hAnsi="Verdana" w:cs="Verdana"/>
          <w:b/>
          <w:bCs/>
          <w:lang w:eastAsia="es-ES"/>
        </w:rPr>
        <w:t>y presunción de legalidad que lo cobija</w:t>
      </w:r>
      <w:r w:rsidR="00CF53EF" w:rsidRPr="3C1C5266">
        <w:rPr>
          <w:rFonts w:ascii="Verdana" w:eastAsia="Verdana" w:hAnsi="Verdana" w:cs="Verdana"/>
          <w:b/>
          <w:bCs/>
          <w:lang w:eastAsia="es-ES"/>
        </w:rPr>
        <w:t>.</w:t>
      </w:r>
    </w:p>
    <w:p w14:paraId="3BD74E9F" w14:textId="77777777" w:rsidR="000B1448" w:rsidRPr="000B1448" w:rsidRDefault="000B1448" w:rsidP="3C1C5266">
      <w:pPr>
        <w:widowControl w:val="0"/>
        <w:autoSpaceDE w:val="0"/>
        <w:autoSpaceDN w:val="0"/>
        <w:adjustRightInd w:val="0"/>
        <w:spacing w:after="0"/>
        <w:jc w:val="both"/>
        <w:rPr>
          <w:rFonts w:ascii="Verdana" w:eastAsia="Verdana" w:hAnsi="Verdana" w:cs="Verdana"/>
          <w:lang w:eastAsia="es-ES"/>
        </w:rPr>
      </w:pPr>
    </w:p>
    <w:p w14:paraId="7A4808D6" w14:textId="5B42CCFA" w:rsidR="00FC6E04" w:rsidRDefault="00461575" w:rsidP="3C1C5266">
      <w:pPr>
        <w:widowControl w:val="0"/>
        <w:autoSpaceDE w:val="0"/>
        <w:autoSpaceDN w:val="0"/>
        <w:adjustRightInd w:val="0"/>
        <w:spacing w:after="0"/>
        <w:jc w:val="both"/>
        <w:rPr>
          <w:rFonts w:ascii="Verdana" w:eastAsia="Verdana" w:hAnsi="Verdana" w:cs="Verdana"/>
          <w:lang w:eastAsia="es-ES"/>
        </w:rPr>
      </w:pPr>
      <w:r w:rsidRPr="3C1C5266">
        <w:rPr>
          <w:rFonts w:ascii="Verdana" w:eastAsia="Verdana" w:hAnsi="Verdana" w:cs="Verdana"/>
          <w:lang w:eastAsia="es-ES"/>
        </w:rPr>
        <w:t xml:space="preserve">El </w:t>
      </w:r>
      <w:r w:rsidR="00D60761" w:rsidRPr="3C1C5266">
        <w:rPr>
          <w:rFonts w:ascii="Verdana" w:eastAsia="Verdana" w:hAnsi="Verdana" w:cs="Verdana"/>
          <w:lang w:eastAsia="es-ES"/>
        </w:rPr>
        <w:t xml:space="preserve">Instituto Colombiano de Bienestar Familiar cuenta con un Reglamento Interno de Cartera, Resolución 5003 de 2020, normativa que establece en </w:t>
      </w:r>
      <w:r w:rsidR="00CF53EF" w:rsidRPr="3C1C5266">
        <w:rPr>
          <w:rFonts w:ascii="Verdana" w:eastAsia="Verdana" w:hAnsi="Verdana" w:cs="Verdana"/>
          <w:lang w:eastAsia="es-ES"/>
        </w:rPr>
        <w:t xml:space="preserve">el </w:t>
      </w:r>
      <w:r w:rsidR="00D60761" w:rsidRPr="3C1C5266">
        <w:rPr>
          <w:rFonts w:ascii="Verdana" w:eastAsia="Verdana" w:hAnsi="Verdana" w:cs="Verdana"/>
          <w:lang w:eastAsia="es-ES"/>
        </w:rPr>
        <w:t>artículo</w:t>
      </w:r>
      <w:r w:rsidR="00FC6E04" w:rsidRPr="3C1C5266">
        <w:rPr>
          <w:rFonts w:ascii="Verdana" w:eastAsia="Verdana" w:hAnsi="Verdana" w:cs="Verdana"/>
          <w:lang w:eastAsia="es-ES"/>
        </w:rPr>
        <w:t xml:space="preserve"> 5 los requisitos para iniciar el proceso administrativo de cobro persuasivo y coactivo, y en </w:t>
      </w:r>
      <w:r w:rsidR="00CF53EF" w:rsidRPr="3C1C5266">
        <w:rPr>
          <w:rFonts w:ascii="Verdana" w:eastAsia="Verdana" w:hAnsi="Verdana" w:cs="Verdana"/>
          <w:lang w:eastAsia="es-ES"/>
        </w:rPr>
        <w:t xml:space="preserve">el </w:t>
      </w:r>
      <w:r w:rsidR="00FC6E04" w:rsidRPr="3C1C5266">
        <w:rPr>
          <w:rFonts w:ascii="Verdana" w:eastAsia="Verdana" w:hAnsi="Verdana" w:cs="Verdana"/>
          <w:lang w:eastAsia="es-ES"/>
        </w:rPr>
        <w:t xml:space="preserve">numeral 1 establece las exigencias que debe cumplir el título ejecutivo, pues este debe ser claro, expreso y exigible, de conformidad con el marco legal antes reseñado. </w:t>
      </w:r>
    </w:p>
    <w:p w14:paraId="49404143" w14:textId="77777777" w:rsidR="00E30FF5" w:rsidRDefault="00E30FF5" w:rsidP="3C1C5266">
      <w:pPr>
        <w:widowControl w:val="0"/>
        <w:autoSpaceDE w:val="0"/>
        <w:autoSpaceDN w:val="0"/>
        <w:adjustRightInd w:val="0"/>
        <w:spacing w:after="0"/>
        <w:jc w:val="both"/>
        <w:rPr>
          <w:rFonts w:ascii="Verdana" w:eastAsia="Verdana" w:hAnsi="Verdana" w:cs="Verdana"/>
          <w:lang w:eastAsia="es-ES"/>
        </w:rPr>
      </w:pPr>
    </w:p>
    <w:p w14:paraId="3ECD9C45" w14:textId="10652F8B" w:rsidR="006D6044" w:rsidRDefault="00E30FF5" w:rsidP="3C1C5266">
      <w:pPr>
        <w:widowControl w:val="0"/>
        <w:autoSpaceDE w:val="0"/>
        <w:autoSpaceDN w:val="0"/>
        <w:adjustRightInd w:val="0"/>
        <w:spacing w:after="0"/>
        <w:jc w:val="both"/>
        <w:rPr>
          <w:rFonts w:ascii="Verdana" w:eastAsia="Verdana" w:hAnsi="Verdana" w:cs="Verdana"/>
          <w:lang w:eastAsia="es-ES"/>
        </w:rPr>
      </w:pPr>
      <w:r w:rsidRPr="3C1C5266">
        <w:rPr>
          <w:rFonts w:ascii="Verdana" w:eastAsia="Verdana" w:hAnsi="Verdana" w:cs="Verdana"/>
          <w:lang w:eastAsia="es-ES"/>
        </w:rPr>
        <w:t xml:space="preserve">En atención a lo expuesto y considerando que, previo al inicio de un proceso de cobro </w:t>
      </w:r>
      <w:r w:rsidR="00013D76" w:rsidRPr="3C1C5266">
        <w:rPr>
          <w:rFonts w:ascii="Verdana" w:eastAsia="Verdana" w:hAnsi="Verdana" w:cs="Verdana"/>
          <w:lang w:eastAsia="es-ES"/>
        </w:rPr>
        <w:t xml:space="preserve">persuasivo y </w:t>
      </w:r>
      <w:r w:rsidRPr="3C1C5266">
        <w:rPr>
          <w:rFonts w:ascii="Verdana" w:eastAsia="Verdana" w:hAnsi="Verdana" w:cs="Verdana"/>
          <w:lang w:eastAsia="es-ES"/>
        </w:rPr>
        <w:t>coactivo, es necesario anali</w:t>
      </w:r>
      <w:r w:rsidR="00013D76" w:rsidRPr="3C1C5266">
        <w:rPr>
          <w:rFonts w:ascii="Verdana" w:eastAsia="Verdana" w:hAnsi="Verdana" w:cs="Verdana"/>
          <w:lang w:eastAsia="es-ES"/>
        </w:rPr>
        <w:t>zar</w:t>
      </w:r>
      <w:r w:rsidRPr="3C1C5266">
        <w:rPr>
          <w:rFonts w:ascii="Verdana" w:eastAsia="Verdana" w:hAnsi="Verdana" w:cs="Verdana"/>
          <w:lang w:eastAsia="es-ES"/>
        </w:rPr>
        <w:t xml:space="preserve"> el documento que contiene el título ejecutivo y </w:t>
      </w:r>
      <w:r w:rsidR="00013D76" w:rsidRPr="3C1C5266">
        <w:rPr>
          <w:rFonts w:ascii="Verdana" w:eastAsia="Verdana" w:hAnsi="Verdana" w:cs="Verdana"/>
          <w:lang w:eastAsia="es-ES"/>
        </w:rPr>
        <w:t>asegurase</w:t>
      </w:r>
      <w:r w:rsidRPr="3C1C5266">
        <w:rPr>
          <w:rFonts w:ascii="Verdana" w:eastAsia="Verdana" w:hAnsi="Verdana" w:cs="Verdana"/>
          <w:lang w:eastAsia="es-ES"/>
        </w:rPr>
        <w:t xml:space="preserve"> que cumpl</w:t>
      </w:r>
      <w:r w:rsidR="006D6044" w:rsidRPr="3C1C5266">
        <w:rPr>
          <w:rFonts w:ascii="Verdana" w:eastAsia="Verdana" w:hAnsi="Verdana" w:cs="Verdana"/>
          <w:lang w:eastAsia="es-ES"/>
        </w:rPr>
        <w:t>e</w:t>
      </w:r>
      <w:r w:rsidRPr="3C1C5266">
        <w:rPr>
          <w:rFonts w:ascii="Verdana" w:eastAsia="Verdana" w:hAnsi="Verdana" w:cs="Verdana"/>
          <w:lang w:eastAsia="es-ES"/>
        </w:rPr>
        <w:t xml:space="preserve"> con las </w:t>
      </w:r>
      <w:r w:rsidR="006D6044" w:rsidRPr="3C1C5266">
        <w:rPr>
          <w:rFonts w:ascii="Verdana" w:eastAsia="Verdana" w:hAnsi="Verdana" w:cs="Verdana"/>
          <w:lang w:eastAsia="es-ES"/>
        </w:rPr>
        <w:t xml:space="preserve">siguientes </w:t>
      </w:r>
      <w:r w:rsidRPr="3C1C5266">
        <w:rPr>
          <w:rFonts w:ascii="Verdana" w:eastAsia="Verdana" w:hAnsi="Verdana" w:cs="Verdana"/>
          <w:lang w:eastAsia="es-ES"/>
        </w:rPr>
        <w:t>características</w:t>
      </w:r>
      <w:r w:rsidR="006D6044" w:rsidRPr="3C1C5266">
        <w:rPr>
          <w:rFonts w:ascii="Verdana" w:eastAsia="Verdana" w:hAnsi="Verdana" w:cs="Verdana"/>
          <w:lang w:eastAsia="es-ES"/>
        </w:rPr>
        <w:t xml:space="preserve">: </w:t>
      </w:r>
    </w:p>
    <w:p w14:paraId="15B726D0" w14:textId="77777777" w:rsidR="00013D76" w:rsidRPr="006D6044" w:rsidRDefault="00013D76" w:rsidP="3C1C5266">
      <w:pPr>
        <w:widowControl w:val="0"/>
        <w:autoSpaceDE w:val="0"/>
        <w:autoSpaceDN w:val="0"/>
        <w:adjustRightInd w:val="0"/>
        <w:spacing w:after="0"/>
        <w:jc w:val="both"/>
        <w:rPr>
          <w:rFonts w:ascii="Verdana" w:eastAsia="Verdana" w:hAnsi="Verdana" w:cs="Verdana"/>
          <w:lang w:eastAsia="es-ES"/>
        </w:rPr>
      </w:pPr>
    </w:p>
    <w:p w14:paraId="1DA04FE2" w14:textId="0A26325B" w:rsidR="006D6044" w:rsidRDefault="006D6044" w:rsidP="3C1C5266">
      <w:pPr>
        <w:widowControl w:val="0"/>
        <w:autoSpaceDE w:val="0"/>
        <w:autoSpaceDN w:val="0"/>
        <w:adjustRightInd w:val="0"/>
        <w:spacing w:after="0"/>
        <w:ind w:left="709"/>
        <w:jc w:val="both"/>
        <w:rPr>
          <w:rFonts w:ascii="Verdana" w:eastAsia="Verdana" w:hAnsi="Verdana" w:cs="Verdana"/>
          <w:lang w:val="es-CO" w:eastAsia="es-ES"/>
        </w:rPr>
      </w:pPr>
      <w:r w:rsidRPr="3C1C5266">
        <w:rPr>
          <w:rFonts w:ascii="Verdana" w:eastAsia="Verdana" w:hAnsi="Verdana" w:cs="Verdana"/>
          <w:i/>
          <w:iCs/>
          <w:lang w:val="es-CO" w:eastAsia="es-ES"/>
        </w:rPr>
        <w:t xml:space="preserve">“(…) Es </w:t>
      </w:r>
      <w:r w:rsidRPr="3C1C5266">
        <w:rPr>
          <w:rFonts w:ascii="Verdana" w:eastAsia="Verdana" w:hAnsi="Verdana" w:cs="Verdana"/>
          <w:i/>
          <w:iCs/>
          <w:u w:val="single"/>
          <w:lang w:val="es-CO" w:eastAsia="es-ES"/>
        </w:rPr>
        <w:t>clara</w:t>
      </w:r>
      <w:r w:rsidRPr="3C1C5266">
        <w:rPr>
          <w:rFonts w:ascii="Verdana" w:eastAsia="Verdana" w:hAnsi="Verdana" w:cs="Verdana"/>
          <w:i/>
          <w:iCs/>
          <w:lang w:val="es-CO" w:eastAsia="es-ES"/>
        </w:rPr>
        <w:t xml:space="preserve"> la obligación que no da lugar a equívocos, en otras palabras, en la que están identificados el deudor, el acreedor, la naturaleza de la obligación y los factores que la determinan. Es </w:t>
      </w:r>
      <w:r w:rsidRPr="3C1C5266">
        <w:rPr>
          <w:rFonts w:ascii="Verdana" w:eastAsia="Verdana" w:hAnsi="Verdana" w:cs="Verdana"/>
          <w:i/>
          <w:iCs/>
          <w:u w:val="single"/>
          <w:lang w:val="es-CO" w:eastAsia="es-ES"/>
        </w:rPr>
        <w:t>expresa</w:t>
      </w:r>
      <w:r w:rsidRPr="3C1C5266">
        <w:rPr>
          <w:rFonts w:ascii="Verdana" w:eastAsia="Verdana" w:hAnsi="Verdana" w:cs="Verdana"/>
          <w:i/>
          <w:iCs/>
          <w:lang w:val="es-CO" w:eastAsia="es-ES"/>
        </w:rPr>
        <w:t xml:space="preserve"> cuando de la redacción misma del documento, aparece nítida y manifiesta la obligación. Es </w:t>
      </w:r>
      <w:r w:rsidRPr="3C1C5266">
        <w:rPr>
          <w:rFonts w:ascii="Verdana" w:eastAsia="Verdana" w:hAnsi="Verdana" w:cs="Verdana"/>
          <w:i/>
          <w:iCs/>
          <w:u w:val="single"/>
          <w:lang w:val="es-CO" w:eastAsia="es-ES"/>
        </w:rPr>
        <w:t>exigible</w:t>
      </w:r>
      <w:r w:rsidRPr="3C1C5266">
        <w:rPr>
          <w:rFonts w:ascii="Verdana" w:eastAsia="Verdana" w:hAnsi="Verdana" w:cs="Verdana"/>
          <w:i/>
          <w:iCs/>
          <w:lang w:val="es-CO" w:eastAsia="es-ES"/>
        </w:rPr>
        <w:t> si su cumplimiento no está sujeto a un plazo o a una condición, dicho de otro modo, si se trata de una obligación pura y simple ya declarada. (…)” </w:t>
      </w:r>
      <w:r w:rsidRPr="3C1C5266">
        <w:rPr>
          <w:rFonts w:ascii="Verdana" w:eastAsia="Verdana" w:hAnsi="Verdana" w:cs="Verdana"/>
          <w:lang w:val="es-CO" w:eastAsia="es-ES"/>
        </w:rPr>
        <w:t> </w:t>
      </w:r>
      <w:r w:rsidRPr="3C1C5266">
        <w:rPr>
          <w:rStyle w:val="Refdenotaalpie"/>
          <w:rFonts w:ascii="Verdana" w:eastAsia="Verdana" w:hAnsi="Verdana" w:cs="Verdana"/>
          <w:lang w:val="es-CO" w:eastAsia="es-ES"/>
        </w:rPr>
        <w:footnoteReference w:id="3"/>
      </w:r>
    </w:p>
    <w:p w14:paraId="57E49C58" w14:textId="77777777" w:rsidR="00255133" w:rsidRPr="00255133" w:rsidRDefault="00255133" w:rsidP="3C1C5266">
      <w:pPr>
        <w:widowControl w:val="0"/>
        <w:autoSpaceDE w:val="0"/>
        <w:autoSpaceDN w:val="0"/>
        <w:adjustRightInd w:val="0"/>
        <w:spacing w:after="0"/>
        <w:ind w:left="709"/>
        <w:jc w:val="both"/>
        <w:rPr>
          <w:rFonts w:ascii="Verdana" w:eastAsia="Verdana" w:hAnsi="Verdana" w:cs="Verdana"/>
          <w:lang w:val="es-CO" w:eastAsia="es-ES"/>
        </w:rPr>
      </w:pPr>
    </w:p>
    <w:p w14:paraId="6DF55D52" w14:textId="56E142A5" w:rsidR="00255133" w:rsidRDefault="006D6044" w:rsidP="3C1C5266">
      <w:pPr>
        <w:widowControl w:val="0"/>
        <w:autoSpaceDE w:val="0"/>
        <w:autoSpaceDN w:val="0"/>
        <w:adjustRightInd w:val="0"/>
        <w:spacing w:after="0"/>
        <w:jc w:val="both"/>
        <w:rPr>
          <w:rFonts w:ascii="Verdana" w:eastAsia="Verdana" w:hAnsi="Verdana" w:cs="Verdana"/>
          <w:lang w:eastAsia="es-ES"/>
        </w:rPr>
      </w:pPr>
      <w:r w:rsidRPr="3C1C5266">
        <w:rPr>
          <w:rFonts w:ascii="Verdana" w:eastAsia="Verdana" w:hAnsi="Verdana" w:cs="Verdana"/>
          <w:lang w:eastAsia="es-ES"/>
        </w:rPr>
        <w:t xml:space="preserve">Posterior al estudio del </w:t>
      </w:r>
      <w:r w:rsidR="00013D76" w:rsidRPr="3C1C5266">
        <w:rPr>
          <w:rFonts w:ascii="Verdana" w:eastAsia="Verdana" w:hAnsi="Verdana" w:cs="Verdana"/>
          <w:lang w:eastAsia="es-ES"/>
        </w:rPr>
        <w:t>título</w:t>
      </w:r>
      <w:r w:rsidR="00984AEA" w:rsidRPr="3C1C5266">
        <w:rPr>
          <w:rFonts w:ascii="Verdana" w:eastAsia="Verdana" w:hAnsi="Verdana" w:cs="Verdana"/>
          <w:lang w:eastAsia="es-ES"/>
        </w:rPr>
        <w:t xml:space="preserve"> ejecutivo</w:t>
      </w:r>
      <w:r w:rsidR="00013D76" w:rsidRPr="3C1C5266">
        <w:rPr>
          <w:rFonts w:ascii="Verdana" w:eastAsia="Verdana" w:hAnsi="Verdana" w:cs="Verdana"/>
          <w:lang w:eastAsia="es-ES"/>
        </w:rPr>
        <w:t xml:space="preserve"> y</w:t>
      </w:r>
      <w:r w:rsidR="0086546C" w:rsidRPr="3C1C5266">
        <w:rPr>
          <w:rFonts w:ascii="Verdana" w:eastAsia="Verdana" w:hAnsi="Verdana" w:cs="Verdana"/>
          <w:lang w:eastAsia="es-ES"/>
        </w:rPr>
        <w:t xml:space="preserve"> previo a avocar conocimiento el funcionario ejecutor</w:t>
      </w:r>
      <w:r w:rsidR="00013D76" w:rsidRPr="3C1C5266">
        <w:rPr>
          <w:rFonts w:ascii="Verdana" w:eastAsia="Verdana" w:hAnsi="Verdana" w:cs="Verdana"/>
          <w:lang w:eastAsia="es-ES"/>
        </w:rPr>
        <w:t xml:space="preserve"> deberá efectuar el análisis de la competencia, ejecutividad y ejecutoriedad</w:t>
      </w:r>
      <w:r w:rsidR="0021048D" w:rsidRPr="3C1C5266">
        <w:rPr>
          <w:rFonts w:ascii="Verdana" w:eastAsia="Verdana" w:hAnsi="Verdana" w:cs="Verdana"/>
          <w:lang w:eastAsia="es-ES"/>
        </w:rPr>
        <w:t>,</w:t>
      </w:r>
      <w:r w:rsidR="00013D76" w:rsidRPr="3C1C5266">
        <w:rPr>
          <w:rFonts w:ascii="Verdana" w:eastAsia="Verdana" w:hAnsi="Verdana" w:cs="Verdana"/>
          <w:lang w:eastAsia="es-ES"/>
        </w:rPr>
        <w:t xml:space="preserve"> tal y como lo </w:t>
      </w:r>
      <w:r w:rsidR="00984AEA" w:rsidRPr="3C1C5266">
        <w:rPr>
          <w:rFonts w:ascii="Verdana" w:eastAsia="Verdana" w:hAnsi="Verdana" w:cs="Verdana"/>
          <w:lang w:eastAsia="es-ES"/>
        </w:rPr>
        <w:t>establece</w:t>
      </w:r>
      <w:r w:rsidR="00013D76" w:rsidRPr="3C1C5266">
        <w:rPr>
          <w:rFonts w:ascii="Verdana" w:eastAsia="Verdana" w:hAnsi="Verdana" w:cs="Verdana"/>
          <w:lang w:eastAsia="es-ES"/>
        </w:rPr>
        <w:t xml:space="preserve"> el artículo 22 de la Resolución 5003 de 2020</w:t>
      </w:r>
      <w:r w:rsidR="00C63612" w:rsidRPr="3C1C5266">
        <w:rPr>
          <w:rFonts w:ascii="Verdana" w:eastAsia="Verdana" w:hAnsi="Verdana" w:cs="Verdana"/>
          <w:lang w:eastAsia="es-ES"/>
        </w:rPr>
        <w:t xml:space="preserve">. </w:t>
      </w:r>
      <w:r w:rsidR="002B476B" w:rsidRPr="3C1C5266">
        <w:rPr>
          <w:rFonts w:ascii="Verdana" w:eastAsia="Verdana" w:hAnsi="Verdana" w:cs="Verdana"/>
          <w:lang w:eastAsia="es-ES"/>
        </w:rPr>
        <w:t xml:space="preserve">Adicionalmente, procederá </w:t>
      </w:r>
      <w:r w:rsidR="00456847" w:rsidRPr="3C1C5266">
        <w:rPr>
          <w:rFonts w:ascii="Verdana" w:eastAsia="Verdana" w:hAnsi="Verdana" w:cs="Verdana"/>
          <w:lang w:eastAsia="es-ES"/>
        </w:rPr>
        <w:t>a</w:t>
      </w:r>
      <w:r w:rsidR="00C63612" w:rsidRPr="3C1C5266">
        <w:rPr>
          <w:rFonts w:ascii="Verdana" w:eastAsia="Verdana" w:hAnsi="Verdana" w:cs="Verdana"/>
          <w:lang w:eastAsia="es-ES"/>
        </w:rPr>
        <w:t xml:space="preserve"> a</w:t>
      </w:r>
      <w:r w:rsidR="00456847" w:rsidRPr="3C1C5266">
        <w:rPr>
          <w:rFonts w:ascii="Verdana" w:eastAsia="Verdana" w:hAnsi="Verdana" w:cs="Verdana"/>
          <w:lang w:eastAsia="es-ES"/>
        </w:rPr>
        <w:t>delantar las gestiones administrativas de cobro coactivo para obtener el recaudo de la cartera del ICBF</w:t>
      </w:r>
      <w:r w:rsidR="002B476B" w:rsidRPr="3C1C5266">
        <w:rPr>
          <w:rFonts w:ascii="Verdana" w:eastAsia="Verdana" w:hAnsi="Verdana" w:cs="Verdana"/>
          <w:lang w:eastAsia="es-ES"/>
        </w:rPr>
        <w:t>.</w:t>
      </w:r>
    </w:p>
    <w:p w14:paraId="33F4BE1E" w14:textId="77777777" w:rsidR="00255133" w:rsidRPr="00255133" w:rsidRDefault="00255133" w:rsidP="3C1C5266">
      <w:pPr>
        <w:widowControl w:val="0"/>
        <w:autoSpaceDE w:val="0"/>
        <w:autoSpaceDN w:val="0"/>
        <w:adjustRightInd w:val="0"/>
        <w:spacing w:after="0"/>
        <w:jc w:val="both"/>
        <w:rPr>
          <w:rFonts w:ascii="Verdana" w:eastAsia="Verdana" w:hAnsi="Verdana" w:cs="Verdana"/>
          <w:lang w:eastAsia="es-ES"/>
        </w:rPr>
      </w:pPr>
    </w:p>
    <w:p w14:paraId="79DBBB46" w14:textId="77777777" w:rsidR="009D55DA" w:rsidRDefault="00255133" w:rsidP="3C1C5266">
      <w:pPr>
        <w:widowControl w:val="0"/>
        <w:autoSpaceDE w:val="0"/>
        <w:autoSpaceDN w:val="0"/>
        <w:adjustRightInd w:val="0"/>
        <w:spacing w:after="0"/>
        <w:jc w:val="both"/>
        <w:rPr>
          <w:rFonts w:ascii="Verdana" w:eastAsia="Verdana" w:hAnsi="Verdana" w:cs="Verdana"/>
          <w:lang w:eastAsia="es-ES"/>
        </w:rPr>
      </w:pPr>
      <w:r w:rsidRPr="3C1C5266">
        <w:rPr>
          <w:rFonts w:ascii="Verdana" w:eastAsia="Verdana" w:hAnsi="Verdana" w:cs="Verdana"/>
          <w:lang w:eastAsia="es-ES"/>
        </w:rPr>
        <w:t xml:space="preserve">En ese orden de ideas, una vez analizados los requisitos </w:t>
      </w:r>
      <w:r w:rsidR="00FB4A5E" w:rsidRPr="3C1C5266">
        <w:rPr>
          <w:rFonts w:ascii="Verdana" w:eastAsia="Verdana" w:hAnsi="Verdana" w:cs="Verdana"/>
          <w:lang w:eastAsia="es-ES"/>
        </w:rPr>
        <w:t>mencionados</w:t>
      </w:r>
      <w:r w:rsidRPr="3C1C5266">
        <w:rPr>
          <w:rFonts w:ascii="Verdana" w:eastAsia="Verdana" w:hAnsi="Verdana" w:cs="Verdana"/>
          <w:lang w:eastAsia="es-ES"/>
        </w:rPr>
        <w:t xml:space="preserve">, el funcionario ejecutor deberá proferir el auto que avoca conocimiento, acto administrativo mediante el cual se asume competencia y la dirección del proceso. </w:t>
      </w:r>
    </w:p>
    <w:p w14:paraId="04E3AF66" w14:textId="77777777" w:rsidR="009D55DA" w:rsidRDefault="009D55DA" w:rsidP="3C1C5266">
      <w:pPr>
        <w:widowControl w:val="0"/>
        <w:autoSpaceDE w:val="0"/>
        <w:autoSpaceDN w:val="0"/>
        <w:adjustRightInd w:val="0"/>
        <w:spacing w:after="0"/>
        <w:jc w:val="both"/>
        <w:rPr>
          <w:rFonts w:ascii="Verdana" w:eastAsia="Verdana" w:hAnsi="Verdana" w:cs="Verdana"/>
          <w:lang w:eastAsia="es-ES"/>
        </w:rPr>
      </w:pPr>
    </w:p>
    <w:p w14:paraId="4B02CF81" w14:textId="194F813D" w:rsidR="00E30FF5" w:rsidRPr="009D55DA" w:rsidRDefault="00FB4A5E" w:rsidP="3C1C5266">
      <w:pPr>
        <w:widowControl w:val="0"/>
        <w:autoSpaceDE w:val="0"/>
        <w:autoSpaceDN w:val="0"/>
        <w:adjustRightInd w:val="0"/>
        <w:spacing w:after="0"/>
        <w:jc w:val="both"/>
        <w:rPr>
          <w:rFonts w:ascii="Verdana" w:eastAsia="Verdana" w:hAnsi="Verdana" w:cs="Verdana"/>
          <w:lang w:eastAsia="es-ES"/>
        </w:rPr>
      </w:pPr>
      <w:r w:rsidRPr="3C1C5266">
        <w:rPr>
          <w:rFonts w:ascii="Verdana" w:eastAsia="Verdana" w:hAnsi="Verdana" w:cs="Verdana"/>
          <w:lang w:eastAsia="es-ES"/>
        </w:rPr>
        <w:t>Esta providencia, aunque es considerada un auto de trámite, impulsa el proceso y señala la siguiente actuación de la administración</w:t>
      </w:r>
      <w:r w:rsidR="006D5435" w:rsidRPr="3C1C5266">
        <w:rPr>
          <w:rFonts w:ascii="Verdana" w:eastAsia="Verdana" w:hAnsi="Verdana" w:cs="Verdana"/>
          <w:lang w:eastAsia="es-ES"/>
        </w:rPr>
        <w:t>.</w:t>
      </w:r>
      <w:r w:rsidR="009D55DA" w:rsidRPr="3C1C5266">
        <w:rPr>
          <w:rFonts w:ascii="Verdana" w:eastAsia="Verdana" w:hAnsi="Verdana" w:cs="Verdana"/>
          <w:lang w:eastAsia="es-ES"/>
        </w:rPr>
        <w:t xml:space="preserve"> </w:t>
      </w:r>
      <w:r w:rsidR="006D5435" w:rsidRPr="3C1C5266">
        <w:rPr>
          <w:rFonts w:ascii="Verdana" w:eastAsia="Verdana" w:hAnsi="Verdana" w:cs="Verdana"/>
          <w:lang w:eastAsia="es-ES"/>
        </w:rPr>
        <w:t>En relación con los autos de trámite, el Consejo de Estado ha expresado lo siguiente</w:t>
      </w:r>
      <w:r w:rsidR="00582C95" w:rsidRPr="3C1C5266">
        <w:rPr>
          <w:rFonts w:ascii="Verdana" w:eastAsia="Verdana" w:hAnsi="Verdana" w:cs="Verdana"/>
          <w:lang w:eastAsia="es-ES"/>
        </w:rPr>
        <w:t xml:space="preserve">: </w:t>
      </w:r>
    </w:p>
    <w:p w14:paraId="3062CE1B" w14:textId="77777777" w:rsidR="00582C95" w:rsidRPr="00461575" w:rsidRDefault="00582C95" w:rsidP="3C1C5266">
      <w:pPr>
        <w:widowControl w:val="0"/>
        <w:autoSpaceDE w:val="0"/>
        <w:autoSpaceDN w:val="0"/>
        <w:adjustRightInd w:val="0"/>
        <w:spacing w:after="0"/>
        <w:jc w:val="both"/>
        <w:rPr>
          <w:rFonts w:ascii="Verdana" w:eastAsia="Verdana" w:hAnsi="Verdana" w:cs="Verdana"/>
          <w:lang w:eastAsia="es-ES"/>
        </w:rPr>
      </w:pPr>
    </w:p>
    <w:p w14:paraId="13FF0055" w14:textId="67CED1FB" w:rsidR="00582C95" w:rsidRPr="00461575" w:rsidRDefault="00582C95" w:rsidP="3C1C5266">
      <w:pPr>
        <w:widowControl w:val="0"/>
        <w:autoSpaceDE w:val="0"/>
        <w:autoSpaceDN w:val="0"/>
        <w:adjustRightInd w:val="0"/>
        <w:spacing w:after="0"/>
        <w:ind w:left="709"/>
        <w:jc w:val="both"/>
        <w:rPr>
          <w:rFonts w:ascii="Verdana" w:eastAsia="Verdana" w:hAnsi="Verdana" w:cs="Verdana"/>
          <w:i/>
          <w:iCs/>
          <w:lang w:eastAsia="es-ES"/>
        </w:rPr>
      </w:pPr>
      <w:r w:rsidRPr="3C1C5266">
        <w:rPr>
          <w:rFonts w:ascii="Verdana" w:eastAsia="Verdana" w:hAnsi="Verdana" w:cs="Verdana"/>
          <w:i/>
          <w:iCs/>
          <w:lang w:eastAsia="es-ES"/>
        </w:rPr>
        <w:t xml:space="preserve">“ (…)Los actos preparatorios, </w:t>
      </w:r>
      <w:r w:rsidRPr="3C1C5266">
        <w:rPr>
          <w:rFonts w:ascii="Verdana" w:eastAsia="Verdana" w:hAnsi="Verdana" w:cs="Verdana"/>
          <w:i/>
          <w:iCs/>
          <w:u w:val="single"/>
          <w:lang w:eastAsia="es-ES"/>
        </w:rPr>
        <w:t>accesorios o de trámite</w:t>
      </w:r>
      <w:r w:rsidRPr="3C1C5266">
        <w:rPr>
          <w:rFonts w:ascii="Verdana" w:eastAsia="Verdana" w:hAnsi="Verdana" w:cs="Verdana"/>
          <w:i/>
          <w:iCs/>
          <w:lang w:eastAsia="es-ES"/>
        </w:rPr>
        <w:t xml:space="preserve">: Han sido definidos como aquellos que </w:t>
      </w:r>
      <w:r w:rsidRPr="3C1C5266">
        <w:rPr>
          <w:rFonts w:ascii="Verdana" w:eastAsia="Verdana" w:hAnsi="Verdana" w:cs="Verdana"/>
          <w:i/>
          <w:iCs/>
          <w:u w:val="single"/>
          <w:lang w:eastAsia="es-ES"/>
        </w:rPr>
        <w:t>se expiden como parte del procedimiento administrativo</w:t>
      </w:r>
      <w:r w:rsidRPr="3C1C5266">
        <w:rPr>
          <w:rFonts w:ascii="Verdana" w:eastAsia="Verdana" w:hAnsi="Verdana" w:cs="Verdana"/>
          <w:i/>
          <w:iCs/>
          <w:lang w:eastAsia="es-ES"/>
        </w:rPr>
        <w:t xml:space="preserve"> </w:t>
      </w:r>
      <w:r w:rsidRPr="3C1C5266">
        <w:rPr>
          <w:rFonts w:ascii="Verdana" w:eastAsia="Verdana" w:hAnsi="Verdana" w:cs="Verdana"/>
          <w:i/>
          <w:iCs/>
          <w:u w:val="single"/>
          <w:lang w:eastAsia="es-ES"/>
        </w:rPr>
        <w:t>con el fin de darle curso a este</w:t>
      </w:r>
      <w:r w:rsidRPr="3C1C5266">
        <w:rPr>
          <w:rFonts w:ascii="Verdana" w:eastAsia="Verdana" w:hAnsi="Verdana" w:cs="Verdana"/>
          <w:i/>
          <w:iCs/>
          <w:lang w:eastAsia="es-ES"/>
        </w:rPr>
        <w:t>, es decir, son netamente instrumentales ya que no encierran declaraciones de la voluntad, no crean relaciones jurídicas y s</w:t>
      </w:r>
      <w:r w:rsidRPr="3C1C5266">
        <w:rPr>
          <w:rFonts w:ascii="Verdana" w:eastAsia="Verdana" w:hAnsi="Verdana" w:cs="Verdana"/>
          <w:i/>
          <w:iCs/>
          <w:u w:val="single"/>
          <w:lang w:eastAsia="es-ES"/>
        </w:rPr>
        <w:t>olo sirven de impulso a la continuidad de la actuación de la administración</w:t>
      </w:r>
      <w:r w:rsidRPr="3C1C5266">
        <w:rPr>
          <w:rFonts w:ascii="Verdana" w:eastAsia="Verdana" w:hAnsi="Verdana" w:cs="Verdana"/>
          <w:i/>
          <w:iCs/>
          <w:lang w:eastAsia="es-ES"/>
        </w:rPr>
        <w:t xml:space="preserve"> (…)</w:t>
      </w:r>
      <w:r w:rsidRPr="3C1C5266">
        <w:rPr>
          <w:rStyle w:val="Refdenotaalpie"/>
          <w:rFonts w:ascii="Verdana" w:eastAsia="Verdana" w:hAnsi="Verdana" w:cs="Verdana"/>
          <w:i/>
          <w:iCs/>
          <w:lang w:eastAsia="es-ES"/>
        </w:rPr>
        <w:footnoteReference w:id="4"/>
      </w:r>
      <w:r w:rsidRPr="3C1C5266">
        <w:rPr>
          <w:rFonts w:ascii="Verdana" w:eastAsia="Verdana" w:hAnsi="Verdana" w:cs="Verdana"/>
          <w:i/>
          <w:iCs/>
          <w:lang w:eastAsia="es-ES"/>
        </w:rPr>
        <w:t>”</w:t>
      </w:r>
    </w:p>
    <w:p w14:paraId="7CC69843" w14:textId="77777777" w:rsidR="00E30FF5" w:rsidRPr="009D55DA" w:rsidRDefault="00E30FF5" w:rsidP="3C1C5266">
      <w:pPr>
        <w:widowControl w:val="0"/>
        <w:autoSpaceDE w:val="0"/>
        <w:autoSpaceDN w:val="0"/>
        <w:adjustRightInd w:val="0"/>
        <w:spacing w:after="0"/>
        <w:jc w:val="both"/>
        <w:rPr>
          <w:rFonts w:ascii="Verdana" w:eastAsia="Verdana" w:hAnsi="Verdana" w:cs="Verdana"/>
          <w:lang w:eastAsia="es-ES"/>
        </w:rPr>
      </w:pPr>
    </w:p>
    <w:p w14:paraId="46C63B08" w14:textId="79A5689A" w:rsidR="001605C6" w:rsidRDefault="009D55DA" w:rsidP="3C1C5266">
      <w:pPr>
        <w:widowControl w:val="0"/>
        <w:autoSpaceDE w:val="0"/>
        <w:autoSpaceDN w:val="0"/>
        <w:adjustRightInd w:val="0"/>
        <w:spacing w:after="0"/>
        <w:jc w:val="both"/>
        <w:rPr>
          <w:rFonts w:ascii="Verdana" w:eastAsia="Verdana" w:hAnsi="Verdana" w:cs="Verdana"/>
          <w:lang w:eastAsia="es-ES"/>
        </w:rPr>
      </w:pPr>
      <w:r w:rsidRPr="3C1C5266">
        <w:rPr>
          <w:rFonts w:ascii="Verdana" w:eastAsia="Verdana" w:hAnsi="Verdana" w:cs="Verdana"/>
          <w:lang w:eastAsia="es-ES"/>
        </w:rPr>
        <w:t xml:space="preserve">De acuerdo con lo anterior, avocar conocimiento de un </w:t>
      </w:r>
      <w:r w:rsidR="00E15306" w:rsidRPr="3C1C5266">
        <w:rPr>
          <w:rFonts w:ascii="Verdana" w:eastAsia="Verdana" w:hAnsi="Verdana" w:cs="Verdana"/>
          <w:lang w:eastAsia="es-ES"/>
        </w:rPr>
        <w:t xml:space="preserve">proceso de cobro coactivo </w:t>
      </w:r>
      <w:r w:rsidR="007A6CCE" w:rsidRPr="3C1C5266">
        <w:rPr>
          <w:rFonts w:ascii="Verdana" w:eastAsia="Verdana" w:hAnsi="Verdana" w:cs="Verdana"/>
          <w:lang w:eastAsia="es-ES"/>
        </w:rPr>
        <w:t>mediante un auto de tr</w:t>
      </w:r>
      <w:r w:rsidR="00E15306" w:rsidRPr="3C1C5266">
        <w:rPr>
          <w:rFonts w:ascii="Verdana" w:eastAsia="Verdana" w:hAnsi="Verdana" w:cs="Verdana"/>
          <w:lang w:eastAsia="es-ES"/>
        </w:rPr>
        <w:t>á</w:t>
      </w:r>
      <w:r w:rsidR="007A6CCE" w:rsidRPr="3C1C5266">
        <w:rPr>
          <w:rFonts w:ascii="Verdana" w:eastAsia="Verdana" w:hAnsi="Verdana" w:cs="Verdana"/>
          <w:lang w:eastAsia="es-ES"/>
        </w:rPr>
        <w:t xml:space="preserve">mite </w:t>
      </w:r>
      <w:r w:rsidR="00E15306" w:rsidRPr="3C1C5266">
        <w:rPr>
          <w:rFonts w:ascii="Verdana" w:eastAsia="Verdana" w:hAnsi="Verdana" w:cs="Verdana"/>
          <w:lang w:eastAsia="es-ES"/>
        </w:rPr>
        <w:t xml:space="preserve">significa </w:t>
      </w:r>
      <w:r w:rsidRPr="3C1C5266">
        <w:rPr>
          <w:rFonts w:ascii="Verdana" w:eastAsia="Verdana" w:hAnsi="Verdana" w:cs="Verdana"/>
          <w:lang w:eastAsia="es-ES"/>
        </w:rPr>
        <w:t xml:space="preserve">dar inicio a la etapa de cobro y asumir la competencia </w:t>
      </w:r>
      <w:r w:rsidR="00E15306" w:rsidRPr="3C1C5266">
        <w:rPr>
          <w:rFonts w:ascii="Verdana" w:eastAsia="Verdana" w:hAnsi="Verdana" w:cs="Verdana"/>
          <w:lang w:eastAsia="es-ES"/>
        </w:rPr>
        <w:t>para adelantar las acciones pertinentes con el fin de</w:t>
      </w:r>
      <w:r w:rsidRPr="3C1C5266">
        <w:rPr>
          <w:rFonts w:ascii="Verdana" w:eastAsia="Verdana" w:hAnsi="Verdana" w:cs="Verdana"/>
          <w:lang w:eastAsia="es-ES"/>
        </w:rPr>
        <w:t xml:space="preserve"> obtener el recaudo de las obligaciones generadas a favor del ICBF.</w:t>
      </w:r>
      <w:r w:rsidR="00E15306" w:rsidRPr="3C1C5266">
        <w:rPr>
          <w:rFonts w:ascii="Verdana" w:eastAsia="Verdana" w:hAnsi="Verdana" w:cs="Verdana"/>
          <w:lang w:eastAsia="es-ES"/>
        </w:rPr>
        <w:t xml:space="preserve"> Estas </w:t>
      </w:r>
      <w:r w:rsidR="000D418D" w:rsidRPr="3C1C5266">
        <w:rPr>
          <w:rFonts w:ascii="Verdana" w:eastAsia="Verdana" w:hAnsi="Verdana" w:cs="Verdana"/>
          <w:lang w:eastAsia="es-ES"/>
        </w:rPr>
        <w:t>decisiones gozan de la presunción de legalidad</w:t>
      </w:r>
      <w:r w:rsidR="00E15306" w:rsidRPr="3C1C5266">
        <w:rPr>
          <w:rFonts w:ascii="Verdana" w:eastAsia="Verdana" w:hAnsi="Verdana" w:cs="Verdana"/>
          <w:lang w:eastAsia="es-ES"/>
        </w:rPr>
        <w:t xml:space="preserve"> </w:t>
      </w:r>
      <w:r w:rsidR="007A6CCE" w:rsidRPr="3C1C5266">
        <w:rPr>
          <w:rFonts w:ascii="Verdana" w:eastAsia="Verdana" w:hAnsi="Verdana" w:cs="Verdana"/>
          <w:lang w:eastAsia="es-ES"/>
        </w:rPr>
        <w:t xml:space="preserve">establecida por el </w:t>
      </w:r>
      <w:r w:rsidR="00E15306" w:rsidRPr="3C1C5266">
        <w:rPr>
          <w:rFonts w:ascii="Verdana" w:eastAsia="Verdana" w:hAnsi="Verdana" w:cs="Verdana"/>
          <w:lang w:eastAsia="es-ES"/>
        </w:rPr>
        <w:t xml:space="preserve">artículo 88 del </w:t>
      </w:r>
      <w:r w:rsidR="001605C6" w:rsidRPr="3C1C5266">
        <w:rPr>
          <w:rFonts w:ascii="Verdana" w:eastAsia="Verdana" w:hAnsi="Verdana" w:cs="Verdana"/>
          <w:lang w:eastAsia="es-ES"/>
        </w:rPr>
        <w:t xml:space="preserve">C.P.A.C.A. </w:t>
      </w:r>
    </w:p>
    <w:p w14:paraId="59E5EFF5" w14:textId="77777777" w:rsidR="008C5ADA" w:rsidRDefault="008C5ADA" w:rsidP="3C1C5266">
      <w:pPr>
        <w:widowControl w:val="0"/>
        <w:autoSpaceDE w:val="0"/>
        <w:autoSpaceDN w:val="0"/>
        <w:adjustRightInd w:val="0"/>
        <w:spacing w:after="0"/>
        <w:jc w:val="both"/>
        <w:rPr>
          <w:rFonts w:ascii="Verdana" w:eastAsia="Verdana" w:hAnsi="Verdana" w:cs="Verdana"/>
          <w:lang w:eastAsia="es-ES"/>
        </w:rPr>
      </w:pPr>
    </w:p>
    <w:p w14:paraId="0B043884" w14:textId="3F585E66" w:rsidR="008C5ADA" w:rsidRDefault="008C5ADA" w:rsidP="3C1C5266">
      <w:pPr>
        <w:widowControl w:val="0"/>
        <w:autoSpaceDE w:val="0"/>
        <w:autoSpaceDN w:val="0"/>
        <w:adjustRightInd w:val="0"/>
        <w:spacing w:after="0"/>
        <w:jc w:val="both"/>
        <w:rPr>
          <w:rFonts w:ascii="Verdana" w:eastAsia="Verdana" w:hAnsi="Verdana" w:cs="Verdana"/>
          <w:lang w:eastAsia="es-ES"/>
        </w:rPr>
      </w:pPr>
      <w:r w:rsidRPr="3C1C5266">
        <w:rPr>
          <w:rFonts w:ascii="Verdana" w:eastAsia="Verdana" w:hAnsi="Verdana" w:cs="Verdana"/>
          <w:lang w:eastAsia="es-ES"/>
        </w:rPr>
        <w:t xml:space="preserve">A su vez, el Reglamento Interno de Cartera del ICBF establece que, una vez iniciado el proceso de cobro coactivo, el funcionario ejecutor deberá librar el mandamiento de pago y decretar las medidas preventivas a que haya lugar en cada caso en específico. </w:t>
      </w:r>
    </w:p>
    <w:p w14:paraId="3C2A4C6A" w14:textId="77777777" w:rsidR="00EC011F" w:rsidRDefault="00EC011F" w:rsidP="3C1C5266">
      <w:pPr>
        <w:widowControl w:val="0"/>
        <w:autoSpaceDE w:val="0"/>
        <w:autoSpaceDN w:val="0"/>
        <w:adjustRightInd w:val="0"/>
        <w:spacing w:after="0"/>
        <w:jc w:val="both"/>
        <w:rPr>
          <w:rFonts w:ascii="Verdana" w:eastAsia="Verdana" w:hAnsi="Verdana" w:cs="Verdana"/>
          <w:lang w:eastAsia="es-ES"/>
        </w:rPr>
      </w:pPr>
    </w:p>
    <w:p w14:paraId="702A6249" w14:textId="77777777" w:rsidR="00D00528" w:rsidRPr="00AF39E0" w:rsidRDefault="00D00528" w:rsidP="3C1C5266">
      <w:pPr>
        <w:widowControl w:val="0"/>
        <w:autoSpaceDE w:val="0"/>
        <w:autoSpaceDN w:val="0"/>
        <w:adjustRightInd w:val="0"/>
        <w:spacing w:after="0"/>
        <w:jc w:val="both"/>
        <w:rPr>
          <w:rFonts w:ascii="Verdana" w:eastAsia="Verdana" w:hAnsi="Verdana" w:cs="Verdana"/>
          <w:b/>
          <w:bCs/>
          <w:lang w:eastAsia="es-ES"/>
        </w:rPr>
      </w:pPr>
    </w:p>
    <w:p w14:paraId="65E28733" w14:textId="4A7F14C6" w:rsidR="00AF39E0" w:rsidRPr="00AF39E0" w:rsidRDefault="00AF39E0" w:rsidP="3C1C5266">
      <w:pPr>
        <w:widowControl w:val="0"/>
        <w:autoSpaceDE w:val="0"/>
        <w:autoSpaceDN w:val="0"/>
        <w:adjustRightInd w:val="0"/>
        <w:spacing w:after="0"/>
        <w:jc w:val="both"/>
        <w:rPr>
          <w:rFonts w:ascii="Verdana" w:eastAsia="Verdana" w:hAnsi="Verdana" w:cs="Verdana"/>
          <w:b/>
          <w:bCs/>
          <w:lang w:eastAsia="es-ES"/>
        </w:rPr>
      </w:pPr>
      <w:r w:rsidRPr="3C1C5266">
        <w:rPr>
          <w:rFonts w:ascii="Verdana" w:eastAsia="Verdana" w:hAnsi="Verdana" w:cs="Verdana"/>
          <w:b/>
          <w:bCs/>
          <w:lang w:eastAsia="es-ES"/>
        </w:rPr>
        <w:t>2.3. Terminación del proceso de cobro coactivo.</w:t>
      </w:r>
    </w:p>
    <w:p w14:paraId="76F4D133" w14:textId="77777777" w:rsidR="00AF39E0" w:rsidRDefault="00AF39E0" w:rsidP="3C1C5266">
      <w:pPr>
        <w:widowControl w:val="0"/>
        <w:autoSpaceDE w:val="0"/>
        <w:autoSpaceDN w:val="0"/>
        <w:adjustRightInd w:val="0"/>
        <w:spacing w:after="0"/>
        <w:jc w:val="both"/>
        <w:rPr>
          <w:rFonts w:ascii="Verdana" w:eastAsia="Verdana" w:hAnsi="Verdana" w:cs="Verdana"/>
          <w:lang w:eastAsia="es-ES"/>
        </w:rPr>
      </w:pPr>
    </w:p>
    <w:p w14:paraId="1694B521" w14:textId="72386761" w:rsidR="00D00528" w:rsidRDefault="00AF39E0" w:rsidP="3C1C5266">
      <w:pPr>
        <w:widowControl w:val="0"/>
        <w:autoSpaceDE w:val="0"/>
        <w:autoSpaceDN w:val="0"/>
        <w:adjustRightInd w:val="0"/>
        <w:spacing w:after="0"/>
        <w:jc w:val="both"/>
        <w:rPr>
          <w:rFonts w:ascii="Verdana" w:eastAsia="Verdana" w:hAnsi="Verdana" w:cs="Verdana"/>
          <w:lang w:eastAsia="es-ES"/>
        </w:rPr>
      </w:pPr>
      <w:r w:rsidRPr="3C1C5266">
        <w:rPr>
          <w:rFonts w:ascii="Verdana" w:eastAsia="Verdana" w:hAnsi="Verdana" w:cs="Verdana"/>
          <w:lang w:eastAsia="es-ES"/>
        </w:rPr>
        <w:t xml:space="preserve">El </w:t>
      </w:r>
      <w:r w:rsidR="00D00528" w:rsidRPr="3C1C5266">
        <w:rPr>
          <w:rFonts w:ascii="Verdana" w:eastAsia="Verdana" w:hAnsi="Verdana" w:cs="Verdana"/>
          <w:lang w:eastAsia="es-ES"/>
        </w:rPr>
        <w:t xml:space="preserve">artículo 37 </w:t>
      </w:r>
      <w:r w:rsidR="00955948" w:rsidRPr="3C1C5266">
        <w:rPr>
          <w:rFonts w:ascii="Verdana" w:eastAsia="Verdana" w:hAnsi="Verdana" w:cs="Verdana"/>
          <w:lang w:eastAsia="es-ES"/>
        </w:rPr>
        <w:t xml:space="preserve">de la Resolución 5003 de 2020, establece </w:t>
      </w:r>
      <w:r w:rsidR="00D00528" w:rsidRPr="3C1C5266">
        <w:rPr>
          <w:rFonts w:ascii="Verdana" w:eastAsia="Verdana" w:hAnsi="Verdana" w:cs="Verdana"/>
          <w:lang w:eastAsia="es-ES"/>
        </w:rPr>
        <w:t>los eventos en que el funcionario</w:t>
      </w:r>
      <w:r w:rsidRPr="3C1C5266">
        <w:rPr>
          <w:rFonts w:ascii="Verdana" w:eastAsia="Verdana" w:hAnsi="Verdana" w:cs="Verdana"/>
          <w:lang w:eastAsia="es-ES"/>
        </w:rPr>
        <w:t xml:space="preserve"> </w:t>
      </w:r>
      <w:r w:rsidR="00D00528" w:rsidRPr="3C1C5266">
        <w:rPr>
          <w:rFonts w:ascii="Verdana" w:eastAsia="Verdana" w:hAnsi="Verdana" w:cs="Verdana"/>
          <w:lang w:eastAsia="es-ES"/>
        </w:rPr>
        <w:t xml:space="preserve">ejecutor </w:t>
      </w:r>
      <w:r w:rsidR="00955948" w:rsidRPr="3C1C5266">
        <w:rPr>
          <w:rFonts w:ascii="Verdana" w:eastAsia="Verdana" w:hAnsi="Verdana" w:cs="Verdana"/>
          <w:lang w:eastAsia="es-ES"/>
        </w:rPr>
        <w:t>podrá dar</w:t>
      </w:r>
      <w:r w:rsidR="00D00528" w:rsidRPr="3C1C5266">
        <w:rPr>
          <w:rFonts w:ascii="Verdana" w:eastAsia="Verdana" w:hAnsi="Verdana" w:cs="Verdana"/>
          <w:lang w:eastAsia="es-ES"/>
        </w:rPr>
        <w:t xml:space="preserve"> por terminado el proceso administrativo de cobro coactivo y procederá al archivo del expediente. Al respecto, la norma indica lo siguiente: </w:t>
      </w:r>
    </w:p>
    <w:p w14:paraId="61F571DA" w14:textId="77777777" w:rsidR="00D00528" w:rsidRDefault="00D00528" w:rsidP="3C1C5266">
      <w:pPr>
        <w:widowControl w:val="0"/>
        <w:autoSpaceDE w:val="0"/>
        <w:autoSpaceDN w:val="0"/>
        <w:adjustRightInd w:val="0"/>
        <w:spacing w:after="0"/>
        <w:jc w:val="both"/>
        <w:rPr>
          <w:rFonts w:ascii="Verdana" w:eastAsia="Verdana" w:hAnsi="Verdana" w:cs="Verdana"/>
          <w:lang w:eastAsia="es-ES"/>
        </w:rPr>
      </w:pPr>
    </w:p>
    <w:p w14:paraId="201DA13F" w14:textId="77777777" w:rsidR="00D00528" w:rsidRPr="00A80F2E" w:rsidRDefault="00D00528" w:rsidP="3C1C5266">
      <w:pPr>
        <w:widowControl w:val="0"/>
        <w:autoSpaceDE w:val="0"/>
        <w:autoSpaceDN w:val="0"/>
        <w:adjustRightInd w:val="0"/>
        <w:spacing w:after="0"/>
        <w:ind w:left="709"/>
        <w:jc w:val="both"/>
        <w:rPr>
          <w:rFonts w:ascii="Verdana" w:eastAsia="Verdana" w:hAnsi="Verdana" w:cs="Verdana"/>
          <w:i/>
          <w:iCs/>
          <w:lang w:eastAsia="es-ES"/>
        </w:rPr>
      </w:pPr>
      <w:r w:rsidRPr="3C1C5266">
        <w:rPr>
          <w:rFonts w:ascii="Verdana" w:eastAsia="Verdana" w:hAnsi="Verdana" w:cs="Verdana"/>
          <w:lang w:eastAsia="es-ES"/>
        </w:rPr>
        <w:t>“</w:t>
      </w:r>
      <w:r w:rsidRPr="3C1C5266">
        <w:rPr>
          <w:rFonts w:ascii="Verdana" w:eastAsia="Verdana" w:hAnsi="Verdana" w:cs="Verdana"/>
          <w:i/>
          <w:iCs/>
          <w:lang w:eastAsia="es-ES"/>
        </w:rPr>
        <w:t xml:space="preserve">ARTÍCULO 37. TERMINACIÓN DEL PROCESO ADMINISTRATIVO DE COBRO COACTIVO. El funcionario ejecutor dará por terminado el proceso administrativo de cobro coactivo y ordenará el archivo del expediente cuando se establezca plenamente la ocurrencia de alguna de las siguientes causales: </w:t>
      </w:r>
    </w:p>
    <w:p w14:paraId="2BBFBAB1" w14:textId="77777777" w:rsidR="00D00528" w:rsidRPr="00A80F2E" w:rsidRDefault="00D00528" w:rsidP="3C1C5266">
      <w:pPr>
        <w:widowControl w:val="0"/>
        <w:autoSpaceDE w:val="0"/>
        <w:autoSpaceDN w:val="0"/>
        <w:adjustRightInd w:val="0"/>
        <w:spacing w:after="0"/>
        <w:ind w:left="709"/>
        <w:jc w:val="both"/>
        <w:rPr>
          <w:rFonts w:ascii="Verdana" w:eastAsia="Verdana" w:hAnsi="Verdana" w:cs="Verdana"/>
          <w:i/>
          <w:iCs/>
          <w:lang w:eastAsia="es-ES"/>
        </w:rPr>
      </w:pPr>
    </w:p>
    <w:p w14:paraId="7569D2BE" w14:textId="77777777" w:rsidR="00D00528" w:rsidRPr="00A80F2E" w:rsidRDefault="00D00528" w:rsidP="3C1C5266">
      <w:pPr>
        <w:pStyle w:val="Prrafodelista"/>
        <w:widowControl w:val="0"/>
        <w:numPr>
          <w:ilvl w:val="0"/>
          <w:numId w:val="14"/>
        </w:numPr>
        <w:autoSpaceDE w:val="0"/>
        <w:autoSpaceDN w:val="0"/>
        <w:adjustRightInd w:val="0"/>
        <w:spacing w:after="0"/>
        <w:ind w:left="1429"/>
        <w:jc w:val="both"/>
        <w:rPr>
          <w:rFonts w:ascii="Verdana" w:eastAsia="Verdana" w:hAnsi="Verdana" w:cs="Verdana"/>
          <w:i/>
          <w:iCs/>
          <w:lang w:eastAsia="es-ES"/>
        </w:rPr>
      </w:pPr>
      <w:r w:rsidRPr="3C1C5266">
        <w:rPr>
          <w:rFonts w:ascii="Verdana" w:eastAsia="Verdana" w:hAnsi="Verdana" w:cs="Verdana"/>
          <w:i/>
          <w:iCs/>
          <w:lang w:eastAsia="es-ES"/>
        </w:rPr>
        <w:t xml:space="preserve">Pago total de la obligación. </w:t>
      </w:r>
    </w:p>
    <w:p w14:paraId="77C6B6EF" w14:textId="77777777" w:rsidR="00D00528" w:rsidRPr="00A80F2E" w:rsidRDefault="00D00528" w:rsidP="3C1C5266">
      <w:pPr>
        <w:pStyle w:val="Prrafodelista"/>
        <w:widowControl w:val="0"/>
        <w:numPr>
          <w:ilvl w:val="0"/>
          <w:numId w:val="14"/>
        </w:numPr>
        <w:autoSpaceDE w:val="0"/>
        <w:autoSpaceDN w:val="0"/>
        <w:adjustRightInd w:val="0"/>
        <w:spacing w:after="0"/>
        <w:ind w:left="1429"/>
        <w:jc w:val="both"/>
        <w:rPr>
          <w:rFonts w:ascii="Verdana" w:eastAsia="Verdana" w:hAnsi="Verdana" w:cs="Verdana"/>
          <w:i/>
          <w:iCs/>
          <w:lang w:eastAsia="es-ES"/>
        </w:rPr>
      </w:pPr>
      <w:r w:rsidRPr="3C1C5266">
        <w:rPr>
          <w:rFonts w:ascii="Verdana" w:eastAsia="Verdana" w:hAnsi="Verdana" w:cs="Verdana"/>
          <w:i/>
          <w:iCs/>
          <w:lang w:eastAsia="es-ES"/>
        </w:rPr>
        <w:t xml:space="preserve">Prescripción total de la acción de cobro. </w:t>
      </w:r>
    </w:p>
    <w:p w14:paraId="1D64EF07" w14:textId="77777777" w:rsidR="00D00528" w:rsidRPr="00A80F2E" w:rsidRDefault="00D00528" w:rsidP="3C1C5266">
      <w:pPr>
        <w:pStyle w:val="Prrafodelista"/>
        <w:widowControl w:val="0"/>
        <w:numPr>
          <w:ilvl w:val="0"/>
          <w:numId w:val="14"/>
        </w:numPr>
        <w:autoSpaceDE w:val="0"/>
        <w:autoSpaceDN w:val="0"/>
        <w:adjustRightInd w:val="0"/>
        <w:spacing w:after="0"/>
        <w:ind w:left="1429"/>
        <w:jc w:val="both"/>
        <w:rPr>
          <w:rFonts w:ascii="Verdana" w:eastAsia="Verdana" w:hAnsi="Verdana" w:cs="Verdana"/>
          <w:i/>
          <w:iCs/>
          <w:lang w:eastAsia="es-ES"/>
        </w:rPr>
      </w:pPr>
      <w:r w:rsidRPr="3C1C5266">
        <w:rPr>
          <w:rFonts w:ascii="Verdana" w:eastAsia="Verdana" w:hAnsi="Verdana" w:cs="Verdana"/>
          <w:i/>
          <w:iCs/>
          <w:lang w:eastAsia="es-ES"/>
        </w:rPr>
        <w:t xml:space="preserve">Remisibilidad de la obligación. </w:t>
      </w:r>
    </w:p>
    <w:p w14:paraId="4432B14A" w14:textId="77777777" w:rsidR="00D00528" w:rsidRPr="00A80F2E" w:rsidRDefault="00D00528" w:rsidP="3C1C5266">
      <w:pPr>
        <w:pStyle w:val="Prrafodelista"/>
        <w:widowControl w:val="0"/>
        <w:numPr>
          <w:ilvl w:val="0"/>
          <w:numId w:val="14"/>
        </w:numPr>
        <w:autoSpaceDE w:val="0"/>
        <w:autoSpaceDN w:val="0"/>
        <w:adjustRightInd w:val="0"/>
        <w:spacing w:after="0"/>
        <w:ind w:left="1429"/>
        <w:jc w:val="both"/>
        <w:rPr>
          <w:rFonts w:ascii="Verdana" w:eastAsia="Verdana" w:hAnsi="Verdana" w:cs="Verdana"/>
          <w:i/>
          <w:iCs/>
          <w:lang w:eastAsia="es-ES"/>
        </w:rPr>
      </w:pPr>
      <w:r w:rsidRPr="3C1C5266">
        <w:rPr>
          <w:rFonts w:ascii="Verdana" w:eastAsia="Verdana" w:hAnsi="Verdana" w:cs="Verdana"/>
          <w:i/>
          <w:iCs/>
          <w:lang w:eastAsia="es-ES"/>
        </w:rPr>
        <w:t xml:space="preserve">Cuando los recursos o las excepciones hayan sido resueltos a favor del ejecutado. </w:t>
      </w:r>
    </w:p>
    <w:p w14:paraId="67C8443D" w14:textId="77777777" w:rsidR="00D00528" w:rsidRPr="00A80F2E" w:rsidRDefault="00D00528" w:rsidP="3C1C5266">
      <w:pPr>
        <w:pStyle w:val="Prrafodelista"/>
        <w:widowControl w:val="0"/>
        <w:numPr>
          <w:ilvl w:val="0"/>
          <w:numId w:val="14"/>
        </w:numPr>
        <w:autoSpaceDE w:val="0"/>
        <w:autoSpaceDN w:val="0"/>
        <w:adjustRightInd w:val="0"/>
        <w:spacing w:after="0"/>
        <w:ind w:left="1429"/>
        <w:jc w:val="both"/>
        <w:rPr>
          <w:rFonts w:ascii="Verdana" w:eastAsia="Verdana" w:hAnsi="Verdana" w:cs="Verdana"/>
          <w:i/>
          <w:iCs/>
          <w:lang w:eastAsia="es-ES"/>
        </w:rPr>
      </w:pPr>
      <w:r w:rsidRPr="3C1C5266">
        <w:rPr>
          <w:rFonts w:ascii="Verdana" w:eastAsia="Verdana" w:hAnsi="Verdana" w:cs="Verdana"/>
          <w:i/>
          <w:iCs/>
          <w:lang w:eastAsia="es-ES"/>
        </w:rPr>
        <w:t xml:space="preserve">Nulidad del acto administrativo que presta mérito ejecutivo. </w:t>
      </w:r>
    </w:p>
    <w:p w14:paraId="08EEC8A2" w14:textId="77777777" w:rsidR="00D00528" w:rsidRPr="00A80F2E" w:rsidRDefault="00D00528" w:rsidP="3C1C5266">
      <w:pPr>
        <w:pStyle w:val="Prrafodelista"/>
        <w:widowControl w:val="0"/>
        <w:numPr>
          <w:ilvl w:val="0"/>
          <w:numId w:val="14"/>
        </w:numPr>
        <w:autoSpaceDE w:val="0"/>
        <w:autoSpaceDN w:val="0"/>
        <w:adjustRightInd w:val="0"/>
        <w:spacing w:after="0"/>
        <w:ind w:left="1429"/>
        <w:jc w:val="both"/>
        <w:rPr>
          <w:rFonts w:ascii="Verdana" w:eastAsia="Verdana" w:hAnsi="Verdana" w:cs="Verdana"/>
          <w:i/>
          <w:iCs/>
          <w:lang w:eastAsia="es-ES"/>
        </w:rPr>
      </w:pPr>
      <w:r w:rsidRPr="3C1C5266">
        <w:rPr>
          <w:rFonts w:ascii="Verdana" w:eastAsia="Verdana" w:hAnsi="Verdana" w:cs="Verdana"/>
          <w:i/>
          <w:iCs/>
          <w:lang w:eastAsia="es-ES"/>
        </w:rPr>
        <w:t xml:space="preserve">Análisis y aprobación del costo-beneficio. </w:t>
      </w:r>
    </w:p>
    <w:p w14:paraId="4B93949D" w14:textId="77777777" w:rsidR="00D00528" w:rsidRPr="00A80F2E" w:rsidRDefault="00D00528" w:rsidP="3C1C5266">
      <w:pPr>
        <w:pStyle w:val="Prrafodelista"/>
        <w:widowControl w:val="0"/>
        <w:numPr>
          <w:ilvl w:val="0"/>
          <w:numId w:val="14"/>
        </w:numPr>
        <w:autoSpaceDE w:val="0"/>
        <w:autoSpaceDN w:val="0"/>
        <w:adjustRightInd w:val="0"/>
        <w:spacing w:after="0"/>
        <w:ind w:left="1429"/>
        <w:jc w:val="both"/>
        <w:rPr>
          <w:rFonts w:ascii="Verdana" w:eastAsia="Verdana" w:hAnsi="Verdana" w:cs="Verdana"/>
          <w:i/>
          <w:iCs/>
          <w:lang w:eastAsia="es-ES"/>
        </w:rPr>
      </w:pPr>
      <w:r w:rsidRPr="3C1C5266">
        <w:rPr>
          <w:rFonts w:ascii="Verdana" w:eastAsia="Verdana" w:hAnsi="Verdana" w:cs="Verdana"/>
          <w:i/>
          <w:iCs/>
          <w:lang w:eastAsia="es-ES"/>
        </w:rPr>
        <w:t xml:space="preserve">Pérdida de fuerza ejecutoria del acto que fundamenta el cobro. </w:t>
      </w:r>
    </w:p>
    <w:p w14:paraId="77B939DA" w14:textId="77777777" w:rsidR="00D00528" w:rsidRPr="00A80F2E" w:rsidRDefault="00D00528" w:rsidP="3C1C5266">
      <w:pPr>
        <w:pStyle w:val="Prrafodelista"/>
        <w:widowControl w:val="0"/>
        <w:numPr>
          <w:ilvl w:val="0"/>
          <w:numId w:val="14"/>
        </w:numPr>
        <w:autoSpaceDE w:val="0"/>
        <w:autoSpaceDN w:val="0"/>
        <w:adjustRightInd w:val="0"/>
        <w:spacing w:after="0"/>
        <w:ind w:left="1429"/>
        <w:jc w:val="both"/>
        <w:rPr>
          <w:rFonts w:ascii="Verdana" w:eastAsia="Verdana" w:hAnsi="Verdana" w:cs="Verdana"/>
          <w:i/>
          <w:iCs/>
          <w:lang w:eastAsia="es-ES"/>
        </w:rPr>
      </w:pPr>
      <w:r w:rsidRPr="3C1C5266">
        <w:rPr>
          <w:rFonts w:ascii="Verdana" w:eastAsia="Verdana" w:hAnsi="Verdana" w:cs="Verdana"/>
          <w:i/>
          <w:iCs/>
          <w:lang w:eastAsia="es-ES"/>
        </w:rPr>
        <w:t xml:space="preserve">La inexistencia probada del deudor o insolvencia demostrada que impida la realización del cobro.” </w:t>
      </w:r>
    </w:p>
    <w:p w14:paraId="17ED52D7" w14:textId="77777777" w:rsidR="00D00528" w:rsidRPr="00A80F2E" w:rsidRDefault="00D00528" w:rsidP="3C1C5266">
      <w:pPr>
        <w:widowControl w:val="0"/>
        <w:autoSpaceDE w:val="0"/>
        <w:autoSpaceDN w:val="0"/>
        <w:adjustRightInd w:val="0"/>
        <w:spacing w:after="0"/>
        <w:jc w:val="both"/>
        <w:rPr>
          <w:rFonts w:ascii="Verdana" w:eastAsia="Verdana" w:hAnsi="Verdana" w:cs="Verdana"/>
          <w:lang w:eastAsia="es-ES"/>
        </w:rPr>
      </w:pPr>
    </w:p>
    <w:p w14:paraId="068FB24A" w14:textId="2CBE801B" w:rsidR="00D00528" w:rsidRDefault="00D00528" w:rsidP="3C1C5266">
      <w:pPr>
        <w:widowControl w:val="0"/>
        <w:autoSpaceDE w:val="0"/>
        <w:autoSpaceDN w:val="0"/>
        <w:adjustRightInd w:val="0"/>
        <w:spacing w:after="0"/>
        <w:jc w:val="both"/>
        <w:rPr>
          <w:rFonts w:ascii="Verdana" w:eastAsia="Verdana" w:hAnsi="Verdana" w:cs="Verdana"/>
          <w:lang w:eastAsia="es-ES"/>
        </w:rPr>
      </w:pPr>
      <w:r w:rsidRPr="3C1C5266">
        <w:rPr>
          <w:rFonts w:ascii="Verdana" w:eastAsia="Verdana" w:hAnsi="Verdana" w:cs="Verdana"/>
          <w:lang w:eastAsia="es-ES"/>
        </w:rPr>
        <w:t xml:space="preserve">De acuerdo con lo que dispone la norma, la terminación del proceso administrativo de cobro coactivo sólo puede darse en los eventos que define el </w:t>
      </w:r>
      <w:r w:rsidR="00955948" w:rsidRPr="3C1C5266">
        <w:rPr>
          <w:rFonts w:ascii="Verdana" w:eastAsia="Verdana" w:hAnsi="Verdana" w:cs="Verdana"/>
          <w:lang w:eastAsia="es-ES"/>
        </w:rPr>
        <w:t>R</w:t>
      </w:r>
      <w:r w:rsidRPr="3C1C5266">
        <w:rPr>
          <w:rFonts w:ascii="Verdana" w:eastAsia="Verdana" w:hAnsi="Verdana" w:cs="Verdana"/>
          <w:lang w:eastAsia="es-ES"/>
        </w:rPr>
        <w:t xml:space="preserve">eglamento </w:t>
      </w:r>
      <w:r w:rsidR="00955948" w:rsidRPr="3C1C5266">
        <w:rPr>
          <w:rFonts w:ascii="Verdana" w:eastAsia="Verdana" w:hAnsi="Verdana" w:cs="Verdana"/>
          <w:lang w:eastAsia="es-ES"/>
        </w:rPr>
        <w:t>I</w:t>
      </w:r>
      <w:r w:rsidRPr="3C1C5266">
        <w:rPr>
          <w:rFonts w:ascii="Verdana" w:eastAsia="Verdana" w:hAnsi="Verdana" w:cs="Verdana"/>
          <w:lang w:eastAsia="es-ES"/>
        </w:rPr>
        <w:t xml:space="preserve">nterno de </w:t>
      </w:r>
      <w:r w:rsidR="00955948" w:rsidRPr="3C1C5266">
        <w:rPr>
          <w:rFonts w:ascii="Verdana" w:eastAsia="Verdana" w:hAnsi="Verdana" w:cs="Verdana"/>
          <w:lang w:eastAsia="es-ES"/>
        </w:rPr>
        <w:t>C</w:t>
      </w:r>
      <w:r w:rsidRPr="3C1C5266">
        <w:rPr>
          <w:rFonts w:ascii="Verdana" w:eastAsia="Verdana" w:hAnsi="Verdana" w:cs="Verdana"/>
          <w:lang w:eastAsia="es-ES"/>
        </w:rPr>
        <w:t xml:space="preserve">artera en </w:t>
      </w:r>
      <w:r w:rsidR="0021048D" w:rsidRPr="3C1C5266">
        <w:rPr>
          <w:rFonts w:ascii="Verdana" w:eastAsia="Verdana" w:hAnsi="Verdana" w:cs="Verdana"/>
          <w:lang w:eastAsia="es-ES"/>
        </w:rPr>
        <w:t xml:space="preserve">el </w:t>
      </w:r>
      <w:r w:rsidRPr="3C1C5266">
        <w:rPr>
          <w:rFonts w:ascii="Verdana" w:eastAsia="Verdana" w:hAnsi="Verdana" w:cs="Verdana"/>
          <w:lang w:eastAsia="es-ES"/>
        </w:rPr>
        <w:t xml:space="preserve">artículo 37. La norma no dispone de una cláusula abierta que le permita al intérprete definir otros eventos o casuales en donde sea procedente dar por terminado el proceso de cobro coactivo. Por tanto, los funcionarios ejecutores deben ceñirse de forma estricta </w:t>
      </w:r>
      <w:r w:rsidR="00955948" w:rsidRPr="3C1C5266">
        <w:rPr>
          <w:rFonts w:ascii="Verdana" w:eastAsia="Verdana" w:hAnsi="Verdana" w:cs="Verdana"/>
          <w:lang w:eastAsia="es-ES"/>
        </w:rPr>
        <w:t xml:space="preserve">a </w:t>
      </w:r>
      <w:r w:rsidR="008C5ADA" w:rsidRPr="3C1C5266">
        <w:rPr>
          <w:rFonts w:ascii="Verdana" w:eastAsia="Verdana" w:hAnsi="Verdana" w:cs="Verdana"/>
          <w:lang w:eastAsia="es-ES"/>
        </w:rPr>
        <w:t>las situaciones</w:t>
      </w:r>
      <w:r w:rsidRPr="3C1C5266">
        <w:rPr>
          <w:rFonts w:ascii="Verdana" w:eastAsia="Verdana" w:hAnsi="Verdana" w:cs="Verdana"/>
          <w:lang w:eastAsia="es-ES"/>
        </w:rPr>
        <w:t xml:space="preserve"> </w:t>
      </w:r>
      <w:r w:rsidR="00955948" w:rsidRPr="3C1C5266">
        <w:rPr>
          <w:rFonts w:ascii="Verdana" w:eastAsia="Verdana" w:hAnsi="Verdana" w:cs="Verdana"/>
          <w:lang w:eastAsia="es-ES"/>
        </w:rPr>
        <w:t>descritas en el artículo enunciado.</w:t>
      </w:r>
      <w:r w:rsidRPr="3C1C5266">
        <w:rPr>
          <w:rFonts w:ascii="Verdana" w:eastAsia="Verdana" w:hAnsi="Verdana" w:cs="Verdana"/>
          <w:lang w:eastAsia="es-ES"/>
        </w:rPr>
        <w:t xml:space="preserve"> </w:t>
      </w:r>
    </w:p>
    <w:p w14:paraId="340B8BD3" w14:textId="3706A7C8" w:rsidR="00E15306" w:rsidRPr="000B1448" w:rsidRDefault="00E15306" w:rsidP="3C1C5266">
      <w:pPr>
        <w:widowControl w:val="0"/>
        <w:autoSpaceDE w:val="0"/>
        <w:autoSpaceDN w:val="0"/>
        <w:adjustRightInd w:val="0"/>
        <w:spacing w:after="0"/>
        <w:jc w:val="both"/>
        <w:rPr>
          <w:rFonts w:ascii="Verdana" w:eastAsia="Verdana" w:hAnsi="Verdana" w:cs="Verdana"/>
          <w:b/>
          <w:bCs/>
          <w:lang w:eastAsia="es-ES"/>
        </w:rPr>
      </w:pPr>
    </w:p>
    <w:p w14:paraId="155F76AE" w14:textId="093AD551" w:rsidR="000B1448" w:rsidRDefault="00FE261A" w:rsidP="3C1C5266">
      <w:pPr>
        <w:widowControl w:val="0"/>
        <w:autoSpaceDE w:val="0"/>
        <w:autoSpaceDN w:val="0"/>
        <w:adjustRightInd w:val="0"/>
        <w:spacing w:after="0"/>
        <w:jc w:val="both"/>
        <w:rPr>
          <w:rFonts w:ascii="Verdana" w:eastAsia="Verdana" w:hAnsi="Verdana" w:cs="Verdana"/>
          <w:lang w:val="es-419"/>
        </w:rPr>
      </w:pPr>
      <w:r w:rsidRPr="3C1C5266">
        <w:rPr>
          <w:rFonts w:ascii="Verdana" w:eastAsia="Verdana" w:hAnsi="Verdana" w:cs="Verdana"/>
          <w:b/>
          <w:bCs/>
          <w:lang w:val="es-419"/>
        </w:rPr>
        <w:t>2</w:t>
      </w:r>
      <w:r w:rsidR="000B1448" w:rsidRPr="3C1C5266">
        <w:rPr>
          <w:rFonts w:ascii="Verdana" w:eastAsia="Verdana" w:hAnsi="Verdana" w:cs="Verdana"/>
          <w:b/>
          <w:bCs/>
          <w:lang w:val="es-419"/>
        </w:rPr>
        <w:t>.</w:t>
      </w:r>
      <w:r w:rsidR="00AF39E0" w:rsidRPr="3C1C5266">
        <w:rPr>
          <w:rFonts w:ascii="Verdana" w:eastAsia="Verdana" w:hAnsi="Verdana" w:cs="Verdana"/>
          <w:b/>
          <w:bCs/>
          <w:lang w:val="es-419"/>
        </w:rPr>
        <w:t>4.</w:t>
      </w:r>
      <w:r w:rsidR="000B1448" w:rsidRPr="3C1C5266">
        <w:rPr>
          <w:rFonts w:ascii="Verdana" w:eastAsia="Verdana" w:hAnsi="Verdana" w:cs="Verdana"/>
          <w:b/>
          <w:bCs/>
          <w:lang w:val="es-419"/>
        </w:rPr>
        <w:t xml:space="preserve"> Efectos jurídicos que tiene la admisión de la demanda de nulidad y restablecimiento del derecho dentro del proceso de cobro coactivo</w:t>
      </w:r>
      <w:r w:rsidR="000B1448" w:rsidRPr="3C1C5266">
        <w:rPr>
          <w:rFonts w:ascii="Verdana" w:eastAsia="Verdana" w:hAnsi="Verdana" w:cs="Verdana"/>
          <w:lang w:val="es-419"/>
        </w:rPr>
        <w:t>.</w:t>
      </w:r>
    </w:p>
    <w:p w14:paraId="67A412A4" w14:textId="77777777" w:rsidR="0083790A" w:rsidRDefault="0083790A" w:rsidP="3C1C5266">
      <w:pPr>
        <w:widowControl w:val="0"/>
        <w:autoSpaceDE w:val="0"/>
        <w:autoSpaceDN w:val="0"/>
        <w:adjustRightInd w:val="0"/>
        <w:spacing w:after="0"/>
        <w:jc w:val="both"/>
        <w:rPr>
          <w:rFonts w:ascii="Verdana" w:eastAsia="Verdana" w:hAnsi="Verdana" w:cs="Verdana"/>
          <w:lang w:eastAsia="es-ES"/>
        </w:rPr>
      </w:pPr>
    </w:p>
    <w:p w14:paraId="596F4418" w14:textId="08054C1F" w:rsidR="001605C6" w:rsidRDefault="0083790A" w:rsidP="3C1C5266">
      <w:pPr>
        <w:widowControl w:val="0"/>
        <w:autoSpaceDE w:val="0"/>
        <w:autoSpaceDN w:val="0"/>
        <w:adjustRightInd w:val="0"/>
        <w:spacing w:after="0"/>
        <w:jc w:val="both"/>
        <w:rPr>
          <w:rFonts w:ascii="Verdana" w:eastAsia="Verdana" w:hAnsi="Verdana" w:cs="Verdana"/>
          <w:lang w:eastAsia="es-ES"/>
        </w:rPr>
      </w:pPr>
      <w:r w:rsidRPr="3C1C5266">
        <w:rPr>
          <w:rFonts w:ascii="Verdana" w:eastAsia="Verdana" w:hAnsi="Verdana" w:cs="Verdana"/>
          <w:lang w:eastAsia="es-ES"/>
        </w:rPr>
        <w:t>Al respecto, el artículo 101 del C.P.</w:t>
      </w:r>
      <w:r w:rsidR="00975032" w:rsidRPr="3C1C5266">
        <w:rPr>
          <w:rFonts w:ascii="Verdana" w:eastAsia="Verdana" w:hAnsi="Verdana" w:cs="Verdana"/>
          <w:lang w:eastAsia="es-ES"/>
        </w:rPr>
        <w:t xml:space="preserve">A. </w:t>
      </w:r>
      <w:r w:rsidRPr="3C1C5266">
        <w:rPr>
          <w:rFonts w:ascii="Verdana" w:eastAsia="Verdana" w:hAnsi="Verdana" w:cs="Verdana"/>
          <w:lang w:eastAsia="es-ES"/>
        </w:rPr>
        <w:t xml:space="preserve">C.A. </w:t>
      </w:r>
      <w:r w:rsidR="001605C6" w:rsidRPr="3C1C5266">
        <w:rPr>
          <w:rFonts w:ascii="Verdana" w:eastAsia="Verdana" w:hAnsi="Verdana" w:cs="Verdana"/>
          <w:lang w:eastAsia="es-ES"/>
        </w:rPr>
        <w:t xml:space="preserve">establece los efectos jurídicos que tiene la admisión de la demanda de nulidad y restablecimiento del derecho en el proceso administrativo de cobro coactivo, así como las actuaciones sujetas a control jurisdiccional. Puntualmente, la norma estipula que la demanda del acto administrativo que constituye el título ejecutivo no suspende el proceso de cobro coactivo. Al respecto establece el artículo en mención </w:t>
      </w:r>
      <w:r w:rsidRPr="3C1C5266">
        <w:rPr>
          <w:rFonts w:ascii="Verdana" w:eastAsia="Verdana" w:hAnsi="Verdana" w:cs="Verdana"/>
          <w:lang w:eastAsia="es-ES"/>
        </w:rPr>
        <w:t>refiere lo</w:t>
      </w:r>
      <w:r w:rsidR="001605C6" w:rsidRPr="3C1C5266">
        <w:rPr>
          <w:rFonts w:ascii="Verdana" w:eastAsia="Verdana" w:hAnsi="Verdana" w:cs="Verdana"/>
          <w:lang w:eastAsia="es-ES"/>
        </w:rPr>
        <w:t xml:space="preserve"> siguiente: </w:t>
      </w:r>
    </w:p>
    <w:p w14:paraId="1C9443EF" w14:textId="77777777" w:rsidR="001605C6" w:rsidRDefault="001605C6" w:rsidP="3C1C5266">
      <w:pPr>
        <w:widowControl w:val="0"/>
        <w:autoSpaceDE w:val="0"/>
        <w:autoSpaceDN w:val="0"/>
        <w:adjustRightInd w:val="0"/>
        <w:spacing w:after="0"/>
        <w:jc w:val="both"/>
        <w:rPr>
          <w:rFonts w:ascii="Verdana" w:eastAsia="Verdana" w:hAnsi="Verdana" w:cs="Verdana"/>
          <w:lang w:eastAsia="es-ES"/>
        </w:rPr>
      </w:pPr>
    </w:p>
    <w:p w14:paraId="7EFEDAEC" w14:textId="77777777" w:rsidR="001605C6" w:rsidRPr="0083790A" w:rsidRDefault="001605C6" w:rsidP="3C1C5266">
      <w:pPr>
        <w:widowControl w:val="0"/>
        <w:autoSpaceDE w:val="0"/>
        <w:autoSpaceDN w:val="0"/>
        <w:adjustRightInd w:val="0"/>
        <w:spacing w:after="0"/>
        <w:ind w:left="709"/>
        <w:jc w:val="both"/>
        <w:rPr>
          <w:rFonts w:ascii="Verdana" w:eastAsia="Verdana" w:hAnsi="Verdana" w:cs="Verdana"/>
          <w:i/>
          <w:iCs/>
          <w:lang w:eastAsia="es-ES"/>
        </w:rPr>
      </w:pPr>
      <w:r w:rsidRPr="3C1C5266">
        <w:rPr>
          <w:rFonts w:ascii="Verdana" w:eastAsia="Verdana" w:hAnsi="Verdana" w:cs="Verdana"/>
          <w:i/>
          <w:iCs/>
          <w:lang w:eastAsia="es-ES"/>
        </w:rPr>
        <w:t>“ARTÍCULO 101. Control jurisdiccional. Sólo serán demandables ante la Jurisdicción de lo Contencioso Administrativo, en los términos de la Parte Segunda de este Código, los actos administrativos que deciden las excepciones a favor del deudor, los que ordenan llevar adelante la ejecución y los que liquiden el crédito.</w:t>
      </w:r>
    </w:p>
    <w:p w14:paraId="12218B4B" w14:textId="77777777" w:rsidR="001605C6" w:rsidRPr="0083790A" w:rsidRDefault="001605C6" w:rsidP="3C1C5266">
      <w:pPr>
        <w:widowControl w:val="0"/>
        <w:autoSpaceDE w:val="0"/>
        <w:autoSpaceDN w:val="0"/>
        <w:adjustRightInd w:val="0"/>
        <w:spacing w:after="0"/>
        <w:ind w:left="709"/>
        <w:jc w:val="both"/>
        <w:rPr>
          <w:rFonts w:ascii="Verdana" w:eastAsia="Verdana" w:hAnsi="Verdana" w:cs="Verdana"/>
          <w:i/>
          <w:iCs/>
          <w:lang w:eastAsia="es-ES"/>
        </w:rPr>
      </w:pPr>
    </w:p>
    <w:p w14:paraId="2BE983F4" w14:textId="77777777" w:rsidR="001605C6" w:rsidRPr="0083790A" w:rsidRDefault="001605C6" w:rsidP="3C1C5266">
      <w:pPr>
        <w:widowControl w:val="0"/>
        <w:autoSpaceDE w:val="0"/>
        <w:autoSpaceDN w:val="0"/>
        <w:adjustRightInd w:val="0"/>
        <w:spacing w:after="0"/>
        <w:ind w:left="709"/>
        <w:jc w:val="both"/>
        <w:rPr>
          <w:rFonts w:ascii="Verdana" w:eastAsia="Verdana" w:hAnsi="Verdana" w:cs="Verdana"/>
          <w:i/>
          <w:iCs/>
          <w:lang w:eastAsia="es-ES"/>
        </w:rPr>
      </w:pPr>
      <w:r w:rsidRPr="3C1C5266">
        <w:rPr>
          <w:rFonts w:ascii="Verdana" w:eastAsia="Verdana" w:hAnsi="Verdana" w:cs="Verdana"/>
          <w:i/>
          <w:iCs/>
          <w:lang w:eastAsia="es-ES"/>
        </w:rPr>
        <w:t xml:space="preserve">La admisión de la demanda contra los anteriores actos o </w:t>
      </w:r>
      <w:r w:rsidRPr="3C1C5266">
        <w:rPr>
          <w:rFonts w:ascii="Verdana" w:eastAsia="Verdana" w:hAnsi="Verdana" w:cs="Verdana"/>
          <w:b/>
          <w:bCs/>
          <w:i/>
          <w:iCs/>
          <w:lang w:eastAsia="es-ES"/>
        </w:rPr>
        <w:t>contra el que constituye el título ejecutivo no suspende el procedimiento de cobro coactivo.</w:t>
      </w:r>
      <w:r w:rsidRPr="3C1C5266">
        <w:rPr>
          <w:rFonts w:ascii="Verdana" w:eastAsia="Verdana" w:hAnsi="Verdana" w:cs="Verdana"/>
          <w:i/>
          <w:iCs/>
          <w:lang w:eastAsia="es-ES"/>
        </w:rPr>
        <w:t xml:space="preserve"> Únicamente habrá lugar a la suspensión del procedimiento administrativo de cobro coactivo:</w:t>
      </w:r>
    </w:p>
    <w:p w14:paraId="3877FAF6" w14:textId="77777777" w:rsidR="001605C6" w:rsidRPr="0083790A" w:rsidRDefault="001605C6" w:rsidP="3C1C5266">
      <w:pPr>
        <w:widowControl w:val="0"/>
        <w:autoSpaceDE w:val="0"/>
        <w:autoSpaceDN w:val="0"/>
        <w:adjustRightInd w:val="0"/>
        <w:spacing w:after="0"/>
        <w:ind w:left="709"/>
        <w:jc w:val="both"/>
        <w:rPr>
          <w:rFonts w:ascii="Verdana" w:eastAsia="Verdana" w:hAnsi="Verdana" w:cs="Verdana"/>
          <w:i/>
          <w:iCs/>
          <w:lang w:eastAsia="es-ES"/>
        </w:rPr>
      </w:pPr>
    </w:p>
    <w:p w14:paraId="6DE3889B" w14:textId="77777777" w:rsidR="001605C6" w:rsidRPr="0083790A" w:rsidRDefault="001605C6" w:rsidP="3C1C5266">
      <w:pPr>
        <w:widowControl w:val="0"/>
        <w:autoSpaceDE w:val="0"/>
        <w:autoSpaceDN w:val="0"/>
        <w:adjustRightInd w:val="0"/>
        <w:spacing w:after="0"/>
        <w:ind w:left="709"/>
        <w:jc w:val="both"/>
        <w:rPr>
          <w:rFonts w:ascii="Verdana" w:eastAsia="Verdana" w:hAnsi="Verdana" w:cs="Verdana"/>
          <w:i/>
          <w:iCs/>
          <w:lang w:eastAsia="es-ES"/>
        </w:rPr>
      </w:pPr>
      <w:r w:rsidRPr="3C1C5266">
        <w:rPr>
          <w:rFonts w:ascii="Verdana" w:eastAsia="Verdana" w:hAnsi="Verdana" w:cs="Verdana"/>
          <w:i/>
          <w:iCs/>
          <w:lang w:eastAsia="es-ES"/>
        </w:rPr>
        <w:t>1. Cuando el acto administrativo que constituye el título ejecutivo haya sido suspendido provisionalmente por la Jurisdicción de lo Contencioso Administrativo; y</w:t>
      </w:r>
    </w:p>
    <w:p w14:paraId="4CFC88F6" w14:textId="77777777" w:rsidR="001605C6" w:rsidRPr="0083790A" w:rsidRDefault="001605C6" w:rsidP="3C1C5266">
      <w:pPr>
        <w:widowControl w:val="0"/>
        <w:autoSpaceDE w:val="0"/>
        <w:autoSpaceDN w:val="0"/>
        <w:adjustRightInd w:val="0"/>
        <w:spacing w:after="0"/>
        <w:ind w:left="709"/>
        <w:jc w:val="both"/>
        <w:rPr>
          <w:rFonts w:ascii="Verdana" w:eastAsia="Verdana" w:hAnsi="Verdana" w:cs="Verdana"/>
          <w:i/>
          <w:iCs/>
          <w:lang w:eastAsia="es-ES"/>
        </w:rPr>
      </w:pPr>
    </w:p>
    <w:p w14:paraId="0F1F1984" w14:textId="77777777" w:rsidR="001605C6" w:rsidRDefault="001605C6" w:rsidP="3C1C5266">
      <w:pPr>
        <w:widowControl w:val="0"/>
        <w:autoSpaceDE w:val="0"/>
        <w:autoSpaceDN w:val="0"/>
        <w:adjustRightInd w:val="0"/>
        <w:spacing w:after="0"/>
        <w:ind w:left="709"/>
        <w:jc w:val="both"/>
        <w:rPr>
          <w:rFonts w:ascii="Verdana" w:eastAsia="Verdana" w:hAnsi="Verdana" w:cs="Verdana"/>
          <w:lang w:eastAsia="es-ES"/>
        </w:rPr>
      </w:pPr>
      <w:r w:rsidRPr="3C1C5266">
        <w:rPr>
          <w:rFonts w:ascii="Verdana" w:eastAsia="Verdana" w:hAnsi="Verdana" w:cs="Verdana"/>
          <w:i/>
          <w:iCs/>
          <w:lang w:eastAsia="es-ES"/>
        </w:rPr>
        <w:t>2. A solicitud del ejecutado, cuando proferido el acto que decida las excepciones o el que ordene seguir adelante la ejecución, según el caso, esté pendiente el resultado de un proceso contencioso administrativo de nulidad contra el título ejecutivo, salvo lo dispuesto en leyes especiales. Esta suspensión no dará lugar al levantamiento de medidas cautelares, ni impide el decreto y práctica de medidas cautelares.”</w:t>
      </w:r>
      <w:r w:rsidRPr="3C1C5266">
        <w:rPr>
          <w:rFonts w:ascii="Verdana" w:eastAsia="Verdana" w:hAnsi="Verdana" w:cs="Verdana"/>
          <w:lang w:eastAsia="es-ES"/>
        </w:rPr>
        <w:t xml:space="preserve"> (Negrilla fuera del texto) </w:t>
      </w:r>
    </w:p>
    <w:p w14:paraId="37228FC1" w14:textId="77777777" w:rsidR="001605C6" w:rsidRDefault="001605C6" w:rsidP="3C1C5266">
      <w:pPr>
        <w:widowControl w:val="0"/>
        <w:autoSpaceDE w:val="0"/>
        <w:autoSpaceDN w:val="0"/>
        <w:adjustRightInd w:val="0"/>
        <w:spacing w:after="0"/>
        <w:jc w:val="both"/>
        <w:rPr>
          <w:rFonts w:ascii="Verdana" w:eastAsia="Verdana" w:hAnsi="Verdana" w:cs="Verdana"/>
          <w:lang w:eastAsia="es-ES"/>
        </w:rPr>
      </w:pPr>
    </w:p>
    <w:p w14:paraId="0A3832A8" w14:textId="3DDBB312" w:rsidR="00C92094" w:rsidRDefault="001605C6" w:rsidP="3C1C5266">
      <w:pPr>
        <w:widowControl w:val="0"/>
        <w:autoSpaceDE w:val="0"/>
        <w:autoSpaceDN w:val="0"/>
        <w:adjustRightInd w:val="0"/>
        <w:spacing w:after="0"/>
        <w:jc w:val="both"/>
        <w:rPr>
          <w:rFonts w:ascii="Verdana" w:eastAsia="Verdana" w:hAnsi="Verdana" w:cs="Verdana"/>
          <w:lang w:eastAsia="es-ES"/>
        </w:rPr>
      </w:pPr>
      <w:r w:rsidRPr="3C1C5266">
        <w:rPr>
          <w:rFonts w:ascii="Verdana" w:eastAsia="Verdana" w:hAnsi="Verdana" w:cs="Verdana"/>
          <w:lang w:eastAsia="es-ES"/>
        </w:rPr>
        <w:t>De acuerdo con el texto de la norma, la admisión de la demanda de nulidad y restablecimiento de derecho</w:t>
      </w:r>
      <w:r w:rsidR="00D00528" w:rsidRPr="3C1C5266">
        <w:rPr>
          <w:rFonts w:ascii="Verdana" w:eastAsia="Verdana" w:hAnsi="Verdana" w:cs="Verdana"/>
          <w:lang w:eastAsia="es-ES"/>
        </w:rPr>
        <w:t xml:space="preserve"> en contra del título ejecutivo</w:t>
      </w:r>
      <w:r w:rsidRPr="3C1C5266">
        <w:rPr>
          <w:rFonts w:ascii="Verdana" w:eastAsia="Verdana" w:hAnsi="Verdana" w:cs="Verdana"/>
          <w:lang w:eastAsia="es-ES"/>
        </w:rPr>
        <w:t xml:space="preserve"> no tiene efecto de suspender el proceso de cobro coactivo</w:t>
      </w:r>
      <w:r w:rsidR="00D00528" w:rsidRPr="3C1C5266">
        <w:rPr>
          <w:rFonts w:ascii="Verdana" w:eastAsia="Verdana" w:hAnsi="Verdana" w:cs="Verdana"/>
          <w:lang w:eastAsia="es-ES"/>
        </w:rPr>
        <w:t>, mientras no se haya propuesto como excepción por el ejecutado</w:t>
      </w:r>
      <w:r w:rsidRPr="3C1C5266">
        <w:rPr>
          <w:rFonts w:ascii="Verdana" w:eastAsia="Verdana" w:hAnsi="Verdana" w:cs="Verdana"/>
          <w:lang w:eastAsia="es-ES"/>
        </w:rPr>
        <w:t>.</w:t>
      </w:r>
    </w:p>
    <w:p w14:paraId="58062E56" w14:textId="77777777" w:rsidR="00D00528" w:rsidRDefault="00D00528" w:rsidP="3C1C5266">
      <w:pPr>
        <w:widowControl w:val="0"/>
        <w:autoSpaceDE w:val="0"/>
        <w:autoSpaceDN w:val="0"/>
        <w:adjustRightInd w:val="0"/>
        <w:spacing w:after="0"/>
        <w:jc w:val="both"/>
        <w:rPr>
          <w:rFonts w:ascii="Verdana" w:eastAsia="Verdana" w:hAnsi="Verdana" w:cs="Verdana"/>
          <w:lang w:eastAsia="es-ES"/>
        </w:rPr>
      </w:pPr>
    </w:p>
    <w:p w14:paraId="43F1BECC" w14:textId="2E04EBAE" w:rsidR="001605C6" w:rsidRDefault="001605C6" w:rsidP="3C1C5266">
      <w:pPr>
        <w:widowControl w:val="0"/>
        <w:autoSpaceDE w:val="0"/>
        <w:autoSpaceDN w:val="0"/>
        <w:adjustRightInd w:val="0"/>
        <w:spacing w:after="0"/>
        <w:jc w:val="both"/>
        <w:rPr>
          <w:rFonts w:ascii="Verdana" w:eastAsia="Verdana" w:hAnsi="Verdana" w:cs="Verdana"/>
          <w:lang w:eastAsia="es-ES"/>
        </w:rPr>
      </w:pPr>
      <w:r w:rsidRPr="3C1C5266">
        <w:rPr>
          <w:rFonts w:ascii="Verdana" w:eastAsia="Verdana" w:hAnsi="Verdana" w:cs="Verdana"/>
          <w:lang w:eastAsia="es-ES"/>
        </w:rPr>
        <w:t xml:space="preserve">Esta interpretación ha sido respaldada por el Tribunal Administrativo de Cundinamarca, léase a continuación: </w:t>
      </w:r>
    </w:p>
    <w:p w14:paraId="2C31703A" w14:textId="77777777" w:rsidR="001605C6" w:rsidRDefault="001605C6" w:rsidP="3C1C5266">
      <w:pPr>
        <w:widowControl w:val="0"/>
        <w:autoSpaceDE w:val="0"/>
        <w:autoSpaceDN w:val="0"/>
        <w:adjustRightInd w:val="0"/>
        <w:spacing w:after="0"/>
        <w:jc w:val="both"/>
        <w:rPr>
          <w:rFonts w:ascii="Verdana" w:eastAsia="Verdana" w:hAnsi="Verdana" w:cs="Verdana"/>
          <w:lang w:eastAsia="es-ES"/>
        </w:rPr>
      </w:pPr>
    </w:p>
    <w:p w14:paraId="7FAB2BEC" w14:textId="0D4C2CE5" w:rsidR="001605C6" w:rsidRPr="00461575" w:rsidRDefault="001605C6" w:rsidP="3C1C5266">
      <w:pPr>
        <w:widowControl w:val="0"/>
        <w:autoSpaceDE w:val="0"/>
        <w:autoSpaceDN w:val="0"/>
        <w:adjustRightInd w:val="0"/>
        <w:spacing w:after="0"/>
        <w:ind w:left="709"/>
        <w:jc w:val="both"/>
        <w:rPr>
          <w:rFonts w:ascii="Verdana" w:eastAsia="Verdana" w:hAnsi="Verdana" w:cs="Verdana"/>
          <w:i/>
          <w:iCs/>
          <w:lang w:eastAsia="es-ES"/>
        </w:rPr>
      </w:pPr>
      <w:r w:rsidRPr="3C1C5266">
        <w:rPr>
          <w:rFonts w:ascii="Verdana" w:eastAsia="Verdana" w:hAnsi="Verdana" w:cs="Verdana"/>
          <w:i/>
          <w:iCs/>
          <w:lang w:eastAsia="es-ES"/>
        </w:rPr>
        <w:t xml:space="preserve">“Ahora, si bien en los actos administrativos demandados se declaró probada la excepción de interposición de demanda, lo cierto es que conforme al artículo 101 del CPACA la admisión de la demanda contra los actos que constituyen el título ejecutivo </w:t>
      </w:r>
      <w:r w:rsidRPr="3C1C5266">
        <w:rPr>
          <w:rFonts w:ascii="Verdana" w:eastAsia="Verdana" w:hAnsi="Verdana" w:cs="Verdana"/>
          <w:i/>
          <w:iCs/>
          <w:u w:val="single"/>
          <w:lang w:eastAsia="es-ES"/>
        </w:rPr>
        <w:t xml:space="preserve">no dan lugar a la suspensión del procedimiento de cobro coactivo y, solo en dos eventos es procedente la suspensión del proceso: i) por orden de suspensión provisional de los actos y ii) cuando, proferido el acto que decida las excepciones o el que ordene seguir adelante la ejecución, esté pendiente el resultado de un proceso judicial de nulidad contra el título ejecutivo y </w:t>
      </w:r>
      <w:r w:rsidRPr="3C1C5266">
        <w:rPr>
          <w:rFonts w:ascii="Verdana" w:eastAsia="Verdana" w:hAnsi="Verdana" w:cs="Verdana"/>
          <w:b/>
          <w:bCs/>
          <w:i/>
          <w:iCs/>
          <w:u w:val="single"/>
          <w:lang w:eastAsia="es-ES"/>
        </w:rPr>
        <w:t>el ejecutado le pida a la Administración la suspensión del procedimiento de cobro coactivo</w:t>
      </w:r>
      <w:r w:rsidRPr="3C1C5266">
        <w:rPr>
          <w:rFonts w:ascii="Verdana" w:eastAsia="Verdana" w:hAnsi="Verdana" w:cs="Verdana"/>
          <w:i/>
          <w:iCs/>
          <w:u w:val="single"/>
          <w:lang w:eastAsia="es-ES"/>
        </w:rPr>
        <w:t>. Sin embargo, tal suspensión no da lugar al levantamiento de medidas cautelares, ni impide el decreto y práctica de medida cautelares</w:t>
      </w:r>
      <w:r w:rsidRPr="3C1C5266">
        <w:rPr>
          <w:rFonts w:ascii="Verdana" w:eastAsia="Verdana" w:hAnsi="Verdana" w:cs="Verdana"/>
          <w:i/>
          <w:iCs/>
          <w:lang w:eastAsia="es-ES"/>
        </w:rPr>
        <w:t>.”</w:t>
      </w:r>
      <w:r w:rsidRPr="3C1C5266">
        <w:rPr>
          <w:rStyle w:val="Refdenotaalpie"/>
          <w:rFonts w:ascii="Verdana" w:eastAsia="Verdana" w:hAnsi="Verdana" w:cs="Verdana"/>
          <w:i/>
          <w:iCs/>
          <w:lang w:eastAsia="es-ES"/>
        </w:rPr>
        <w:footnoteReference w:id="5"/>
      </w:r>
      <w:r w:rsidRPr="3C1C5266">
        <w:rPr>
          <w:rFonts w:ascii="Verdana" w:eastAsia="Verdana" w:hAnsi="Verdana" w:cs="Verdana"/>
          <w:i/>
          <w:iCs/>
          <w:lang w:eastAsia="es-ES"/>
        </w:rPr>
        <w:t xml:space="preserve"> (Subraya</w:t>
      </w:r>
      <w:r w:rsidR="00C92094" w:rsidRPr="3C1C5266">
        <w:rPr>
          <w:rFonts w:ascii="Verdana" w:eastAsia="Verdana" w:hAnsi="Verdana" w:cs="Verdana"/>
          <w:i/>
          <w:iCs/>
          <w:lang w:eastAsia="es-ES"/>
        </w:rPr>
        <w:t xml:space="preserve"> y </w:t>
      </w:r>
      <w:r w:rsidR="00C068E9" w:rsidRPr="3C1C5266">
        <w:rPr>
          <w:rFonts w:ascii="Verdana" w:eastAsia="Verdana" w:hAnsi="Verdana" w:cs="Verdana"/>
          <w:i/>
          <w:iCs/>
          <w:lang w:eastAsia="es-ES"/>
        </w:rPr>
        <w:t>negrilla fuera</w:t>
      </w:r>
      <w:r w:rsidRPr="3C1C5266">
        <w:rPr>
          <w:rFonts w:ascii="Verdana" w:eastAsia="Verdana" w:hAnsi="Verdana" w:cs="Verdana"/>
          <w:i/>
          <w:iCs/>
          <w:lang w:eastAsia="es-ES"/>
        </w:rPr>
        <w:t xml:space="preserve"> del texto)</w:t>
      </w:r>
    </w:p>
    <w:p w14:paraId="64C0E82E" w14:textId="77777777" w:rsidR="001605C6" w:rsidRDefault="001605C6" w:rsidP="3C1C5266">
      <w:pPr>
        <w:widowControl w:val="0"/>
        <w:autoSpaceDE w:val="0"/>
        <w:autoSpaceDN w:val="0"/>
        <w:adjustRightInd w:val="0"/>
        <w:spacing w:after="0"/>
        <w:jc w:val="both"/>
        <w:rPr>
          <w:rFonts w:ascii="Verdana" w:eastAsia="Verdana" w:hAnsi="Verdana" w:cs="Verdana"/>
          <w:lang w:eastAsia="es-ES"/>
        </w:rPr>
      </w:pPr>
    </w:p>
    <w:p w14:paraId="22B6B16C" w14:textId="77777777" w:rsidR="004D6E77" w:rsidRDefault="001605C6" w:rsidP="3C1C5266">
      <w:pPr>
        <w:widowControl w:val="0"/>
        <w:autoSpaceDE w:val="0"/>
        <w:autoSpaceDN w:val="0"/>
        <w:adjustRightInd w:val="0"/>
        <w:spacing w:after="0"/>
        <w:jc w:val="both"/>
        <w:rPr>
          <w:rFonts w:ascii="Verdana" w:eastAsia="Verdana" w:hAnsi="Verdana" w:cs="Verdana"/>
          <w:lang w:eastAsia="es-ES"/>
        </w:rPr>
      </w:pPr>
      <w:r w:rsidRPr="3C1C5266">
        <w:rPr>
          <w:rFonts w:ascii="Verdana" w:eastAsia="Verdana" w:hAnsi="Verdana" w:cs="Verdana"/>
          <w:lang w:eastAsia="es-ES"/>
        </w:rPr>
        <w:t xml:space="preserve">En razón a lo anterior, </w:t>
      </w:r>
      <w:r w:rsidR="00C92094" w:rsidRPr="3C1C5266">
        <w:rPr>
          <w:rFonts w:ascii="Verdana" w:eastAsia="Verdana" w:hAnsi="Verdana" w:cs="Verdana"/>
          <w:lang w:eastAsia="es-ES"/>
        </w:rPr>
        <w:t>el proceso de cobro coactivo se suspenderá por orden judicial o por solicitud del ejecutado. La notificación de la admisión de la demanda de nulidad y restablecimiento del derecho por si sola, no implica una anulación del acto administrativo que constituye el título ejecutivo. Esa decisión podrá ser adoptada por el juez, luego de surtir todas las etapas que conlleva el medio de control. Además, los actos administrativos mantienen su ejecutoria, de conformidad con el artículo 89 del C</w:t>
      </w:r>
      <w:r w:rsidR="00975032" w:rsidRPr="3C1C5266">
        <w:rPr>
          <w:rFonts w:ascii="Verdana" w:eastAsia="Verdana" w:hAnsi="Verdana" w:cs="Verdana"/>
          <w:lang w:eastAsia="es-ES"/>
        </w:rPr>
        <w:t>.</w:t>
      </w:r>
      <w:r w:rsidR="00C92094" w:rsidRPr="3C1C5266">
        <w:rPr>
          <w:rFonts w:ascii="Verdana" w:eastAsia="Verdana" w:hAnsi="Verdana" w:cs="Verdana"/>
          <w:lang w:eastAsia="es-ES"/>
        </w:rPr>
        <w:t>P</w:t>
      </w:r>
      <w:r w:rsidR="00975032" w:rsidRPr="3C1C5266">
        <w:rPr>
          <w:rFonts w:ascii="Verdana" w:eastAsia="Verdana" w:hAnsi="Verdana" w:cs="Verdana"/>
          <w:lang w:eastAsia="es-ES"/>
        </w:rPr>
        <w:t>.</w:t>
      </w:r>
      <w:r w:rsidR="00C92094" w:rsidRPr="3C1C5266">
        <w:rPr>
          <w:rFonts w:ascii="Verdana" w:eastAsia="Verdana" w:hAnsi="Verdana" w:cs="Verdana"/>
          <w:lang w:eastAsia="es-ES"/>
        </w:rPr>
        <w:t>A</w:t>
      </w:r>
      <w:r w:rsidR="00975032" w:rsidRPr="3C1C5266">
        <w:rPr>
          <w:rFonts w:ascii="Verdana" w:eastAsia="Verdana" w:hAnsi="Verdana" w:cs="Verdana"/>
          <w:lang w:eastAsia="es-ES"/>
        </w:rPr>
        <w:t>.</w:t>
      </w:r>
      <w:r w:rsidR="00C92094" w:rsidRPr="3C1C5266">
        <w:rPr>
          <w:rFonts w:ascii="Verdana" w:eastAsia="Verdana" w:hAnsi="Verdana" w:cs="Verdana"/>
          <w:lang w:eastAsia="es-ES"/>
        </w:rPr>
        <w:t>C</w:t>
      </w:r>
      <w:r w:rsidR="00975032" w:rsidRPr="3C1C5266">
        <w:rPr>
          <w:rFonts w:ascii="Verdana" w:eastAsia="Verdana" w:hAnsi="Verdana" w:cs="Verdana"/>
          <w:lang w:eastAsia="es-ES"/>
        </w:rPr>
        <w:t>.</w:t>
      </w:r>
      <w:r w:rsidR="00C92094" w:rsidRPr="3C1C5266">
        <w:rPr>
          <w:rFonts w:ascii="Verdana" w:eastAsia="Verdana" w:hAnsi="Verdana" w:cs="Verdana"/>
          <w:lang w:eastAsia="es-ES"/>
        </w:rPr>
        <w:t xml:space="preserve">A. </w:t>
      </w:r>
    </w:p>
    <w:p w14:paraId="73805A8C" w14:textId="675E08A9" w:rsidR="004D6E77" w:rsidRDefault="004D6E77" w:rsidP="3C1C5266">
      <w:pPr>
        <w:widowControl w:val="0"/>
        <w:autoSpaceDE w:val="0"/>
        <w:autoSpaceDN w:val="0"/>
        <w:adjustRightInd w:val="0"/>
        <w:spacing w:after="0"/>
        <w:jc w:val="both"/>
        <w:rPr>
          <w:rFonts w:ascii="Verdana" w:eastAsia="Verdana" w:hAnsi="Verdana" w:cs="Verdana"/>
          <w:lang w:eastAsia="es-ES"/>
        </w:rPr>
      </w:pPr>
    </w:p>
    <w:p w14:paraId="2FD72B0A" w14:textId="57C2EEC8" w:rsidR="004D6E77" w:rsidRDefault="00061FEF" w:rsidP="3C1C5266">
      <w:pPr>
        <w:pStyle w:val="Prrafodelista"/>
        <w:widowControl w:val="0"/>
        <w:numPr>
          <w:ilvl w:val="0"/>
          <w:numId w:val="27"/>
        </w:numPr>
        <w:autoSpaceDE w:val="0"/>
        <w:autoSpaceDN w:val="0"/>
        <w:adjustRightInd w:val="0"/>
        <w:spacing w:after="0"/>
        <w:ind w:left="142" w:hanging="317"/>
        <w:jc w:val="center"/>
        <w:rPr>
          <w:rFonts w:ascii="Verdana" w:eastAsia="Verdana" w:hAnsi="Verdana" w:cs="Verdana"/>
          <w:b/>
          <w:bCs/>
          <w:lang w:eastAsia="es-ES"/>
        </w:rPr>
      </w:pPr>
      <w:r w:rsidRPr="3C1C5266">
        <w:rPr>
          <w:rFonts w:ascii="Verdana" w:eastAsia="Verdana" w:hAnsi="Verdana" w:cs="Verdana"/>
          <w:b/>
          <w:bCs/>
          <w:lang w:eastAsia="es-ES"/>
        </w:rPr>
        <w:t>CONCLUSIONES</w:t>
      </w:r>
    </w:p>
    <w:p w14:paraId="6B81F31D" w14:textId="77777777" w:rsidR="003D04A1" w:rsidRDefault="003D04A1" w:rsidP="3C1C5266">
      <w:pPr>
        <w:pStyle w:val="Prrafodelista"/>
        <w:widowControl w:val="0"/>
        <w:autoSpaceDE w:val="0"/>
        <w:autoSpaceDN w:val="0"/>
        <w:adjustRightInd w:val="0"/>
        <w:spacing w:after="0"/>
        <w:ind w:left="1440"/>
        <w:rPr>
          <w:rFonts w:ascii="Verdana" w:eastAsia="Verdana" w:hAnsi="Verdana" w:cs="Verdana"/>
          <w:b/>
          <w:bCs/>
          <w:lang w:eastAsia="es-ES"/>
        </w:rPr>
      </w:pPr>
    </w:p>
    <w:p w14:paraId="5DA33D81" w14:textId="77777777" w:rsidR="004C09FA" w:rsidRDefault="004C09FA" w:rsidP="3C1C5266">
      <w:pPr>
        <w:widowControl w:val="0"/>
        <w:autoSpaceDE w:val="0"/>
        <w:autoSpaceDN w:val="0"/>
        <w:adjustRightInd w:val="0"/>
        <w:spacing w:after="0"/>
        <w:ind w:left="284"/>
        <w:jc w:val="both"/>
        <w:rPr>
          <w:rFonts w:ascii="Verdana" w:eastAsia="Verdana" w:hAnsi="Verdana" w:cs="Verdana"/>
          <w:lang w:eastAsia="es-ES"/>
        </w:rPr>
      </w:pPr>
    </w:p>
    <w:p w14:paraId="7593C976" w14:textId="574FD6A5" w:rsidR="00D20BD0" w:rsidRDefault="00A42107" w:rsidP="3C1C5266">
      <w:pPr>
        <w:pStyle w:val="Prrafodelista"/>
        <w:widowControl w:val="0"/>
        <w:numPr>
          <w:ilvl w:val="0"/>
          <w:numId w:val="25"/>
        </w:numPr>
        <w:autoSpaceDE w:val="0"/>
        <w:autoSpaceDN w:val="0"/>
        <w:adjustRightInd w:val="0"/>
        <w:spacing w:after="0"/>
        <w:ind w:left="284"/>
        <w:jc w:val="both"/>
        <w:rPr>
          <w:rFonts w:ascii="Verdana" w:eastAsia="Verdana" w:hAnsi="Verdana" w:cs="Verdana"/>
          <w:lang w:eastAsia="es-ES"/>
        </w:rPr>
      </w:pPr>
      <w:r w:rsidRPr="3C1C5266">
        <w:rPr>
          <w:rFonts w:ascii="Verdana" w:eastAsia="Verdana" w:hAnsi="Verdana" w:cs="Verdana"/>
          <w:lang w:eastAsia="es-ES"/>
        </w:rPr>
        <w:t xml:space="preserve">El Código de Procedimiento Administrativo y de lo Contencioso Administrativo en el Título IV, </w:t>
      </w:r>
      <w:r w:rsidR="00EF2F76" w:rsidRPr="3C1C5266">
        <w:rPr>
          <w:rFonts w:ascii="Verdana" w:eastAsia="Verdana" w:hAnsi="Verdana" w:cs="Verdana"/>
          <w:lang w:eastAsia="es-ES"/>
        </w:rPr>
        <w:t>faculta</w:t>
      </w:r>
      <w:r w:rsidRPr="3C1C5266">
        <w:rPr>
          <w:rFonts w:ascii="Verdana" w:eastAsia="Verdana" w:hAnsi="Verdana" w:cs="Verdana"/>
          <w:lang w:eastAsia="es-ES"/>
        </w:rPr>
        <w:t xml:space="preserve"> a las entidades estatales a optar por el ejercicio de la prerrogativa de cobro coactivo, o de demandar el pago de las obligaciones a su favor ante los jueces competentes</w:t>
      </w:r>
      <w:r w:rsidR="00400866" w:rsidRPr="3C1C5266">
        <w:rPr>
          <w:rFonts w:ascii="Verdana" w:eastAsia="Verdana" w:hAnsi="Verdana" w:cs="Verdana"/>
          <w:lang w:eastAsia="es-ES"/>
        </w:rPr>
        <w:t>, por lo cual, n</w:t>
      </w:r>
      <w:r w:rsidR="00B02F7F" w:rsidRPr="3C1C5266">
        <w:rPr>
          <w:rFonts w:ascii="Verdana" w:eastAsia="Verdana" w:hAnsi="Verdana" w:cs="Verdana"/>
          <w:lang w:eastAsia="es-ES"/>
        </w:rPr>
        <w:t>o</w:t>
      </w:r>
      <w:r w:rsidR="00F5326C" w:rsidRPr="3C1C5266">
        <w:rPr>
          <w:rFonts w:ascii="Verdana" w:eastAsia="Verdana" w:hAnsi="Verdana" w:cs="Verdana"/>
          <w:lang w:eastAsia="es-ES"/>
        </w:rPr>
        <w:t xml:space="preserve"> es posible jurídicamente </w:t>
      </w:r>
      <w:r w:rsidR="00B02F7F" w:rsidRPr="3C1C5266">
        <w:rPr>
          <w:rFonts w:ascii="Verdana" w:eastAsia="Verdana" w:hAnsi="Verdana" w:cs="Verdana"/>
          <w:lang w:eastAsia="es-ES"/>
        </w:rPr>
        <w:t xml:space="preserve">la interposición de </w:t>
      </w:r>
      <w:r w:rsidR="00F5326C" w:rsidRPr="3C1C5266">
        <w:rPr>
          <w:rFonts w:ascii="Verdana" w:eastAsia="Verdana" w:hAnsi="Verdana" w:cs="Verdana"/>
          <w:lang w:eastAsia="es-ES"/>
        </w:rPr>
        <w:t xml:space="preserve">una </w:t>
      </w:r>
      <w:r w:rsidR="00B02F7F" w:rsidRPr="3C1C5266">
        <w:rPr>
          <w:rFonts w:ascii="Verdana" w:eastAsia="Verdana" w:hAnsi="Verdana" w:cs="Verdana"/>
          <w:lang w:eastAsia="es-ES"/>
        </w:rPr>
        <w:t xml:space="preserve">demanda ejecutiva singular ante la jurisdicción ordinaria, toda vez que ya se inició el proceso administrativo de cobro coactivo, y ante la imposibilidad de dar por terminado dicho trámite, deberá </w:t>
      </w:r>
      <w:r w:rsidR="00CC1D82" w:rsidRPr="3C1C5266">
        <w:rPr>
          <w:rFonts w:ascii="Verdana" w:eastAsia="Verdana" w:hAnsi="Verdana" w:cs="Verdana"/>
          <w:lang w:eastAsia="es-ES"/>
        </w:rPr>
        <w:t xml:space="preserve">continuarse con las etapas procesales correspondientes pues debe recordarse que </w:t>
      </w:r>
      <w:r w:rsidR="00C56827" w:rsidRPr="3C1C5266">
        <w:rPr>
          <w:rFonts w:ascii="Verdana" w:eastAsia="Verdana" w:hAnsi="Verdana" w:cs="Verdana"/>
          <w:lang w:eastAsia="es-ES"/>
        </w:rPr>
        <w:t>una forma de cobro excluye a la otra</w:t>
      </w:r>
      <w:r w:rsidR="00F2359B" w:rsidRPr="3C1C5266">
        <w:rPr>
          <w:rFonts w:ascii="Verdana" w:eastAsia="Verdana" w:hAnsi="Verdana" w:cs="Verdana"/>
          <w:lang w:eastAsia="es-ES"/>
        </w:rPr>
        <w:t>.</w:t>
      </w:r>
    </w:p>
    <w:p w14:paraId="2CEA5F0B" w14:textId="77777777" w:rsidR="00F2359B" w:rsidRPr="00F2359B" w:rsidRDefault="00F2359B" w:rsidP="3C1C5266">
      <w:pPr>
        <w:pStyle w:val="Prrafodelista"/>
        <w:widowControl w:val="0"/>
        <w:autoSpaceDE w:val="0"/>
        <w:autoSpaceDN w:val="0"/>
        <w:adjustRightInd w:val="0"/>
        <w:spacing w:after="0"/>
        <w:ind w:left="284"/>
        <w:jc w:val="both"/>
        <w:rPr>
          <w:rFonts w:ascii="Verdana" w:eastAsia="Verdana" w:hAnsi="Verdana" w:cs="Verdana"/>
          <w:lang w:eastAsia="es-ES"/>
        </w:rPr>
      </w:pPr>
    </w:p>
    <w:p w14:paraId="7BEAFE6E" w14:textId="72FCCD99" w:rsidR="00F2359B" w:rsidRPr="00F13C62" w:rsidRDefault="00F2359B" w:rsidP="3C1C5266">
      <w:pPr>
        <w:pStyle w:val="Prrafodelista"/>
        <w:widowControl w:val="0"/>
        <w:numPr>
          <w:ilvl w:val="0"/>
          <w:numId w:val="25"/>
        </w:numPr>
        <w:autoSpaceDE w:val="0"/>
        <w:autoSpaceDN w:val="0"/>
        <w:adjustRightInd w:val="0"/>
        <w:spacing w:after="0"/>
        <w:ind w:left="284"/>
        <w:jc w:val="both"/>
        <w:rPr>
          <w:rFonts w:ascii="Verdana" w:eastAsia="Verdana" w:hAnsi="Verdana" w:cs="Verdana"/>
          <w:lang w:eastAsia="es-ES"/>
        </w:rPr>
      </w:pPr>
      <w:r w:rsidRPr="3C1C5266">
        <w:rPr>
          <w:rFonts w:ascii="Verdana" w:eastAsia="Verdana" w:hAnsi="Verdana" w:cs="Verdana"/>
          <w:lang w:eastAsia="es-ES"/>
        </w:rPr>
        <w:t>No es viable dejar sin efectos los autos mediante los cuales se avocó conocimiento para dar inicio al proceso administrativo de cobro coactivo. Dichas decisiones son el producto de un análisis de los requisitos del título ejecutivo y permiten al funcionario ejecutor asumir competencia para adelantar las acciones tendientes a obtener el recaudo de las obligaciones generadas a favor del ICBF. Además, gozan de la presunción de legalidad establecida por el artículo 88 del C.P.A.C.A.</w:t>
      </w:r>
    </w:p>
    <w:p w14:paraId="021BB492" w14:textId="77777777" w:rsidR="00F2359B" w:rsidRDefault="00F2359B" w:rsidP="3C1C5266">
      <w:pPr>
        <w:widowControl w:val="0"/>
        <w:autoSpaceDE w:val="0"/>
        <w:autoSpaceDN w:val="0"/>
        <w:adjustRightInd w:val="0"/>
        <w:spacing w:after="0"/>
        <w:ind w:left="284"/>
        <w:jc w:val="both"/>
        <w:rPr>
          <w:rFonts w:ascii="Verdana" w:eastAsia="Verdana" w:hAnsi="Verdana" w:cs="Verdana"/>
          <w:lang w:eastAsia="es-ES"/>
        </w:rPr>
      </w:pPr>
    </w:p>
    <w:p w14:paraId="6C4CAEB7" w14:textId="18C56231" w:rsidR="003E14BE" w:rsidRDefault="0019005D" w:rsidP="3C1C5266">
      <w:pPr>
        <w:pStyle w:val="Prrafodelista"/>
        <w:widowControl w:val="0"/>
        <w:numPr>
          <w:ilvl w:val="0"/>
          <w:numId w:val="25"/>
        </w:numPr>
        <w:autoSpaceDE w:val="0"/>
        <w:autoSpaceDN w:val="0"/>
        <w:adjustRightInd w:val="0"/>
        <w:spacing w:after="0"/>
        <w:ind w:left="284" w:hanging="284"/>
        <w:jc w:val="both"/>
        <w:rPr>
          <w:rFonts w:ascii="Verdana" w:eastAsia="Verdana" w:hAnsi="Verdana" w:cs="Verdana"/>
          <w:lang w:val="es-419"/>
        </w:rPr>
      </w:pPr>
      <w:r w:rsidRPr="3C1C5266">
        <w:rPr>
          <w:rFonts w:ascii="Verdana" w:eastAsia="Verdana" w:hAnsi="Verdana" w:cs="Verdana"/>
          <w:lang w:eastAsia="es-ES"/>
        </w:rPr>
        <w:t>La Regional Caldas debe continuar con la ejecución del</w:t>
      </w:r>
      <w:r w:rsidR="00E12D6F" w:rsidRPr="3C1C5266">
        <w:rPr>
          <w:rFonts w:ascii="Verdana" w:eastAsia="Verdana" w:hAnsi="Verdana" w:cs="Verdana"/>
          <w:lang w:eastAsia="es-ES"/>
        </w:rPr>
        <w:t xml:space="preserve"> cobro</w:t>
      </w:r>
      <w:r w:rsidRPr="3C1C5266">
        <w:rPr>
          <w:rFonts w:ascii="Verdana" w:eastAsia="Verdana" w:hAnsi="Verdana" w:cs="Verdana"/>
          <w:lang w:val="es-419"/>
        </w:rPr>
        <w:t xml:space="preserve">, </w:t>
      </w:r>
      <w:r w:rsidR="00030E56" w:rsidRPr="3C1C5266">
        <w:rPr>
          <w:rFonts w:ascii="Verdana" w:eastAsia="Verdana" w:hAnsi="Verdana" w:cs="Verdana"/>
          <w:lang w:val="es-419"/>
        </w:rPr>
        <w:t xml:space="preserve">teniendo en cuenta que </w:t>
      </w:r>
      <w:r w:rsidRPr="3C1C5266">
        <w:rPr>
          <w:rFonts w:ascii="Verdana" w:eastAsia="Verdana" w:hAnsi="Verdana" w:cs="Verdana"/>
          <w:lang w:val="es-419"/>
        </w:rPr>
        <w:t>l</w:t>
      </w:r>
      <w:r w:rsidR="002E66C8" w:rsidRPr="3C1C5266">
        <w:rPr>
          <w:rFonts w:ascii="Verdana" w:eastAsia="Verdana" w:hAnsi="Verdana" w:cs="Verdana"/>
          <w:lang w:val="es-419"/>
        </w:rPr>
        <w:t xml:space="preserve">a admisión de la demanda de nulidad y restablecimiento del derecho </w:t>
      </w:r>
      <w:r w:rsidR="00AF0E0C" w:rsidRPr="3C1C5266">
        <w:rPr>
          <w:rFonts w:ascii="Verdana" w:eastAsia="Verdana" w:hAnsi="Verdana" w:cs="Verdana"/>
          <w:lang w:val="es-419"/>
        </w:rPr>
        <w:t xml:space="preserve">ante la Jurisdicción Contenciosa </w:t>
      </w:r>
      <w:r w:rsidR="002E66C8" w:rsidRPr="3C1C5266">
        <w:rPr>
          <w:rFonts w:ascii="Verdana" w:eastAsia="Verdana" w:hAnsi="Verdana" w:cs="Verdana"/>
          <w:lang w:val="es-419"/>
        </w:rPr>
        <w:t>no suspende el proceso de cobro coactivo</w:t>
      </w:r>
      <w:r w:rsidR="00B7050D" w:rsidRPr="3C1C5266">
        <w:rPr>
          <w:rFonts w:ascii="Verdana" w:eastAsia="Verdana" w:hAnsi="Verdana" w:cs="Verdana"/>
          <w:lang w:val="es-419"/>
        </w:rPr>
        <w:t xml:space="preserve"> y a la fecha, </w:t>
      </w:r>
      <w:r w:rsidR="003E14BE" w:rsidRPr="3C1C5266">
        <w:rPr>
          <w:rFonts w:ascii="Verdana" w:eastAsia="Verdana" w:hAnsi="Verdana" w:cs="Verdana"/>
          <w:lang w:eastAsia="es-ES"/>
        </w:rPr>
        <w:t xml:space="preserve">el juez no ha decretado la suspensión provisional, ni el ejecutado </w:t>
      </w:r>
      <w:r w:rsidR="00EF3200" w:rsidRPr="3C1C5266">
        <w:rPr>
          <w:rFonts w:ascii="Verdana" w:eastAsia="Verdana" w:hAnsi="Verdana" w:cs="Verdana"/>
          <w:lang w:eastAsia="es-ES"/>
        </w:rPr>
        <w:t>la ha solicitado</w:t>
      </w:r>
      <w:r w:rsidR="00B7050D" w:rsidRPr="3C1C5266">
        <w:rPr>
          <w:rFonts w:ascii="Verdana" w:eastAsia="Verdana" w:hAnsi="Verdana" w:cs="Verdana"/>
          <w:lang w:eastAsia="es-ES"/>
        </w:rPr>
        <w:t>.</w:t>
      </w:r>
    </w:p>
    <w:p w14:paraId="4ED81F8E" w14:textId="54D782FD" w:rsidR="003E14BE" w:rsidRDefault="003E14BE" w:rsidP="3C1C5266">
      <w:pPr>
        <w:pStyle w:val="Prrafodelista"/>
        <w:widowControl w:val="0"/>
        <w:autoSpaceDE w:val="0"/>
        <w:autoSpaceDN w:val="0"/>
        <w:adjustRightInd w:val="0"/>
        <w:spacing w:after="0"/>
        <w:ind w:left="284"/>
        <w:jc w:val="both"/>
        <w:rPr>
          <w:rFonts w:ascii="Verdana" w:eastAsia="Verdana" w:hAnsi="Verdana" w:cs="Verdana"/>
          <w:lang w:val="es-419"/>
        </w:rPr>
      </w:pPr>
    </w:p>
    <w:p w14:paraId="791B84F2" w14:textId="2E33D24B" w:rsidR="00D24597" w:rsidRPr="00557B91" w:rsidRDefault="00D24597" w:rsidP="3C1C5266">
      <w:pPr>
        <w:widowControl w:val="0"/>
        <w:autoSpaceDE w:val="0"/>
        <w:autoSpaceDN w:val="0"/>
        <w:adjustRightInd w:val="0"/>
        <w:spacing w:after="0"/>
        <w:jc w:val="both"/>
        <w:rPr>
          <w:rFonts w:ascii="Verdana" w:eastAsia="Verdana" w:hAnsi="Verdana" w:cs="Verdana"/>
          <w:lang w:val="es-419"/>
        </w:rPr>
      </w:pPr>
      <w:r w:rsidRPr="3C1C5266">
        <w:rPr>
          <w:rFonts w:ascii="Verdana" w:eastAsia="Verdana" w:hAnsi="Verdana" w:cs="Verdana"/>
          <w:lang w:val="es-419"/>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2FC83AD1" w14:textId="77777777" w:rsidR="00D24597" w:rsidRPr="00557B91" w:rsidRDefault="00D24597" w:rsidP="3C1C5266">
      <w:pPr>
        <w:spacing w:after="0" w:line="240" w:lineRule="auto"/>
        <w:jc w:val="both"/>
        <w:rPr>
          <w:rFonts w:ascii="Verdana" w:eastAsia="Verdana" w:hAnsi="Verdana" w:cs="Verdana"/>
          <w:lang w:val="es-419"/>
        </w:rPr>
      </w:pPr>
    </w:p>
    <w:p w14:paraId="373327C3" w14:textId="74F71B40" w:rsidR="00AD0C07" w:rsidRPr="00557B91" w:rsidRDefault="00D24597" w:rsidP="3C1C5266">
      <w:pPr>
        <w:spacing w:after="0" w:line="240" w:lineRule="auto"/>
        <w:jc w:val="both"/>
        <w:rPr>
          <w:rFonts w:ascii="Verdana" w:eastAsia="Verdana" w:hAnsi="Verdana" w:cs="Verdana"/>
          <w:lang w:val="es-419"/>
        </w:rPr>
      </w:pPr>
      <w:r w:rsidRPr="3C1C5266">
        <w:rPr>
          <w:rFonts w:ascii="Verdana" w:eastAsia="Verdana" w:hAnsi="Verdana" w:cs="Verdana"/>
          <w:lang w:val="es-419"/>
        </w:rPr>
        <w:t xml:space="preserve">Cordialmente, </w:t>
      </w:r>
    </w:p>
    <w:p w14:paraId="544DC0C0" w14:textId="5EE5AA50" w:rsidR="008F0A14" w:rsidRDefault="008F0A14" w:rsidP="3C1C5266">
      <w:pPr>
        <w:pStyle w:val="Sinespaciado"/>
        <w:spacing w:line="276" w:lineRule="auto"/>
        <w:jc w:val="both"/>
        <w:rPr>
          <w:rFonts w:ascii="Verdana" w:eastAsia="Verdana" w:hAnsi="Verdana" w:cs="Verdana"/>
          <w:b/>
          <w:bCs/>
          <w:noProof/>
          <w:lang w:eastAsia="es-CO"/>
        </w:rPr>
      </w:pPr>
    </w:p>
    <w:p w14:paraId="2B52E785" w14:textId="77777777" w:rsidR="00185739" w:rsidRPr="00AB0E9C" w:rsidRDefault="00185739" w:rsidP="3C1C5266">
      <w:pPr>
        <w:pStyle w:val="Sinespaciado"/>
        <w:spacing w:line="276" w:lineRule="auto"/>
        <w:jc w:val="both"/>
        <w:rPr>
          <w:rFonts w:ascii="Verdana" w:eastAsia="Verdana" w:hAnsi="Verdana" w:cs="Verdana"/>
          <w:b/>
          <w:bCs/>
          <w:noProof/>
          <w:lang w:eastAsia="es-CO"/>
        </w:rPr>
      </w:pPr>
    </w:p>
    <w:p w14:paraId="45E864AF" w14:textId="6F16B744" w:rsidR="008F0A14" w:rsidRPr="00AB0E9C" w:rsidRDefault="70976E07" w:rsidP="3C1C5266">
      <w:pPr>
        <w:pStyle w:val="Sinespaciado"/>
        <w:spacing w:line="276" w:lineRule="auto"/>
        <w:jc w:val="center"/>
        <w:rPr>
          <w:rFonts w:ascii="Verdana" w:eastAsia="Verdana" w:hAnsi="Verdana" w:cs="Verdana"/>
          <w:b/>
          <w:bCs/>
          <w:noProof/>
          <w:lang w:eastAsia="es-CO"/>
        </w:rPr>
      </w:pPr>
      <w:r w:rsidRPr="3C1C5266">
        <w:rPr>
          <w:rFonts w:ascii="Verdana" w:eastAsia="Verdana" w:hAnsi="Verdana" w:cs="Verdana"/>
          <w:b/>
          <w:bCs/>
          <w:noProof/>
          <w:lang w:eastAsia="es-CO"/>
        </w:rPr>
        <w:t>DANIEL EDUARDO</w:t>
      </w:r>
      <w:r w:rsidR="008F0A14" w:rsidRPr="3C1C5266">
        <w:rPr>
          <w:rFonts w:ascii="Verdana" w:eastAsia="Verdana" w:hAnsi="Verdana" w:cs="Verdana"/>
          <w:b/>
          <w:bCs/>
          <w:noProof/>
          <w:lang w:eastAsia="es-CO"/>
        </w:rPr>
        <w:t xml:space="preserve"> LOZANO BOCANEGRA</w:t>
      </w:r>
    </w:p>
    <w:p w14:paraId="7F6B6CBB" w14:textId="77777777" w:rsidR="008F0A14" w:rsidRPr="00AB0E9C" w:rsidRDefault="008F0A14" w:rsidP="3C1C5266">
      <w:pPr>
        <w:pStyle w:val="Sinespaciado"/>
        <w:spacing w:line="276" w:lineRule="auto"/>
        <w:jc w:val="center"/>
        <w:rPr>
          <w:rFonts w:ascii="Verdana" w:eastAsia="Verdana" w:hAnsi="Verdana" w:cs="Verdana"/>
          <w:noProof/>
          <w:lang w:eastAsia="es-CO"/>
        </w:rPr>
      </w:pPr>
      <w:r w:rsidRPr="3C1C5266">
        <w:rPr>
          <w:rFonts w:ascii="Verdana" w:eastAsia="Verdana" w:hAnsi="Verdana" w:cs="Verdana"/>
          <w:noProof/>
          <w:lang w:eastAsia="es-CO"/>
        </w:rPr>
        <w:t>Jefe Oficina Asesora Jurídica</w:t>
      </w:r>
    </w:p>
    <w:p w14:paraId="5B1F8E0D" w14:textId="77777777" w:rsidR="005F56C3" w:rsidRPr="00AB0E9C" w:rsidRDefault="005F56C3" w:rsidP="3C1C5266">
      <w:pPr>
        <w:pStyle w:val="Sinespaciado"/>
        <w:spacing w:line="276" w:lineRule="auto"/>
        <w:rPr>
          <w:rFonts w:ascii="Verdana" w:eastAsia="Verdana" w:hAnsi="Verdana" w:cs="Verdana"/>
        </w:rPr>
      </w:pPr>
    </w:p>
    <w:p w14:paraId="7C1F5F69" w14:textId="5DFA4678" w:rsidR="008F0A14" w:rsidRPr="00C92F1D" w:rsidRDefault="00C92F1D" w:rsidP="00C92F1D">
      <w:pPr>
        <w:pStyle w:val="Sinespaciado"/>
        <w:spacing w:line="276" w:lineRule="auto"/>
        <w:rPr>
          <w:rFonts w:ascii="Arial" w:hAnsi="Arial" w:cs="Arial"/>
          <w:sz w:val="14"/>
          <w:szCs w:val="14"/>
        </w:rPr>
      </w:pPr>
      <w:r>
        <w:rPr>
          <w:rFonts w:ascii="Arial" w:hAnsi="Arial" w:cs="Arial"/>
          <w:sz w:val="14"/>
          <w:szCs w:val="14"/>
        </w:rPr>
        <w:t xml:space="preserve">                </w:t>
      </w:r>
    </w:p>
    <w:p w14:paraId="52949371" w14:textId="71F53967" w:rsidR="000C48FF" w:rsidRPr="00AB0E9C" w:rsidRDefault="0032589F" w:rsidP="003F2853">
      <w:pPr>
        <w:spacing w:after="0" w:line="240" w:lineRule="auto"/>
        <w:jc w:val="both"/>
        <w:rPr>
          <w:rFonts w:ascii="Arial" w:hAnsi="Arial" w:cs="Arial"/>
          <w:sz w:val="16"/>
          <w:szCs w:val="16"/>
        </w:rPr>
      </w:pPr>
      <w:r w:rsidRPr="00AB0E9C">
        <w:rPr>
          <w:rFonts w:ascii="Arial" w:hAnsi="Arial" w:cs="Arial"/>
          <w:sz w:val="16"/>
          <w:szCs w:val="16"/>
        </w:rPr>
        <w:t xml:space="preserve"> </w:t>
      </w:r>
    </w:p>
    <w:sectPr w:rsidR="000C48FF" w:rsidRPr="00AB0E9C" w:rsidSect="00647503">
      <w:headerReference w:type="default" r:id="rId11"/>
      <w:footerReference w:type="default" r:id="rId12"/>
      <w:pgSz w:w="12240" w:h="15840"/>
      <w:pgMar w:top="1417" w:right="1701"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A947" w14:textId="77777777" w:rsidR="00421D19" w:rsidRDefault="00421D19" w:rsidP="00DD51DD">
      <w:pPr>
        <w:spacing w:after="0" w:line="240" w:lineRule="auto"/>
      </w:pPr>
      <w:r>
        <w:separator/>
      </w:r>
    </w:p>
  </w:endnote>
  <w:endnote w:type="continuationSeparator" w:id="0">
    <w:p w14:paraId="32C2A78C" w14:textId="77777777" w:rsidR="00421D19" w:rsidRDefault="00421D19" w:rsidP="00DD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FB05" w14:textId="18D75872" w:rsidR="008F0A14" w:rsidRDefault="4851FBC2" w:rsidP="008F0A14">
    <w:pPr>
      <w:pStyle w:val="Piedepgina"/>
    </w:pPr>
    <w:r>
      <w:t xml:space="preserve">  </w:t>
    </w:r>
  </w:p>
  <w:p w14:paraId="2991C091" w14:textId="77777777" w:rsidR="008F0A14" w:rsidRDefault="008F0A14" w:rsidP="008F0A14">
    <w:pPr>
      <w:pStyle w:val="Piedepgina"/>
      <w:tabs>
        <w:tab w:val="clear" w:pos="4419"/>
        <w:tab w:val="clear" w:pos="8838"/>
        <w:tab w:val="left" w:pos="76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4A7AF" w14:textId="77777777" w:rsidR="00421D19" w:rsidRDefault="00421D19" w:rsidP="00DD51DD">
      <w:pPr>
        <w:spacing w:after="0" w:line="240" w:lineRule="auto"/>
      </w:pPr>
      <w:r>
        <w:separator/>
      </w:r>
    </w:p>
  </w:footnote>
  <w:footnote w:type="continuationSeparator" w:id="0">
    <w:p w14:paraId="05AC77EA" w14:textId="77777777" w:rsidR="00421D19" w:rsidRDefault="00421D19" w:rsidP="00DD51DD">
      <w:pPr>
        <w:spacing w:after="0" w:line="240" w:lineRule="auto"/>
      </w:pPr>
      <w:r>
        <w:continuationSeparator/>
      </w:r>
    </w:p>
  </w:footnote>
  <w:footnote w:id="1">
    <w:p w14:paraId="27F461C5" w14:textId="77777777" w:rsidR="00912EF8" w:rsidRPr="00120865" w:rsidRDefault="00912EF8" w:rsidP="00912EF8">
      <w:pPr>
        <w:pStyle w:val="Sinespaciado"/>
        <w:rPr>
          <w:rFonts w:ascii="Arial" w:hAnsi="Arial" w:cs="Arial"/>
          <w:sz w:val="16"/>
          <w:szCs w:val="16"/>
          <w:lang w:val="es-CO"/>
        </w:rPr>
      </w:pPr>
      <w:r w:rsidRPr="00120865">
        <w:rPr>
          <w:rStyle w:val="Refdenotaalpie"/>
          <w:rFonts w:ascii="Arial" w:hAnsi="Arial" w:cs="Arial"/>
          <w:sz w:val="16"/>
          <w:szCs w:val="16"/>
        </w:rPr>
        <w:footnoteRef/>
      </w:r>
      <w:r w:rsidRPr="00120865">
        <w:rPr>
          <w:rFonts w:ascii="Arial" w:hAnsi="Arial" w:cs="Arial"/>
          <w:sz w:val="16"/>
          <w:szCs w:val="16"/>
        </w:rPr>
        <w:t xml:space="preserve"> </w:t>
      </w:r>
      <w:r w:rsidRPr="00120865">
        <w:rPr>
          <w:rFonts w:ascii="Arial" w:hAnsi="Arial" w:cs="Arial"/>
          <w:sz w:val="16"/>
          <w:szCs w:val="16"/>
          <w:lang w:val="es-CO"/>
        </w:rPr>
        <w:t>Código de Procedimiento Administrativo y de lo Contencioso Administrativo, artículo 98.</w:t>
      </w:r>
    </w:p>
  </w:footnote>
  <w:footnote w:id="2">
    <w:p w14:paraId="6557810E" w14:textId="77777777" w:rsidR="00912EF8" w:rsidRPr="00F40C03" w:rsidRDefault="00912EF8" w:rsidP="00912EF8">
      <w:pPr>
        <w:pStyle w:val="Sinespaciado"/>
        <w:rPr>
          <w:rFonts w:ascii="Arial Narrow" w:hAnsi="Arial Narrow"/>
          <w:sz w:val="16"/>
          <w:szCs w:val="16"/>
          <w:lang w:val="es-CO"/>
        </w:rPr>
      </w:pPr>
      <w:r w:rsidRPr="00120865">
        <w:rPr>
          <w:rStyle w:val="Refdenotaalpie"/>
          <w:rFonts w:ascii="Arial" w:hAnsi="Arial" w:cs="Arial"/>
          <w:sz w:val="16"/>
          <w:szCs w:val="16"/>
        </w:rPr>
        <w:footnoteRef/>
      </w:r>
      <w:r w:rsidRPr="00120865">
        <w:rPr>
          <w:rFonts w:ascii="Arial" w:hAnsi="Arial" w:cs="Arial"/>
          <w:sz w:val="16"/>
          <w:szCs w:val="16"/>
        </w:rPr>
        <w:t xml:space="preserve"> CONSEJO DE ESTADO SALA DE LO CONTENCIOSO ADMINISTRATIVO. Sección Tercera. Consejero ponente: ALIER EDUARDO HERNÁNDEZ ENRÍQUEZ. Bogotá, D.C., treinta (30) de agosto de dos mil cinco (2006). Referencia número: 17001-23-31-000- 1993-09034-01(14807).</w:t>
      </w:r>
    </w:p>
  </w:footnote>
  <w:footnote w:id="3">
    <w:p w14:paraId="50B1934C" w14:textId="548B8D86" w:rsidR="006D6044" w:rsidRPr="0023625B" w:rsidRDefault="006D6044">
      <w:pPr>
        <w:pStyle w:val="Textonotapie"/>
        <w:rPr>
          <w:rFonts w:ascii="Arial" w:hAnsi="Arial" w:cs="Arial"/>
          <w:sz w:val="16"/>
          <w:szCs w:val="16"/>
          <w:lang w:val="es-CO"/>
        </w:rPr>
      </w:pPr>
      <w:r w:rsidRPr="0023625B">
        <w:rPr>
          <w:rStyle w:val="Refdenotaalpie"/>
          <w:rFonts w:ascii="Arial" w:hAnsi="Arial" w:cs="Arial"/>
          <w:sz w:val="16"/>
          <w:szCs w:val="16"/>
        </w:rPr>
        <w:footnoteRef/>
      </w:r>
      <w:r w:rsidRPr="0023625B">
        <w:rPr>
          <w:rFonts w:ascii="Arial" w:hAnsi="Arial" w:cs="Arial"/>
          <w:sz w:val="16"/>
          <w:szCs w:val="16"/>
        </w:rPr>
        <w:t xml:space="preserve"> Corte Constitucional en sentencia T-747/13  </w:t>
      </w:r>
    </w:p>
  </w:footnote>
  <w:footnote w:id="4">
    <w:p w14:paraId="54C4C900" w14:textId="01F23561" w:rsidR="00582C95" w:rsidRPr="0023625B" w:rsidRDefault="00582C95" w:rsidP="00582C95">
      <w:pPr>
        <w:pStyle w:val="Textonotapie"/>
        <w:jc w:val="both"/>
        <w:rPr>
          <w:rFonts w:ascii="Arial" w:hAnsi="Arial" w:cs="Arial"/>
          <w:bCs/>
          <w:sz w:val="16"/>
          <w:szCs w:val="16"/>
          <w:lang w:val="es-CO"/>
        </w:rPr>
      </w:pPr>
      <w:r w:rsidRPr="0023625B">
        <w:rPr>
          <w:rStyle w:val="Refdenotaalpie"/>
          <w:rFonts w:ascii="Arial" w:hAnsi="Arial" w:cs="Arial"/>
          <w:sz w:val="16"/>
          <w:szCs w:val="16"/>
        </w:rPr>
        <w:footnoteRef/>
      </w:r>
      <w:r w:rsidRPr="0023625B">
        <w:rPr>
          <w:rFonts w:ascii="Arial" w:hAnsi="Arial" w:cs="Arial"/>
          <w:sz w:val="16"/>
          <w:szCs w:val="16"/>
        </w:rPr>
        <w:t xml:space="preserve"> </w:t>
      </w:r>
      <w:r w:rsidRPr="0023625B">
        <w:rPr>
          <w:rFonts w:ascii="Arial" w:hAnsi="Arial" w:cs="Arial"/>
          <w:bCs/>
          <w:sz w:val="16"/>
          <w:szCs w:val="16"/>
          <w:lang w:val="es-CO"/>
        </w:rPr>
        <w:t xml:space="preserve">Sentencia 2014-00109 de 2020 Consejo de Estado. Extraído de: </w:t>
      </w:r>
      <w:hyperlink r:id="rId1" w:history="1">
        <w:r w:rsidRPr="0023625B">
          <w:rPr>
            <w:rStyle w:val="Hipervnculo"/>
            <w:rFonts w:ascii="Arial" w:hAnsi="Arial" w:cs="Arial"/>
            <w:bCs/>
            <w:sz w:val="16"/>
            <w:szCs w:val="16"/>
            <w:lang w:val="es-CO"/>
          </w:rPr>
          <w:t>https://www.funcionpublica.gov.co/eva/gestornormativo/norma.php?i=171398</w:t>
        </w:r>
      </w:hyperlink>
      <w:r w:rsidRPr="0023625B">
        <w:rPr>
          <w:rFonts w:ascii="Arial" w:hAnsi="Arial" w:cs="Arial"/>
          <w:bCs/>
          <w:sz w:val="16"/>
          <w:szCs w:val="16"/>
          <w:lang w:val="es-CO"/>
        </w:rPr>
        <w:t xml:space="preserve"> </w:t>
      </w:r>
    </w:p>
    <w:p w14:paraId="045A6586" w14:textId="1C5FF3AC" w:rsidR="00582C95" w:rsidRPr="00582C95" w:rsidRDefault="00582C95">
      <w:pPr>
        <w:pStyle w:val="Textonotapie"/>
        <w:rPr>
          <w:lang w:val="es-CO"/>
        </w:rPr>
      </w:pPr>
    </w:p>
  </w:footnote>
  <w:footnote w:id="5">
    <w:p w14:paraId="1857B7E8" w14:textId="1288697C" w:rsidR="001605C6" w:rsidRPr="00120865" w:rsidRDefault="001605C6" w:rsidP="001605C6">
      <w:pPr>
        <w:pStyle w:val="Textonotapie"/>
        <w:jc w:val="both"/>
        <w:rPr>
          <w:rFonts w:ascii="Arial" w:hAnsi="Arial" w:cs="Arial"/>
          <w:sz w:val="16"/>
          <w:szCs w:val="16"/>
        </w:rPr>
      </w:pPr>
      <w:r w:rsidRPr="00120865">
        <w:rPr>
          <w:rStyle w:val="Refdenotaalpie"/>
          <w:rFonts w:ascii="Arial" w:hAnsi="Arial" w:cs="Arial"/>
          <w:sz w:val="16"/>
          <w:szCs w:val="16"/>
        </w:rPr>
        <w:footnoteRef/>
      </w:r>
      <w:r w:rsidRPr="00120865">
        <w:rPr>
          <w:rFonts w:ascii="Arial" w:hAnsi="Arial" w:cs="Arial"/>
          <w:sz w:val="16"/>
          <w:szCs w:val="16"/>
        </w:rPr>
        <w:t xml:space="preserve"> TRIBUNAL ADMINISTRATIVO DE CUNDINAMARCA SECCIÓN CUARTA SUBSECCIÓN A. Expediente 110013337042-2016-00149-01.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AE61" w14:textId="2427F785" w:rsidR="00EB3B9A" w:rsidRDefault="00FF073A" w:rsidP="00B609A6">
    <w:pPr>
      <w:pStyle w:val="Encabezado"/>
    </w:pPr>
    <w:r>
      <w:t xml:space="preserve"> </w:t>
    </w:r>
  </w:p>
  <w:p w14:paraId="0EB8B688" w14:textId="5C099908" w:rsidR="00142C39" w:rsidRDefault="00142C39">
    <w:pPr>
      <w:pStyle w:val="Encabezado"/>
    </w:pPr>
  </w:p>
</w:hdr>
</file>

<file path=word/intelligence2.xml><?xml version="1.0" encoding="utf-8"?>
<int2:intelligence xmlns:int2="http://schemas.microsoft.com/office/intelligence/2020/intelligence" xmlns:oel="http://schemas.microsoft.com/office/2019/extlst">
  <int2:observations>
    <int2:textHash int2:hashCode="6w/0Andz2BxIdu" int2:id="7aG9MBfE">
      <int2:state int2:value="Rejected" int2:type="AugLoop_Text_Critique"/>
    </int2:textHash>
    <int2:textHash int2:hashCode="wBpG4i6NnCA6Wh" int2:id="QQuS2Ivh">
      <int2:state int2:value="Rejected" int2:type="AugLoop_Text_Critique"/>
    </int2:textHash>
    <int2:textHash int2:hashCode="2mhsmpw1yrQ+IE" int2:id="CiE0uRF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7387"/>
    <w:multiLevelType w:val="hybridMultilevel"/>
    <w:tmpl w:val="37DEA4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D85500"/>
    <w:multiLevelType w:val="hybridMultilevel"/>
    <w:tmpl w:val="275C82D2"/>
    <w:lvl w:ilvl="0" w:tplc="BBD677B6">
      <w:start w:val="2"/>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19080D00"/>
    <w:multiLevelType w:val="hybridMultilevel"/>
    <w:tmpl w:val="C040E4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139C74"/>
    <w:multiLevelType w:val="hybridMultilevel"/>
    <w:tmpl w:val="572A3D64"/>
    <w:lvl w:ilvl="0" w:tplc="858A7824">
      <w:start w:val="1"/>
      <w:numFmt w:val="decimal"/>
      <w:lvlText w:val="%1."/>
      <w:lvlJc w:val="left"/>
      <w:pPr>
        <w:ind w:left="720" w:hanging="360"/>
      </w:pPr>
      <w:rPr>
        <w:color w:val="auto"/>
      </w:rPr>
    </w:lvl>
    <w:lvl w:ilvl="1" w:tplc="975E8756">
      <w:start w:val="1"/>
      <w:numFmt w:val="lowerLetter"/>
      <w:lvlText w:val="%2."/>
      <w:lvlJc w:val="left"/>
      <w:pPr>
        <w:ind w:left="1440" w:hanging="360"/>
      </w:pPr>
    </w:lvl>
    <w:lvl w:ilvl="2" w:tplc="51B4BF16">
      <w:start w:val="1"/>
      <w:numFmt w:val="lowerRoman"/>
      <w:lvlText w:val="%3."/>
      <w:lvlJc w:val="right"/>
      <w:pPr>
        <w:ind w:left="2160" w:hanging="180"/>
      </w:pPr>
    </w:lvl>
    <w:lvl w:ilvl="3" w:tplc="67F45EC2">
      <w:start w:val="1"/>
      <w:numFmt w:val="decimal"/>
      <w:lvlText w:val="%4."/>
      <w:lvlJc w:val="left"/>
      <w:pPr>
        <w:ind w:left="2880" w:hanging="360"/>
      </w:pPr>
    </w:lvl>
    <w:lvl w:ilvl="4" w:tplc="B5D07EBE">
      <w:start w:val="1"/>
      <w:numFmt w:val="lowerLetter"/>
      <w:lvlText w:val="%5."/>
      <w:lvlJc w:val="left"/>
      <w:pPr>
        <w:ind w:left="3600" w:hanging="360"/>
      </w:pPr>
    </w:lvl>
    <w:lvl w:ilvl="5" w:tplc="E1C28902">
      <w:start w:val="1"/>
      <w:numFmt w:val="lowerRoman"/>
      <w:lvlText w:val="%6."/>
      <w:lvlJc w:val="right"/>
      <w:pPr>
        <w:ind w:left="4320" w:hanging="180"/>
      </w:pPr>
    </w:lvl>
    <w:lvl w:ilvl="6" w:tplc="900A7486">
      <w:start w:val="1"/>
      <w:numFmt w:val="decimal"/>
      <w:lvlText w:val="%7."/>
      <w:lvlJc w:val="left"/>
      <w:pPr>
        <w:ind w:left="5040" w:hanging="360"/>
      </w:pPr>
    </w:lvl>
    <w:lvl w:ilvl="7" w:tplc="A7FE6CFA">
      <w:start w:val="1"/>
      <w:numFmt w:val="lowerLetter"/>
      <w:lvlText w:val="%8."/>
      <w:lvlJc w:val="left"/>
      <w:pPr>
        <w:ind w:left="5760" w:hanging="360"/>
      </w:pPr>
    </w:lvl>
    <w:lvl w:ilvl="8" w:tplc="3EBC3BAC">
      <w:start w:val="1"/>
      <w:numFmt w:val="lowerRoman"/>
      <w:lvlText w:val="%9."/>
      <w:lvlJc w:val="right"/>
      <w:pPr>
        <w:ind w:left="6480" w:hanging="180"/>
      </w:pPr>
    </w:lvl>
  </w:abstractNum>
  <w:abstractNum w:abstractNumId="4" w15:restartNumberingAfterBreak="0">
    <w:nsid w:val="20C72B20"/>
    <w:multiLevelType w:val="hybridMultilevel"/>
    <w:tmpl w:val="43626B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6435A9D"/>
    <w:multiLevelType w:val="hybridMultilevel"/>
    <w:tmpl w:val="E194663C"/>
    <w:lvl w:ilvl="0" w:tplc="95B8556A">
      <w:start w:val="2015"/>
      <w:numFmt w:val="bullet"/>
      <w:lvlText w:val="-"/>
      <w:lvlJc w:val="left"/>
      <w:pPr>
        <w:ind w:left="1440" w:hanging="360"/>
      </w:pPr>
      <w:rPr>
        <w:rFonts w:ascii="Arial" w:eastAsia="Times New Roman"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370C0079"/>
    <w:multiLevelType w:val="hybridMultilevel"/>
    <w:tmpl w:val="E3EA29AA"/>
    <w:lvl w:ilvl="0" w:tplc="4824EC38">
      <w:start w:val="3"/>
      <w:numFmt w:val="upp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7" w15:restartNumberingAfterBreak="0">
    <w:nsid w:val="39176D7B"/>
    <w:multiLevelType w:val="hybridMultilevel"/>
    <w:tmpl w:val="20DCE1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DE54017"/>
    <w:multiLevelType w:val="hybridMultilevel"/>
    <w:tmpl w:val="D57A275A"/>
    <w:lvl w:ilvl="0" w:tplc="01045874">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418256C2"/>
    <w:multiLevelType w:val="hybridMultilevel"/>
    <w:tmpl w:val="6A1AB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A044ADC"/>
    <w:multiLevelType w:val="hybridMultilevel"/>
    <w:tmpl w:val="C0086F6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820B2F"/>
    <w:multiLevelType w:val="hybridMultilevel"/>
    <w:tmpl w:val="275C82D2"/>
    <w:lvl w:ilvl="0" w:tplc="BBD677B6">
      <w:start w:val="2"/>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57912CC3"/>
    <w:multiLevelType w:val="hybridMultilevel"/>
    <w:tmpl w:val="C9704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9902B30"/>
    <w:multiLevelType w:val="hybridMultilevel"/>
    <w:tmpl w:val="FAD431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EA077C8"/>
    <w:multiLevelType w:val="hybridMultilevel"/>
    <w:tmpl w:val="F754F154"/>
    <w:lvl w:ilvl="0" w:tplc="E6ACDDC2">
      <w:start w:val="3"/>
      <w:numFmt w:val="upp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5" w15:restartNumberingAfterBreak="0">
    <w:nsid w:val="64CD52B5"/>
    <w:multiLevelType w:val="hybridMultilevel"/>
    <w:tmpl w:val="B9DC9F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CB22DB6"/>
    <w:multiLevelType w:val="hybridMultilevel"/>
    <w:tmpl w:val="5B80B0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CE423CE"/>
    <w:multiLevelType w:val="hybridMultilevel"/>
    <w:tmpl w:val="C10465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D1C2A00"/>
    <w:multiLevelType w:val="hybridMultilevel"/>
    <w:tmpl w:val="13528C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E2F5817"/>
    <w:multiLevelType w:val="hybridMultilevel"/>
    <w:tmpl w:val="B61E0CF8"/>
    <w:lvl w:ilvl="0" w:tplc="858A7824">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EB56E94"/>
    <w:multiLevelType w:val="hybridMultilevel"/>
    <w:tmpl w:val="22207356"/>
    <w:lvl w:ilvl="0" w:tplc="37D2F838">
      <w:start w:val="6"/>
      <w:numFmt w:val="bullet"/>
      <w:lvlText w:val="-"/>
      <w:lvlJc w:val="left"/>
      <w:pPr>
        <w:ind w:left="720" w:hanging="360"/>
      </w:pPr>
      <w:rPr>
        <w:rFonts w:ascii="Arial" w:eastAsia="Calibr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6F3D1630"/>
    <w:multiLevelType w:val="hybridMultilevel"/>
    <w:tmpl w:val="C346E5EA"/>
    <w:lvl w:ilvl="0" w:tplc="C876E06E">
      <w:start w:val="1"/>
      <w:numFmt w:val="decimal"/>
      <w:lvlText w:val="%1."/>
      <w:lvlJc w:val="left"/>
      <w:pPr>
        <w:ind w:left="720" w:hanging="360"/>
      </w:pPr>
    </w:lvl>
    <w:lvl w:ilvl="1" w:tplc="983228AE">
      <w:start w:val="1"/>
      <w:numFmt w:val="lowerLetter"/>
      <w:lvlText w:val="%2."/>
      <w:lvlJc w:val="left"/>
      <w:pPr>
        <w:ind w:left="1440" w:hanging="360"/>
      </w:pPr>
    </w:lvl>
    <w:lvl w:ilvl="2" w:tplc="E5B28954">
      <w:start w:val="1"/>
      <w:numFmt w:val="lowerRoman"/>
      <w:lvlText w:val="%3."/>
      <w:lvlJc w:val="right"/>
      <w:pPr>
        <w:ind w:left="2160" w:hanging="180"/>
      </w:pPr>
    </w:lvl>
    <w:lvl w:ilvl="3" w:tplc="DC22A690">
      <w:start w:val="1"/>
      <w:numFmt w:val="decimal"/>
      <w:lvlText w:val="%4."/>
      <w:lvlJc w:val="left"/>
      <w:pPr>
        <w:ind w:left="2880" w:hanging="360"/>
      </w:pPr>
    </w:lvl>
    <w:lvl w:ilvl="4" w:tplc="82DA7CBE">
      <w:start w:val="1"/>
      <w:numFmt w:val="lowerLetter"/>
      <w:lvlText w:val="%5."/>
      <w:lvlJc w:val="left"/>
      <w:pPr>
        <w:ind w:left="3600" w:hanging="360"/>
      </w:pPr>
    </w:lvl>
    <w:lvl w:ilvl="5" w:tplc="04D00E7A">
      <w:start w:val="1"/>
      <w:numFmt w:val="lowerRoman"/>
      <w:lvlText w:val="%6."/>
      <w:lvlJc w:val="right"/>
      <w:pPr>
        <w:ind w:left="4320" w:hanging="180"/>
      </w:pPr>
    </w:lvl>
    <w:lvl w:ilvl="6" w:tplc="E0E673A6">
      <w:start w:val="1"/>
      <w:numFmt w:val="decimal"/>
      <w:lvlText w:val="%7."/>
      <w:lvlJc w:val="left"/>
      <w:pPr>
        <w:ind w:left="5040" w:hanging="360"/>
      </w:pPr>
    </w:lvl>
    <w:lvl w:ilvl="7" w:tplc="0E843CB8">
      <w:start w:val="1"/>
      <w:numFmt w:val="lowerLetter"/>
      <w:lvlText w:val="%8."/>
      <w:lvlJc w:val="left"/>
      <w:pPr>
        <w:ind w:left="5760" w:hanging="360"/>
      </w:pPr>
    </w:lvl>
    <w:lvl w:ilvl="8" w:tplc="AF248204">
      <w:start w:val="1"/>
      <w:numFmt w:val="lowerRoman"/>
      <w:lvlText w:val="%9."/>
      <w:lvlJc w:val="right"/>
      <w:pPr>
        <w:ind w:left="6480" w:hanging="180"/>
      </w:pPr>
    </w:lvl>
  </w:abstractNum>
  <w:abstractNum w:abstractNumId="22" w15:restartNumberingAfterBreak="0">
    <w:nsid w:val="6FE20A1D"/>
    <w:multiLevelType w:val="hybridMultilevel"/>
    <w:tmpl w:val="41A0E9A2"/>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70F77FBC"/>
    <w:multiLevelType w:val="hybridMultilevel"/>
    <w:tmpl w:val="A2F665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6446E06"/>
    <w:multiLevelType w:val="hybridMultilevel"/>
    <w:tmpl w:val="98C66492"/>
    <w:lvl w:ilvl="0" w:tplc="240A0001">
      <w:start w:val="1"/>
      <w:numFmt w:val="bullet"/>
      <w:lvlText w:val=""/>
      <w:lvlJc w:val="left"/>
      <w:pPr>
        <w:ind w:left="2138" w:hanging="720"/>
      </w:pPr>
      <w:rPr>
        <w:rFonts w:ascii="Symbol" w:hAnsi="Symbol"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num w:numId="1" w16cid:durableId="1904751942">
    <w:abstractNumId w:val="21"/>
  </w:num>
  <w:num w:numId="2" w16cid:durableId="89202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2031554">
    <w:abstractNumId w:val="20"/>
  </w:num>
  <w:num w:numId="4" w16cid:durableId="2136173095">
    <w:abstractNumId w:val="20"/>
  </w:num>
  <w:num w:numId="5" w16cid:durableId="2137527212">
    <w:abstractNumId w:val="3"/>
  </w:num>
  <w:num w:numId="6" w16cid:durableId="1606032092">
    <w:abstractNumId w:val="19"/>
  </w:num>
  <w:num w:numId="7" w16cid:durableId="2066876331">
    <w:abstractNumId w:val="5"/>
  </w:num>
  <w:num w:numId="8" w16cid:durableId="538708543">
    <w:abstractNumId w:val="12"/>
  </w:num>
  <w:num w:numId="9" w16cid:durableId="677999270">
    <w:abstractNumId w:val="9"/>
  </w:num>
  <w:num w:numId="10" w16cid:durableId="1646809519">
    <w:abstractNumId w:val="2"/>
  </w:num>
  <w:num w:numId="11" w16cid:durableId="1110852405">
    <w:abstractNumId w:val="8"/>
  </w:num>
  <w:num w:numId="12" w16cid:durableId="1483306624">
    <w:abstractNumId w:val="24"/>
  </w:num>
  <w:num w:numId="13" w16cid:durableId="1178740493">
    <w:abstractNumId w:val="13"/>
  </w:num>
  <w:num w:numId="14" w16cid:durableId="840051126">
    <w:abstractNumId w:val="15"/>
  </w:num>
  <w:num w:numId="15" w16cid:durableId="1836259770">
    <w:abstractNumId w:val="0"/>
  </w:num>
  <w:num w:numId="16" w16cid:durableId="1185098162">
    <w:abstractNumId w:val="4"/>
  </w:num>
  <w:num w:numId="17" w16cid:durableId="2011059157">
    <w:abstractNumId w:val="10"/>
  </w:num>
  <w:num w:numId="18" w16cid:durableId="44569469">
    <w:abstractNumId w:val="1"/>
  </w:num>
  <w:num w:numId="19" w16cid:durableId="633752138">
    <w:abstractNumId w:val="11"/>
  </w:num>
  <w:num w:numId="20" w16cid:durableId="1450125093">
    <w:abstractNumId w:val="7"/>
  </w:num>
  <w:num w:numId="21" w16cid:durableId="1275136469">
    <w:abstractNumId w:val="23"/>
  </w:num>
  <w:num w:numId="22" w16cid:durableId="1487238113">
    <w:abstractNumId w:val="22"/>
  </w:num>
  <w:num w:numId="23" w16cid:durableId="211506994">
    <w:abstractNumId w:val="17"/>
  </w:num>
  <w:num w:numId="24" w16cid:durableId="1271428632">
    <w:abstractNumId w:val="18"/>
  </w:num>
  <w:num w:numId="25" w16cid:durableId="1702783345">
    <w:abstractNumId w:val="16"/>
  </w:num>
  <w:num w:numId="26" w16cid:durableId="644621584">
    <w:abstractNumId w:val="14"/>
  </w:num>
  <w:num w:numId="27" w16cid:durableId="1790202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1DD"/>
    <w:rsid w:val="00003FDF"/>
    <w:rsid w:val="00005841"/>
    <w:rsid w:val="0001112E"/>
    <w:rsid w:val="00013D76"/>
    <w:rsid w:val="00015DA9"/>
    <w:rsid w:val="00017200"/>
    <w:rsid w:val="000264C9"/>
    <w:rsid w:val="0002651E"/>
    <w:rsid w:val="00026576"/>
    <w:rsid w:val="0003052D"/>
    <w:rsid w:val="00030E56"/>
    <w:rsid w:val="00032815"/>
    <w:rsid w:val="00041ECC"/>
    <w:rsid w:val="00043647"/>
    <w:rsid w:val="000436C3"/>
    <w:rsid w:val="00043723"/>
    <w:rsid w:val="000515DC"/>
    <w:rsid w:val="00061FEF"/>
    <w:rsid w:val="00062722"/>
    <w:rsid w:val="00063FEC"/>
    <w:rsid w:val="000641EB"/>
    <w:rsid w:val="000650A4"/>
    <w:rsid w:val="000718D8"/>
    <w:rsid w:val="000756E0"/>
    <w:rsid w:val="00077F27"/>
    <w:rsid w:val="0008647D"/>
    <w:rsid w:val="0008672F"/>
    <w:rsid w:val="000868E6"/>
    <w:rsid w:val="000907DF"/>
    <w:rsid w:val="00092B0D"/>
    <w:rsid w:val="000A1ABD"/>
    <w:rsid w:val="000A4173"/>
    <w:rsid w:val="000A540C"/>
    <w:rsid w:val="000B0691"/>
    <w:rsid w:val="000B1448"/>
    <w:rsid w:val="000B47DB"/>
    <w:rsid w:val="000B6299"/>
    <w:rsid w:val="000C1962"/>
    <w:rsid w:val="000C3998"/>
    <w:rsid w:val="000C3D9C"/>
    <w:rsid w:val="000C4646"/>
    <w:rsid w:val="000C48FF"/>
    <w:rsid w:val="000C709A"/>
    <w:rsid w:val="000D1FFE"/>
    <w:rsid w:val="000D3C22"/>
    <w:rsid w:val="000D418D"/>
    <w:rsid w:val="000D45F9"/>
    <w:rsid w:val="000D6001"/>
    <w:rsid w:val="000D61BE"/>
    <w:rsid w:val="000E76A0"/>
    <w:rsid w:val="000F576D"/>
    <w:rsid w:val="001002C0"/>
    <w:rsid w:val="001057EB"/>
    <w:rsid w:val="001160E6"/>
    <w:rsid w:val="00120865"/>
    <w:rsid w:val="00122388"/>
    <w:rsid w:val="001246F5"/>
    <w:rsid w:val="00124888"/>
    <w:rsid w:val="001266C4"/>
    <w:rsid w:val="0012684D"/>
    <w:rsid w:val="00131568"/>
    <w:rsid w:val="00133283"/>
    <w:rsid w:val="00141E6A"/>
    <w:rsid w:val="00142764"/>
    <w:rsid w:val="00142C39"/>
    <w:rsid w:val="00144DAB"/>
    <w:rsid w:val="00152731"/>
    <w:rsid w:val="001605C6"/>
    <w:rsid w:val="00164C29"/>
    <w:rsid w:val="00171DD8"/>
    <w:rsid w:val="0017657E"/>
    <w:rsid w:val="0017753A"/>
    <w:rsid w:val="00183EC6"/>
    <w:rsid w:val="00185739"/>
    <w:rsid w:val="001871A9"/>
    <w:rsid w:val="0019005D"/>
    <w:rsid w:val="0019149A"/>
    <w:rsid w:val="00191B5C"/>
    <w:rsid w:val="0019248E"/>
    <w:rsid w:val="00192FCB"/>
    <w:rsid w:val="00194A83"/>
    <w:rsid w:val="001A0A1C"/>
    <w:rsid w:val="001A2B15"/>
    <w:rsid w:val="001A3709"/>
    <w:rsid w:val="001B1238"/>
    <w:rsid w:val="001B1E16"/>
    <w:rsid w:val="001B64AD"/>
    <w:rsid w:val="001B701D"/>
    <w:rsid w:val="001C3B34"/>
    <w:rsid w:val="001C4584"/>
    <w:rsid w:val="001D0BDF"/>
    <w:rsid w:val="001D241F"/>
    <w:rsid w:val="001F1E39"/>
    <w:rsid w:val="00200D9C"/>
    <w:rsid w:val="00204CF3"/>
    <w:rsid w:val="00206574"/>
    <w:rsid w:val="0021048D"/>
    <w:rsid w:val="00213846"/>
    <w:rsid w:val="00222B1C"/>
    <w:rsid w:val="00224CDD"/>
    <w:rsid w:val="00226172"/>
    <w:rsid w:val="00233A88"/>
    <w:rsid w:val="0023625B"/>
    <w:rsid w:val="00236B04"/>
    <w:rsid w:val="00243275"/>
    <w:rsid w:val="00255133"/>
    <w:rsid w:val="002715FB"/>
    <w:rsid w:val="002770FD"/>
    <w:rsid w:val="0027788F"/>
    <w:rsid w:val="00287105"/>
    <w:rsid w:val="00290C5C"/>
    <w:rsid w:val="0029342F"/>
    <w:rsid w:val="002A2A91"/>
    <w:rsid w:val="002A459E"/>
    <w:rsid w:val="002B3017"/>
    <w:rsid w:val="002B476B"/>
    <w:rsid w:val="002B702F"/>
    <w:rsid w:val="002D0B4B"/>
    <w:rsid w:val="002D77AD"/>
    <w:rsid w:val="002E1C19"/>
    <w:rsid w:val="002E3599"/>
    <w:rsid w:val="002E3A86"/>
    <w:rsid w:val="002E40BE"/>
    <w:rsid w:val="002E4765"/>
    <w:rsid w:val="002E66C8"/>
    <w:rsid w:val="002F0B60"/>
    <w:rsid w:val="002F3C0B"/>
    <w:rsid w:val="00300FA2"/>
    <w:rsid w:val="00301910"/>
    <w:rsid w:val="003108F0"/>
    <w:rsid w:val="00320700"/>
    <w:rsid w:val="00322C53"/>
    <w:rsid w:val="00324B89"/>
    <w:rsid w:val="003252B4"/>
    <w:rsid w:val="0032589F"/>
    <w:rsid w:val="00326663"/>
    <w:rsid w:val="0033191E"/>
    <w:rsid w:val="00332049"/>
    <w:rsid w:val="003435D1"/>
    <w:rsid w:val="0034712B"/>
    <w:rsid w:val="00363230"/>
    <w:rsid w:val="003668DF"/>
    <w:rsid w:val="00366D9F"/>
    <w:rsid w:val="00374FC8"/>
    <w:rsid w:val="003805E1"/>
    <w:rsid w:val="0038367F"/>
    <w:rsid w:val="0038648B"/>
    <w:rsid w:val="0039073A"/>
    <w:rsid w:val="003974A3"/>
    <w:rsid w:val="003A349E"/>
    <w:rsid w:val="003A49A8"/>
    <w:rsid w:val="003B1B8B"/>
    <w:rsid w:val="003B4219"/>
    <w:rsid w:val="003C3E93"/>
    <w:rsid w:val="003C4086"/>
    <w:rsid w:val="003C4834"/>
    <w:rsid w:val="003C6468"/>
    <w:rsid w:val="003D04A1"/>
    <w:rsid w:val="003E14BE"/>
    <w:rsid w:val="003F1F8A"/>
    <w:rsid w:val="003F2853"/>
    <w:rsid w:val="003F4736"/>
    <w:rsid w:val="00400866"/>
    <w:rsid w:val="0040379C"/>
    <w:rsid w:val="00404915"/>
    <w:rsid w:val="00406738"/>
    <w:rsid w:val="004127F1"/>
    <w:rsid w:val="00415D30"/>
    <w:rsid w:val="00421D19"/>
    <w:rsid w:val="00422F12"/>
    <w:rsid w:val="0042501A"/>
    <w:rsid w:val="004312C2"/>
    <w:rsid w:val="004366A8"/>
    <w:rsid w:val="00440DC3"/>
    <w:rsid w:val="00443F67"/>
    <w:rsid w:val="00445129"/>
    <w:rsid w:val="004456AB"/>
    <w:rsid w:val="0045506E"/>
    <w:rsid w:val="00455C40"/>
    <w:rsid w:val="00456847"/>
    <w:rsid w:val="00457EC9"/>
    <w:rsid w:val="00461575"/>
    <w:rsid w:val="00463319"/>
    <w:rsid w:val="00467515"/>
    <w:rsid w:val="004801B1"/>
    <w:rsid w:val="00481DDA"/>
    <w:rsid w:val="00492C5F"/>
    <w:rsid w:val="00494334"/>
    <w:rsid w:val="004B26BC"/>
    <w:rsid w:val="004B2A90"/>
    <w:rsid w:val="004B4A3E"/>
    <w:rsid w:val="004B78E6"/>
    <w:rsid w:val="004BA55E"/>
    <w:rsid w:val="004C09FA"/>
    <w:rsid w:val="004C4D6C"/>
    <w:rsid w:val="004C7380"/>
    <w:rsid w:val="004C74CB"/>
    <w:rsid w:val="004D6E77"/>
    <w:rsid w:val="004E2122"/>
    <w:rsid w:val="004F2844"/>
    <w:rsid w:val="004F3C6E"/>
    <w:rsid w:val="004F5DDE"/>
    <w:rsid w:val="0050181E"/>
    <w:rsid w:val="00504E60"/>
    <w:rsid w:val="005058BB"/>
    <w:rsid w:val="00506CA9"/>
    <w:rsid w:val="005139BC"/>
    <w:rsid w:val="00513C0B"/>
    <w:rsid w:val="005201B2"/>
    <w:rsid w:val="005263BA"/>
    <w:rsid w:val="00532A57"/>
    <w:rsid w:val="00535CB0"/>
    <w:rsid w:val="00542DF6"/>
    <w:rsid w:val="005432EC"/>
    <w:rsid w:val="005439A3"/>
    <w:rsid w:val="0054489D"/>
    <w:rsid w:val="00544EFC"/>
    <w:rsid w:val="00545819"/>
    <w:rsid w:val="0055145D"/>
    <w:rsid w:val="0055728E"/>
    <w:rsid w:val="00557B91"/>
    <w:rsid w:val="00560BEC"/>
    <w:rsid w:val="00560EFE"/>
    <w:rsid w:val="0056288D"/>
    <w:rsid w:val="00563448"/>
    <w:rsid w:val="005638AD"/>
    <w:rsid w:val="005718A5"/>
    <w:rsid w:val="0057467F"/>
    <w:rsid w:val="00582C95"/>
    <w:rsid w:val="00586C76"/>
    <w:rsid w:val="00586F92"/>
    <w:rsid w:val="005901DC"/>
    <w:rsid w:val="0059262B"/>
    <w:rsid w:val="005A4913"/>
    <w:rsid w:val="005A6090"/>
    <w:rsid w:val="005B42F5"/>
    <w:rsid w:val="005B442D"/>
    <w:rsid w:val="005B7148"/>
    <w:rsid w:val="005C0CD1"/>
    <w:rsid w:val="005C67D9"/>
    <w:rsid w:val="005D611C"/>
    <w:rsid w:val="005D687A"/>
    <w:rsid w:val="005E523C"/>
    <w:rsid w:val="005E6772"/>
    <w:rsid w:val="005E746E"/>
    <w:rsid w:val="005F01DF"/>
    <w:rsid w:val="005F1DE7"/>
    <w:rsid w:val="005F3B76"/>
    <w:rsid w:val="005F56C3"/>
    <w:rsid w:val="00600C6D"/>
    <w:rsid w:val="00605FFA"/>
    <w:rsid w:val="00615311"/>
    <w:rsid w:val="006164F6"/>
    <w:rsid w:val="00620DFD"/>
    <w:rsid w:val="006217E5"/>
    <w:rsid w:val="00621F23"/>
    <w:rsid w:val="00625DDD"/>
    <w:rsid w:val="006418A1"/>
    <w:rsid w:val="006474C1"/>
    <w:rsid w:val="00647503"/>
    <w:rsid w:val="00651543"/>
    <w:rsid w:val="00673A51"/>
    <w:rsid w:val="00681251"/>
    <w:rsid w:val="00686314"/>
    <w:rsid w:val="00690AAE"/>
    <w:rsid w:val="0069171D"/>
    <w:rsid w:val="00693C58"/>
    <w:rsid w:val="00694BD4"/>
    <w:rsid w:val="00697A61"/>
    <w:rsid w:val="006A0C8F"/>
    <w:rsid w:val="006A0D15"/>
    <w:rsid w:val="006A364A"/>
    <w:rsid w:val="006A3B97"/>
    <w:rsid w:val="006A3EBC"/>
    <w:rsid w:val="006B2B6C"/>
    <w:rsid w:val="006B7366"/>
    <w:rsid w:val="006C4825"/>
    <w:rsid w:val="006D0FB7"/>
    <w:rsid w:val="006D2290"/>
    <w:rsid w:val="006D5074"/>
    <w:rsid w:val="006D5435"/>
    <w:rsid w:val="006D5E98"/>
    <w:rsid w:val="006D6044"/>
    <w:rsid w:val="006F0804"/>
    <w:rsid w:val="006F0AE7"/>
    <w:rsid w:val="006F2B03"/>
    <w:rsid w:val="007010A4"/>
    <w:rsid w:val="0070335F"/>
    <w:rsid w:val="007056EF"/>
    <w:rsid w:val="007066B4"/>
    <w:rsid w:val="0071052C"/>
    <w:rsid w:val="00710DF1"/>
    <w:rsid w:val="007155E6"/>
    <w:rsid w:val="00720B80"/>
    <w:rsid w:val="007247ED"/>
    <w:rsid w:val="00731BDF"/>
    <w:rsid w:val="00744812"/>
    <w:rsid w:val="00745EB8"/>
    <w:rsid w:val="00747B23"/>
    <w:rsid w:val="00753158"/>
    <w:rsid w:val="007532CA"/>
    <w:rsid w:val="00757A1F"/>
    <w:rsid w:val="00760753"/>
    <w:rsid w:val="00760A31"/>
    <w:rsid w:val="00762157"/>
    <w:rsid w:val="00762732"/>
    <w:rsid w:val="00782D54"/>
    <w:rsid w:val="00785C86"/>
    <w:rsid w:val="00786FA8"/>
    <w:rsid w:val="00792664"/>
    <w:rsid w:val="007964A2"/>
    <w:rsid w:val="00797645"/>
    <w:rsid w:val="00797AEA"/>
    <w:rsid w:val="007A2F8C"/>
    <w:rsid w:val="007A4BFE"/>
    <w:rsid w:val="007A6CCE"/>
    <w:rsid w:val="007A7A29"/>
    <w:rsid w:val="007B090B"/>
    <w:rsid w:val="007B3D38"/>
    <w:rsid w:val="007B5827"/>
    <w:rsid w:val="007B625D"/>
    <w:rsid w:val="007B7EC6"/>
    <w:rsid w:val="007C02DF"/>
    <w:rsid w:val="007C0404"/>
    <w:rsid w:val="007C1D0F"/>
    <w:rsid w:val="007C1E2D"/>
    <w:rsid w:val="007C2D34"/>
    <w:rsid w:val="007C6D68"/>
    <w:rsid w:val="007D4EC3"/>
    <w:rsid w:val="007D5A73"/>
    <w:rsid w:val="007E0CB2"/>
    <w:rsid w:val="007E7D53"/>
    <w:rsid w:val="007F0AEC"/>
    <w:rsid w:val="008005AA"/>
    <w:rsid w:val="00801F6E"/>
    <w:rsid w:val="00805559"/>
    <w:rsid w:val="00810408"/>
    <w:rsid w:val="008104B0"/>
    <w:rsid w:val="0081182F"/>
    <w:rsid w:val="008121A0"/>
    <w:rsid w:val="00822609"/>
    <w:rsid w:val="008264D2"/>
    <w:rsid w:val="0083036D"/>
    <w:rsid w:val="00831155"/>
    <w:rsid w:val="008318B4"/>
    <w:rsid w:val="00833DEA"/>
    <w:rsid w:val="008363AE"/>
    <w:rsid w:val="008368A7"/>
    <w:rsid w:val="0083790A"/>
    <w:rsid w:val="0084020D"/>
    <w:rsid w:val="008406A4"/>
    <w:rsid w:val="00846F7B"/>
    <w:rsid w:val="00847B51"/>
    <w:rsid w:val="00851179"/>
    <w:rsid w:val="0085183B"/>
    <w:rsid w:val="00852866"/>
    <w:rsid w:val="00855A5A"/>
    <w:rsid w:val="008606CA"/>
    <w:rsid w:val="00861B22"/>
    <w:rsid w:val="008625D1"/>
    <w:rsid w:val="0086546C"/>
    <w:rsid w:val="00870B79"/>
    <w:rsid w:val="0088034B"/>
    <w:rsid w:val="00881548"/>
    <w:rsid w:val="00885D39"/>
    <w:rsid w:val="00887702"/>
    <w:rsid w:val="00891FD6"/>
    <w:rsid w:val="008926AA"/>
    <w:rsid w:val="008943D2"/>
    <w:rsid w:val="008963CB"/>
    <w:rsid w:val="008A1C47"/>
    <w:rsid w:val="008A63B6"/>
    <w:rsid w:val="008A7925"/>
    <w:rsid w:val="008B2C30"/>
    <w:rsid w:val="008C5ADA"/>
    <w:rsid w:val="008D32B3"/>
    <w:rsid w:val="008D59B7"/>
    <w:rsid w:val="008E435B"/>
    <w:rsid w:val="008E5735"/>
    <w:rsid w:val="008F042D"/>
    <w:rsid w:val="008F0A14"/>
    <w:rsid w:val="008F2938"/>
    <w:rsid w:val="008F48BE"/>
    <w:rsid w:val="008F6A25"/>
    <w:rsid w:val="008F770A"/>
    <w:rsid w:val="00900CE4"/>
    <w:rsid w:val="009010F3"/>
    <w:rsid w:val="00901F52"/>
    <w:rsid w:val="0090554A"/>
    <w:rsid w:val="0090596D"/>
    <w:rsid w:val="00906AA6"/>
    <w:rsid w:val="00912504"/>
    <w:rsid w:val="00912EF8"/>
    <w:rsid w:val="0091484E"/>
    <w:rsid w:val="009176F1"/>
    <w:rsid w:val="00920323"/>
    <w:rsid w:val="00922DD9"/>
    <w:rsid w:val="009241D5"/>
    <w:rsid w:val="009432A6"/>
    <w:rsid w:val="00943614"/>
    <w:rsid w:val="0095011D"/>
    <w:rsid w:val="00951D82"/>
    <w:rsid w:val="00953B1A"/>
    <w:rsid w:val="00955948"/>
    <w:rsid w:val="009662B8"/>
    <w:rsid w:val="009704CF"/>
    <w:rsid w:val="00970F4B"/>
    <w:rsid w:val="00975032"/>
    <w:rsid w:val="00981200"/>
    <w:rsid w:val="00984AEA"/>
    <w:rsid w:val="00985C4F"/>
    <w:rsid w:val="00986F3E"/>
    <w:rsid w:val="0099284F"/>
    <w:rsid w:val="00994635"/>
    <w:rsid w:val="009A319D"/>
    <w:rsid w:val="009A4126"/>
    <w:rsid w:val="009B6796"/>
    <w:rsid w:val="009B772E"/>
    <w:rsid w:val="009D0D33"/>
    <w:rsid w:val="009D2BDE"/>
    <w:rsid w:val="009D4E20"/>
    <w:rsid w:val="009D55DA"/>
    <w:rsid w:val="009D73D0"/>
    <w:rsid w:val="009E14C8"/>
    <w:rsid w:val="009E5B68"/>
    <w:rsid w:val="009E5D56"/>
    <w:rsid w:val="009E62EA"/>
    <w:rsid w:val="009E7A49"/>
    <w:rsid w:val="009F278C"/>
    <w:rsid w:val="009F27A2"/>
    <w:rsid w:val="009F2977"/>
    <w:rsid w:val="009F2E49"/>
    <w:rsid w:val="009F7312"/>
    <w:rsid w:val="00A008CC"/>
    <w:rsid w:val="00A04D12"/>
    <w:rsid w:val="00A05F2C"/>
    <w:rsid w:val="00A07CB6"/>
    <w:rsid w:val="00A230B6"/>
    <w:rsid w:val="00A2346A"/>
    <w:rsid w:val="00A23933"/>
    <w:rsid w:val="00A32EC0"/>
    <w:rsid w:val="00A36F1F"/>
    <w:rsid w:val="00A4190F"/>
    <w:rsid w:val="00A41A7D"/>
    <w:rsid w:val="00A41DB2"/>
    <w:rsid w:val="00A42107"/>
    <w:rsid w:val="00A4396E"/>
    <w:rsid w:val="00A43FBE"/>
    <w:rsid w:val="00A453A5"/>
    <w:rsid w:val="00A52294"/>
    <w:rsid w:val="00A55FDF"/>
    <w:rsid w:val="00A60C6A"/>
    <w:rsid w:val="00A64A86"/>
    <w:rsid w:val="00A675F9"/>
    <w:rsid w:val="00A7235C"/>
    <w:rsid w:val="00A765EE"/>
    <w:rsid w:val="00A80F2E"/>
    <w:rsid w:val="00A81343"/>
    <w:rsid w:val="00A81B1C"/>
    <w:rsid w:val="00A82C39"/>
    <w:rsid w:val="00A90DB4"/>
    <w:rsid w:val="00A97048"/>
    <w:rsid w:val="00AA25B9"/>
    <w:rsid w:val="00AA3F1C"/>
    <w:rsid w:val="00AA4416"/>
    <w:rsid w:val="00AB0E9C"/>
    <w:rsid w:val="00AB1F33"/>
    <w:rsid w:val="00AB2B2C"/>
    <w:rsid w:val="00AB2DFA"/>
    <w:rsid w:val="00AB47CB"/>
    <w:rsid w:val="00AB53B1"/>
    <w:rsid w:val="00AB657E"/>
    <w:rsid w:val="00AC02A7"/>
    <w:rsid w:val="00AC7363"/>
    <w:rsid w:val="00AD0C07"/>
    <w:rsid w:val="00AD14A5"/>
    <w:rsid w:val="00AD2B9D"/>
    <w:rsid w:val="00AD6E5C"/>
    <w:rsid w:val="00AD72D7"/>
    <w:rsid w:val="00AE0B81"/>
    <w:rsid w:val="00AE11B7"/>
    <w:rsid w:val="00AE614D"/>
    <w:rsid w:val="00AF0421"/>
    <w:rsid w:val="00AF0E0C"/>
    <w:rsid w:val="00AF3438"/>
    <w:rsid w:val="00AF39E0"/>
    <w:rsid w:val="00B01886"/>
    <w:rsid w:val="00B02F39"/>
    <w:rsid w:val="00B02F7F"/>
    <w:rsid w:val="00B06A2E"/>
    <w:rsid w:val="00B10F65"/>
    <w:rsid w:val="00B1262A"/>
    <w:rsid w:val="00B160E4"/>
    <w:rsid w:val="00B16719"/>
    <w:rsid w:val="00B20DEC"/>
    <w:rsid w:val="00B22D66"/>
    <w:rsid w:val="00B32E2E"/>
    <w:rsid w:val="00B348B4"/>
    <w:rsid w:val="00B42BA3"/>
    <w:rsid w:val="00B47E82"/>
    <w:rsid w:val="00B52A57"/>
    <w:rsid w:val="00B52C8E"/>
    <w:rsid w:val="00B609A6"/>
    <w:rsid w:val="00B631BC"/>
    <w:rsid w:val="00B7050D"/>
    <w:rsid w:val="00B72EAF"/>
    <w:rsid w:val="00B73725"/>
    <w:rsid w:val="00B7589D"/>
    <w:rsid w:val="00B768E2"/>
    <w:rsid w:val="00B81C40"/>
    <w:rsid w:val="00B85477"/>
    <w:rsid w:val="00B871C0"/>
    <w:rsid w:val="00B87866"/>
    <w:rsid w:val="00B94F8F"/>
    <w:rsid w:val="00B96905"/>
    <w:rsid w:val="00B97705"/>
    <w:rsid w:val="00BA357A"/>
    <w:rsid w:val="00BB1379"/>
    <w:rsid w:val="00BB2210"/>
    <w:rsid w:val="00BB257C"/>
    <w:rsid w:val="00BB283B"/>
    <w:rsid w:val="00BB4208"/>
    <w:rsid w:val="00BB4301"/>
    <w:rsid w:val="00BB7088"/>
    <w:rsid w:val="00BC143F"/>
    <w:rsid w:val="00BD3A66"/>
    <w:rsid w:val="00BD7EA6"/>
    <w:rsid w:val="00BF10F9"/>
    <w:rsid w:val="00C02545"/>
    <w:rsid w:val="00C02F32"/>
    <w:rsid w:val="00C03B4E"/>
    <w:rsid w:val="00C068E9"/>
    <w:rsid w:val="00C06ABF"/>
    <w:rsid w:val="00C12DB4"/>
    <w:rsid w:val="00C13C1F"/>
    <w:rsid w:val="00C1481E"/>
    <w:rsid w:val="00C2406F"/>
    <w:rsid w:val="00C2766B"/>
    <w:rsid w:val="00C30272"/>
    <w:rsid w:val="00C43CD5"/>
    <w:rsid w:val="00C4738C"/>
    <w:rsid w:val="00C55DD3"/>
    <w:rsid w:val="00C56827"/>
    <w:rsid w:val="00C56897"/>
    <w:rsid w:val="00C61876"/>
    <w:rsid w:val="00C63612"/>
    <w:rsid w:val="00C657EB"/>
    <w:rsid w:val="00C720C0"/>
    <w:rsid w:val="00C83E9E"/>
    <w:rsid w:val="00C855D5"/>
    <w:rsid w:val="00C85D76"/>
    <w:rsid w:val="00C92094"/>
    <w:rsid w:val="00C92F1D"/>
    <w:rsid w:val="00C9421E"/>
    <w:rsid w:val="00C9622E"/>
    <w:rsid w:val="00C97477"/>
    <w:rsid w:val="00CA232A"/>
    <w:rsid w:val="00CA24B3"/>
    <w:rsid w:val="00CA2CC0"/>
    <w:rsid w:val="00CA39F4"/>
    <w:rsid w:val="00CA5A88"/>
    <w:rsid w:val="00CB0AA2"/>
    <w:rsid w:val="00CB6D13"/>
    <w:rsid w:val="00CC0911"/>
    <w:rsid w:val="00CC1D82"/>
    <w:rsid w:val="00CC4592"/>
    <w:rsid w:val="00CC4C02"/>
    <w:rsid w:val="00CD2D04"/>
    <w:rsid w:val="00CE2788"/>
    <w:rsid w:val="00CE4483"/>
    <w:rsid w:val="00CE45FE"/>
    <w:rsid w:val="00CF53EF"/>
    <w:rsid w:val="00D00528"/>
    <w:rsid w:val="00D010FD"/>
    <w:rsid w:val="00D03E4F"/>
    <w:rsid w:val="00D0517E"/>
    <w:rsid w:val="00D10C90"/>
    <w:rsid w:val="00D20BD0"/>
    <w:rsid w:val="00D219E4"/>
    <w:rsid w:val="00D239A6"/>
    <w:rsid w:val="00D241D6"/>
    <w:rsid w:val="00D24597"/>
    <w:rsid w:val="00D37381"/>
    <w:rsid w:val="00D40660"/>
    <w:rsid w:val="00D4240C"/>
    <w:rsid w:val="00D53A1B"/>
    <w:rsid w:val="00D60761"/>
    <w:rsid w:val="00D61362"/>
    <w:rsid w:val="00D65BE6"/>
    <w:rsid w:val="00D6644D"/>
    <w:rsid w:val="00D6780D"/>
    <w:rsid w:val="00D76FC6"/>
    <w:rsid w:val="00D8029A"/>
    <w:rsid w:val="00D82679"/>
    <w:rsid w:val="00D84426"/>
    <w:rsid w:val="00D87F19"/>
    <w:rsid w:val="00D9556A"/>
    <w:rsid w:val="00DA4C6D"/>
    <w:rsid w:val="00DA6E3D"/>
    <w:rsid w:val="00DA723A"/>
    <w:rsid w:val="00DB2B8B"/>
    <w:rsid w:val="00DB2D03"/>
    <w:rsid w:val="00DB3B66"/>
    <w:rsid w:val="00DB46CA"/>
    <w:rsid w:val="00DB5000"/>
    <w:rsid w:val="00DD0A72"/>
    <w:rsid w:val="00DD0CF8"/>
    <w:rsid w:val="00DD4029"/>
    <w:rsid w:val="00DD51DD"/>
    <w:rsid w:val="00DE22EB"/>
    <w:rsid w:val="00DF0918"/>
    <w:rsid w:val="00DF50D6"/>
    <w:rsid w:val="00DF5EF0"/>
    <w:rsid w:val="00E037DF"/>
    <w:rsid w:val="00E047DF"/>
    <w:rsid w:val="00E05E42"/>
    <w:rsid w:val="00E117B4"/>
    <w:rsid w:val="00E11A73"/>
    <w:rsid w:val="00E12D6F"/>
    <w:rsid w:val="00E1369E"/>
    <w:rsid w:val="00E14DA4"/>
    <w:rsid w:val="00E15306"/>
    <w:rsid w:val="00E215A6"/>
    <w:rsid w:val="00E241AE"/>
    <w:rsid w:val="00E249A2"/>
    <w:rsid w:val="00E26160"/>
    <w:rsid w:val="00E30357"/>
    <w:rsid w:val="00E30F69"/>
    <w:rsid w:val="00E30FF5"/>
    <w:rsid w:val="00E34094"/>
    <w:rsid w:val="00E36ED3"/>
    <w:rsid w:val="00E37F1F"/>
    <w:rsid w:val="00E41C17"/>
    <w:rsid w:val="00E4447B"/>
    <w:rsid w:val="00E45A0C"/>
    <w:rsid w:val="00E47DC2"/>
    <w:rsid w:val="00E507A0"/>
    <w:rsid w:val="00E50E4D"/>
    <w:rsid w:val="00E53CF1"/>
    <w:rsid w:val="00E56AEB"/>
    <w:rsid w:val="00E5708C"/>
    <w:rsid w:val="00E674DC"/>
    <w:rsid w:val="00E7274E"/>
    <w:rsid w:val="00E75CCA"/>
    <w:rsid w:val="00E83930"/>
    <w:rsid w:val="00E862ED"/>
    <w:rsid w:val="00E926B1"/>
    <w:rsid w:val="00E96E11"/>
    <w:rsid w:val="00EA0615"/>
    <w:rsid w:val="00EA0B48"/>
    <w:rsid w:val="00EA163B"/>
    <w:rsid w:val="00EA2759"/>
    <w:rsid w:val="00EA6628"/>
    <w:rsid w:val="00EB17AE"/>
    <w:rsid w:val="00EB1F01"/>
    <w:rsid w:val="00EB340B"/>
    <w:rsid w:val="00EB3B9A"/>
    <w:rsid w:val="00EC011F"/>
    <w:rsid w:val="00EC25B6"/>
    <w:rsid w:val="00EC2ED0"/>
    <w:rsid w:val="00EC69B9"/>
    <w:rsid w:val="00ED77C2"/>
    <w:rsid w:val="00EE1789"/>
    <w:rsid w:val="00EE5F63"/>
    <w:rsid w:val="00EE702C"/>
    <w:rsid w:val="00EF0006"/>
    <w:rsid w:val="00EF2F76"/>
    <w:rsid w:val="00EF3200"/>
    <w:rsid w:val="00EF6419"/>
    <w:rsid w:val="00F02001"/>
    <w:rsid w:val="00F13C62"/>
    <w:rsid w:val="00F2359B"/>
    <w:rsid w:val="00F34523"/>
    <w:rsid w:val="00F35E01"/>
    <w:rsid w:val="00F3738C"/>
    <w:rsid w:val="00F37E2D"/>
    <w:rsid w:val="00F453D5"/>
    <w:rsid w:val="00F5326C"/>
    <w:rsid w:val="00F54F25"/>
    <w:rsid w:val="00F5507D"/>
    <w:rsid w:val="00F658F7"/>
    <w:rsid w:val="00F7360A"/>
    <w:rsid w:val="00F7638C"/>
    <w:rsid w:val="00F86BB2"/>
    <w:rsid w:val="00F92E63"/>
    <w:rsid w:val="00F93A8D"/>
    <w:rsid w:val="00FA2203"/>
    <w:rsid w:val="00FA5688"/>
    <w:rsid w:val="00FB4A5E"/>
    <w:rsid w:val="00FC388E"/>
    <w:rsid w:val="00FC66D4"/>
    <w:rsid w:val="00FC69DA"/>
    <w:rsid w:val="00FC6E04"/>
    <w:rsid w:val="00FD0446"/>
    <w:rsid w:val="00FD4B4B"/>
    <w:rsid w:val="00FD6056"/>
    <w:rsid w:val="00FD7636"/>
    <w:rsid w:val="00FE261A"/>
    <w:rsid w:val="00FE42F1"/>
    <w:rsid w:val="00FE596C"/>
    <w:rsid w:val="00FE7579"/>
    <w:rsid w:val="00FF073A"/>
    <w:rsid w:val="02849735"/>
    <w:rsid w:val="0610A93C"/>
    <w:rsid w:val="091E2C59"/>
    <w:rsid w:val="0B62940B"/>
    <w:rsid w:val="0C1E549B"/>
    <w:rsid w:val="0ECDE64D"/>
    <w:rsid w:val="0F38F3B1"/>
    <w:rsid w:val="1310147F"/>
    <w:rsid w:val="13D2B5A8"/>
    <w:rsid w:val="156E8609"/>
    <w:rsid w:val="1698C81C"/>
    <w:rsid w:val="1B84CDE9"/>
    <w:rsid w:val="204229B8"/>
    <w:rsid w:val="215A750E"/>
    <w:rsid w:val="247F7A33"/>
    <w:rsid w:val="262DE631"/>
    <w:rsid w:val="282E7475"/>
    <w:rsid w:val="284C50A3"/>
    <w:rsid w:val="2B015754"/>
    <w:rsid w:val="2D511FF5"/>
    <w:rsid w:val="2E025E5B"/>
    <w:rsid w:val="2E03F254"/>
    <w:rsid w:val="2EB140CA"/>
    <w:rsid w:val="2FE649EC"/>
    <w:rsid w:val="34318789"/>
    <w:rsid w:val="376E3EE4"/>
    <w:rsid w:val="3796B75D"/>
    <w:rsid w:val="37C7E810"/>
    <w:rsid w:val="37D83374"/>
    <w:rsid w:val="3AEBB724"/>
    <w:rsid w:val="3BF215B4"/>
    <w:rsid w:val="3C1C5266"/>
    <w:rsid w:val="3CB0E364"/>
    <w:rsid w:val="3DEBB53D"/>
    <w:rsid w:val="3EFF83EC"/>
    <w:rsid w:val="40B2EB3A"/>
    <w:rsid w:val="41FF58D0"/>
    <w:rsid w:val="46A6B730"/>
    <w:rsid w:val="4851FBC2"/>
    <w:rsid w:val="4A40A523"/>
    <w:rsid w:val="4B2DE586"/>
    <w:rsid w:val="4B487572"/>
    <w:rsid w:val="4F141646"/>
    <w:rsid w:val="5021336C"/>
    <w:rsid w:val="50AFE6A7"/>
    <w:rsid w:val="526FD41A"/>
    <w:rsid w:val="53C0B105"/>
    <w:rsid w:val="56677244"/>
    <w:rsid w:val="599F1306"/>
    <w:rsid w:val="59D00338"/>
    <w:rsid w:val="5A8A7A6D"/>
    <w:rsid w:val="5B6BD399"/>
    <w:rsid w:val="5F453139"/>
    <w:rsid w:val="5FE57B8E"/>
    <w:rsid w:val="61AC41B8"/>
    <w:rsid w:val="6269C858"/>
    <w:rsid w:val="62C26AD0"/>
    <w:rsid w:val="632EC761"/>
    <w:rsid w:val="63E1A43C"/>
    <w:rsid w:val="66821F3B"/>
    <w:rsid w:val="6DB76FB4"/>
    <w:rsid w:val="6E858EC3"/>
    <w:rsid w:val="704EA9F0"/>
    <w:rsid w:val="70976E07"/>
    <w:rsid w:val="71AC167A"/>
    <w:rsid w:val="72D66CBA"/>
    <w:rsid w:val="75841595"/>
    <w:rsid w:val="7603743F"/>
    <w:rsid w:val="76A72B8F"/>
    <w:rsid w:val="779F44A0"/>
    <w:rsid w:val="793B1501"/>
    <w:rsid w:val="7A3DA79D"/>
    <w:rsid w:val="7C289D34"/>
    <w:rsid w:val="7CA232F2"/>
    <w:rsid w:val="7FAA56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3C71D"/>
  <w15:docId w15:val="{FA7E726E-E9DE-4577-B54B-BE27A5F1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1DD"/>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AB0E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82C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51DD"/>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DD51DD"/>
  </w:style>
  <w:style w:type="paragraph" w:styleId="Piedepgina">
    <w:name w:val="footer"/>
    <w:basedOn w:val="Normal"/>
    <w:link w:val="PiedepginaCar"/>
    <w:uiPriority w:val="99"/>
    <w:unhideWhenUsed/>
    <w:rsid w:val="00DD51DD"/>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DD51DD"/>
  </w:style>
  <w:style w:type="paragraph" w:styleId="NormalWeb">
    <w:name w:val="Normal (Web)"/>
    <w:basedOn w:val="Normal"/>
    <w:uiPriority w:val="99"/>
    <w:unhideWhenUsed/>
    <w:rsid w:val="00E14DA4"/>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commoncomponentsqlik">
    <w:name w:val="commoncomponentsqlik"/>
    <w:basedOn w:val="Fuentedeprrafopredeter"/>
    <w:rsid w:val="00E14DA4"/>
  </w:style>
  <w:style w:type="character" w:customStyle="1" w:styleId="commoncomponentsqlikview">
    <w:name w:val="commoncomponentsqlikview"/>
    <w:basedOn w:val="Fuentedeprrafopredeter"/>
    <w:rsid w:val="00E14DA4"/>
  </w:style>
  <w:style w:type="character" w:customStyle="1" w:styleId="path">
    <w:name w:val="path"/>
    <w:basedOn w:val="Fuentedeprrafopredeter"/>
    <w:rsid w:val="00E14DA4"/>
  </w:style>
  <w:style w:type="table" w:styleId="Tablaconcuadrcula">
    <w:name w:val="Table Grid"/>
    <w:basedOn w:val="Tablanormal"/>
    <w:uiPriority w:val="39"/>
    <w:rsid w:val="00E14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14D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DA4"/>
    <w:rPr>
      <w:rFonts w:ascii="Segoe UI" w:eastAsia="Calibri" w:hAnsi="Segoe UI" w:cs="Segoe UI"/>
      <w:sz w:val="18"/>
      <w:szCs w:val="18"/>
      <w:lang w:val="es-ES"/>
    </w:rPr>
  </w:style>
  <w:style w:type="character" w:styleId="Fuerte">
    <w:name w:val="Strong"/>
    <w:basedOn w:val="Fuentedeprrafopredeter"/>
    <w:uiPriority w:val="22"/>
    <w:qFormat/>
    <w:rsid w:val="000C48FF"/>
    <w:rPr>
      <w:b/>
      <w:bCs/>
    </w:rPr>
  </w:style>
  <w:style w:type="character" w:customStyle="1" w:styleId="SinespaciadoCar">
    <w:name w:val="Sin espaciado Car"/>
    <w:link w:val="Sinespaciado"/>
    <w:uiPriority w:val="1"/>
    <w:locked/>
    <w:rsid w:val="0032589F"/>
    <w:rPr>
      <w:lang w:val="es-ES"/>
    </w:rPr>
  </w:style>
  <w:style w:type="paragraph" w:styleId="Sinespaciado">
    <w:name w:val="No Spacing"/>
    <w:basedOn w:val="Normal"/>
    <w:link w:val="SinespaciadoCar"/>
    <w:uiPriority w:val="1"/>
    <w:qFormat/>
    <w:rsid w:val="0032589F"/>
    <w:pPr>
      <w:spacing w:after="0" w:line="240" w:lineRule="auto"/>
    </w:pPr>
    <w:rPr>
      <w:rFonts w:asciiTheme="minorHAnsi" w:eastAsiaTheme="minorHAnsi" w:hAnsiTheme="minorHAnsi" w:cstheme="minorBidi"/>
    </w:rPr>
  </w:style>
  <w:style w:type="character" w:customStyle="1" w:styleId="normaltextrun">
    <w:name w:val="normaltextrun"/>
    <w:basedOn w:val="Fuentedeprrafopredeter"/>
    <w:rsid w:val="0032589F"/>
  </w:style>
  <w:style w:type="character" w:customStyle="1" w:styleId="eop">
    <w:name w:val="eop"/>
    <w:basedOn w:val="Fuentedeprrafopredeter"/>
    <w:rsid w:val="0032589F"/>
  </w:style>
  <w:style w:type="paragraph" w:styleId="Prrafodelista">
    <w:name w:val="List Paragraph"/>
    <w:basedOn w:val="Normal"/>
    <w:uiPriority w:val="34"/>
    <w:qFormat/>
    <w:rsid w:val="004B78E6"/>
    <w:pPr>
      <w:ind w:left="720"/>
      <w:contextualSpacing/>
    </w:pPr>
  </w:style>
  <w:style w:type="paragraph" w:styleId="Textonotapie">
    <w:name w:val="footnote text"/>
    <w:basedOn w:val="Normal"/>
    <w:link w:val="TextonotapieCar"/>
    <w:uiPriority w:val="99"/>
    <w:unhideWhenUsed/>
    <w:rsid w:val="008F0A14"/>
    <w:rPr>
      <w:sz w:val="20"/>
      <w:szCs w:val="20"/>
    </w:rPr>
  </w:style>
  <w:style w:type="character" w:customStyle="1" w:styleId="TextonotapieCar">
    <w:name w:val="Texto nota pie Car"/>
    <w:basedOn w:val="Fuentedeprrafopredeter"/>
    <w:link w:val="Textonotapie"/>
    <w:uiPriority w:val="99"/>
    <w:rsid w:val="008F0A14"/>
    <w:rPr>
      <w:rFonts w:ascii="Calibri" w:eastAsia="Calibri" w:hAnsi="Calibri" w:cs="Times New Roman"/>
      <w:sz w:val="20"/>
      <w:szCs w:val="20"/>
      <w:lang w:val="es-ES"/>
    </w:rPr>
  </w:style>
  <w:style w:type="character" w:styleId="Refdenotaalpie">
    <w:name w:val="footnote reference"/>
    <w:uiPriority w:val="99"/>
    <w:semiHidden/>
    <w:unhideWhenUsed/>
    <w:rsid w:val="008F0A14"/>
    <w:rPr>
      <w:vertAlign w:val="superscript"/>
    </w:rPr>
  </w:style>
  <w:style w:type="character" w:styleId="Hipervnculo">
    <w:name w:val="Hyperlink"/>
    <w:basedOn w:val="Fuentedeprrafopredeter"/>
    <w:uiPriority w:val="99"/>
    <w:unhideWhenUsed/>
    <w:rsid w:val="008F0A14"/>
    <w:rPr>
      <w:color w:val="0563C1" w:themeColor="hyperlink"/>
      <w:u w:val="single"/>
    </w:rPr>
  </w:style>
  <w:style w:type="character" w:styleId="Hipervnculovisitado">
    <w:name w:val="FollowedHyperlink"/>
    <w:basedOn w:val="Fuentedeprrafopredeter"/>
    <w:uiPriority w:val="99"/>
    <w:semiHidden/>
    <w:unhideWhenUsed/>
    <w:rsid w:val="00EE5F63"/>
    <w:rPr>
      <w:color w:val="954F72" w:themeColor="followedHyperlink"/>
      <w:u w:val="single"/>
    </w:rPr>
  </w:style>
  <w:style w:type="character" w:styleId="Refdecomentario">
    <w:name w:val="annotation reference"/>
    <w:basedOn w:val="Fuentedeprrafopredeter"/>
    <w:uiPriority w:val="99"/>
    <w:semiHidden/>
    <w:unhideWhenUsed/>
    <w:rsid w:val="00EE5F63"/>
    <w:rPr>
      <w:sz w:val="16"/>
      <w:szCs w:val="16"/>
    </w:rPr>
  </w:style>
  <w:style w:type="paragraph" w:styleId="Textocomentario">
    <w:name w:val="annotation text"/>
    <w:basedOn w:val="Normal"/>
    <w:link w:val="TextocomentarioCar"/>
    <w:uiPriority w:val="99"/>
    <w:unhideWhenUsed/>
    <w:rsid w:val="00EE5F63"/>
    <w:pPr>
      <w:spacing w:line="240" w:lineRule="auto"/>
    </w:pPr>
    <w:rPr>
      <w:sz w:val="20"/>
      <w:szCs w:val="20"/>
    </w:rPr>
  </w:style>
  <w:style w:type="character" w:customStyle="1" w:styleId="TextocomentarioCar">
    <w:name w:val="Texto comentario Car"/>
    <w:basedOn w:val="Fuentedeprrafopredeter"/>
    <w:link w:val="Textocomentario"/>
    <w:uiPriority w:val="99"/>
    <w:rsid w:val="00EE5F63"/>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EE5F63"/>
    <w:rPr>
      <w:b/>
      <w:bCs/>
    </w:rPr>
  </w:style>
  <w:style w:type="character" w:customStyle="1" w:styleId="AsuntodelcomentarioCar">
    <w:name w:val="Asunto del comentario Car"/>
    <w:basedOn w:val="TextocomentarioCar"/>
    <w:link w:val="Asuntodelcomentario"/>
    <w:uiPriority w:val="99"/>
    <w:semiHidden/>
    <w:rsid w:val="00EE5F63"/>
    <w:rPr>
      <w:rFonts w:ascii="Calibri" w:eastAsia="Calibri" w:hAnsi="Calibri" w:cs="Times New Roman"/>
      <w:b/>
      <w:bCs/>
      <w:sz w:val="20"/>
      <w:szCs w:val="20"/>
      <w:lang w:val="es-ES"/>
    </w:rPr>
  </w:style>
  <w:style w:type="character" w:styleId="Mencinsinresolver">
    <w:name w:val="Unresolved Mention"/>
    <w:basedOn w:val="Fuentedeprrafopredeter"/>
    <w:uiPriority w:val="99"/>
    <w:semiHidden/>
    <w:unhideWhenUsed/>
    <w:rsid w:val="00E5708C"/>
    <w:rPr>
      <w:color w:val="605E5C"/>
      <w:shd w:val="clear" w:color="auto" w:fill="E1DFDD"/>
    </w:rPr>
  </w:style>
  <w:style w:type="character" w:customStyle="1" w:styleId="Ttulo1Car">
    <w:name w:val="Título 1 Car"/>
    <w:basedOn w:val="Fuentedeprrafopredeter"/>
    <w:link w:val="Ttulo1"/>
    <w:uiPriority w:val="9"/>
    <w:rsid w:val="00AB0E9C"/>
    <w:rPr>
      <w:rFonts w:asciiTheme="majorHAnsi" w:eastAsiaTheme="majorEastAsia" w:hAnsiTheme="majorHAnsi" w:cstheme="majorBidi"/>
      <w:color w:val="2F5496" w:themeColor="accent1" w:themeShade="BF"/>
      <w:sz w:val="32"/>
      <w:szCs w:val="32"/>
      <w:lang w:val="es-ES"/>
    </w:rPr>
  </w:style>
  <w:style w:type="character" w:customStyle="1" w:styleId="Ninguno">
    <w:name w:val="Ninguno"/>
    <w:rsid w:val="00797645"/>
    <w:rPr>
      <w:lang w:val="es-ES_tradnl"/>
    </w:rPr>
  </w:style>
  <w:style w:type="character" w:customStyle="1" w:styleId="Ttulo2Car">
    <w:name w:val="Título 2 Car"/>
    <w:basedOn w:val="Fuentedeprrafopredeter"/>
    <w:link w:val="Ttulo2"/>
    <w:uiPriority w:val="9"/>
    <w:semiHidden/>
    <w:rsid w:val="00582C95"/>
    <w:rPr>
      <w:rFonts w:asciiTheme="majorHAnsi" w:eastAsiaTheme="majorEastAsia" w:hAnsiTheme="majorHAnsi" w:cstheme="majorBidi"/>
      <w:color w:val="2F5496" w:themeColor="accent1" w:themeShade="BF"/>
      <w:sz w:val="26"/>
      <w:szCs w:val="26"/>
      <w:lang w:val="es-ES"/>
    </w:rPr>
  </w:style>
  <w:style w:type="paragraph" w:styleId="Revisin">
    <w:name w:val="Revision"/>
    <w:hidden/>
    <w:uiPriority w:val="99"/>
    <w:semiHidden/>
    <w:rsid w:val="00CF53EF"/>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8122">
      <w:bodyDiv w:val="1"/>
      <w:marLeft w:val="0"/>
      <w:marRight w:val="0"/>
      <w:marTop w:val="0"/>
      <w:marBottom w:val="0"/>
      <w:divBdr>
        <w:top w:val="none" w:sz="0" w:space="0" w:color="auto"/>
        <w:left w:val="none" w:sz="0" w:space="0" w:color="auto"/>
        <w:bottom w:val="none" w:sz="0" w:space="0" w:color="auto"/>
        <w:right w:val="none" w:sz="0" w:space="0" w:color="auto"/>
      </w:divBdr>
    </w:div>
    <w:div w:id="175580785">
      <w:bodyDiv w:val="1"/>
      <w:marLeft w:val="0"/>
      <w:marRight w:val="0"/>
      <w:marTop w:val="0"/>
      <w:marBottom w:val="0"/>
      <w:divBdr>
        <w:top w:val="none" w:sz="0" w:space="0" w:color="auto"/>
        <w:left w:val="none" w:sz="0" w:space="0" w:color="auto"/>
        <w:bottom w:val="none" w:sz="0" w:space="0" w:color="auto"/>
        <w:right w:val="none" w:sz="0" w:space="0" w:color="auto"/>
      </w:divBdr>
    </w:div>
    <w:div w:id="317921862">
      <w:bodyDiv w:val="1"/>
      <w:marLeft w:val="0"/>
      <w:marRight w:val="0"/>
      <w:marTop w:val="0"/>
      <w:marBottom w:val="0"/>
      <w:divBdr>
        <w:top w:val="none" w:sz="0" w:space="0" w:color="auto"/>
        <w:left w:val="none" w:sz="0" w:space="0" w:color="auto"/>
        <w:bottom w:val="none" w:sz="0" w:space="0" w:color="auto"/>
        <w:right w:val="none" w:sz="0" w:space="0" w:color="auto"/>
      </w:divBdr>
    </w:div>
    <w:div w:id="544104423">
      <w:bodyDiv w:val="1"/>
      <w:marLeft w:val="0"/>
      <w:marRight w:val="0"/>
      <w:marTop w:val="0"/>
      <w:marBottom w:val="0"/>
      <w:divBdr>
        <w:top w:val="none" w:sz="0" w:space="0" w:color="auto"/>
        <w:left w:val="none" w:sz="0" w:space="0" w:color="auto"/>
        <w:bottom w:val="none" w:sz="0" w:space="0" w:color="auto"/>
        <w:right w:val="none" w:sz="0" w:space="0" w:color="auto"/>
      </w:divBdr>
    </w:div>
    <w:div w:id="560752716">
      <w:bodyDiv w:val="1"/>
      <w:marLeft w:val="0"/>
      <w:marRight w:val="0"/>
      <w:marTop w:val="0"/>
      <w:marBottom w:val="0"/>
      <w:divBdr>
        <w:top w:val="none" w:sz="0" w:space="0" w:color="auto"/>
        <w:left w:val="none" w:sz="0" w:space="0" w:color="auto"/>
        <w:bottom w:val="none" w:sz="0" w:space="0" w:color="auto"/>
        <w:right w:val="none" w:sz="0" w:space="0" w:color="auto"/>
      </w:divBdr>
    </w:div>
    <w:div w:id="701977803">
      <w:bodyDiv w:val="1"/>
      <w:marLeft w:val="0"/>
      <w:marRight w:val="0"/>
      <w:marTop w:val="0"/>
      <w:marBottom w:val="0"/>
      <w:divBdr>
        <w:top w:val="none" w:sz="0" w:space="0" w:color="auto"/>
        <w:left w:val="none" w:sz="0" w:space="0" w:color="auto"/>
        <w:bottom w:val="none" w:sz="0" w:space="0" w:color="auto"/>
        <w:right w:val="none" w:sz="0" w:space="0" w:color="auto"/>
      </w:divBdr>
    </w:div>
    <w:div w:id="807865019">
      <w:bodyDiv w:val="1"/>
      <w:marLeft w:val="0"/>
      <w:marRight w:val="0"/>
      <w:marTop w:val="0"/>
      <w:marBottom w:val="0"/>
      <w:divBdr>
        <w:top w:val="none" w:sz="0" w:space="0" w:color="auto"/>
        <w:left w:val="none" w:sz="0" w:space="0" w:color="auto"/>
        <w:bottom w:val="none" w:sz="0" w:space="0" w:color="auto"/>
        <w:right w:val="none" w:sz="0" w:space="0" w:color="auto"/>
      </w:divBdr>
    </w:div>
    <w:div w:id="819224985">
      <w:bodyDiv w:val="1"/>
      <w:marLeft w:val="0"/>
      <w:marRight w:val="0"/>
      <w:marTop w:val="0"/>
      <w:marBottom w:val="0"/>
      <w:divBdr>
        <w:top w:val="none" w:sz="0" w:space="0" w:color="auto"/>
        <w:left w:val="none" w:sz="0" w:space="0" w:color="auto"/>
        <w:bottom w:val="none" w:sz="0" w:space="0" w:color="auto"/>
        <w:right w:val="none" w:sz="0" w:space="0" w:color="auto"/>
      </w:divBdr>
    </w:div>
    <w:div w:id="838546076">
      <w:bodyDiv w:val="1"/>
      <w:marLeft w:val="0"/>
      <w:marRight w:val="0"/>
      <w:marTop w:val="0"/>
      <w:marBottom w:val="0"/>
      <w:divBdr>
        <w:top w:val="none" w:sz="0" w:space="0" w:color="auto"/>
        <w:left w:val="none" w:sz="0" w:space="0" w:color="auto"/>
        <w:bottom w:val="none" w:sz="0" w:space="0" w:color="auto"/>
        <w:right w:val="none" w:sz="0" w:space="0" w:color="auto"/>
      </w:divBdr>
    </w:div>
    <w:div w:id="921257788">
      <w:bodyDiv w:val="1"/>
      <w:marLeft w:val="0"/>
      <w:marRight w:val="0"/>
      <w:marTop w:val="0"/>
      <w:marBottom w:val="0"/>
      <w:divBdr>
        <w:top w:val="none" w:sz="0" w:space="0" w:color="auto"/>
        <w:left w:val="none" w:sz="0" w:space="0" w:color="auto"/>
        <w:bottom w:val="none" w:sz="0" w:space="0" w:color="auto"/>
        <w:right w:val="none" w:sz="0" w:space="0" w:color="auto"/>
      </w:divBdr>
      <w:divsChild>
        <w:div w:id="1844851453">
          <w:marLeft w:val="0"/>
          <w:marRight w:val="0"/>
          <w:marTop w:val="0"/>
          <w:marBottom w:val="0"/>
          <w:divBdr>
            <w:top w:val="none" w:sz="0" w:space="0" w:color="auto"/>
            <w:left w:val="none" w:sz="0" w:space="0" w:color="auto"/>
            <w:bottom w:val="none" w:sz="0" w:space="0" w:color="auto"/>
            <w:right w:val="none" w:sz="0" w:space="0" w:color="auto"/>
          </w:divBdr>
        </w:div>
      </w:divsChild>
    </w:div>
    <w:div w:id="933243526">
      <w:bodyDiv w:val="1"/>
      <w:marLeft w:val="0"/>
      <w:marRight w:val="0"/>
      <w:marTop w:val="0"/>
      <w:marBottom w:val="0"/>
      <w:divBdr>
        <w:top w:val="none" w:sz="0" w:space="0" w:color="auto"/>
        <w:left w:val="none" w:sz="0" w:space="0" w:color="auto"/>
        <w:bottom w:val="none" w:sz="0" w:space="0" w:color="auto"/>
        <w:right w:val="none" w:sz="0" w:space="0" w:color="auto"/>
      </w:divBdr>
    </w:div>
    <w:div w:id="1033731158">
      <w:bodyDiv w:val="1"/>
      <w:marLeft w:val="0"/>
      <w:marRight w:val="0"/>
      <w:marTop w:val="0"/>
      <w:marBottom w:val="0"/>
      <w:divBdr>
        <w:top w:val="none" w:sz="0" w:space="0" w:color="auto"/>
        <w:left w:val="none" w:sz="0" w:space="0" w:color="auto"/>
        <w:bottom w:val="none" w:sz="0" w:space="0" w:color="auto"/>
        <w:right w:val="none" w:sz="0" w:space="0" w:color="auto"/>
      </w:divBdr>
    </w:div>
    <w:div w:id="1056978740">
      <w:bodyDiv w:val="1"/>
      <w:marLeft w:val="0"/>
      <w:marRight w:val="0"/>
      <w:marTop w:val="0"/>
      <w:marBottom w:val="0"/>
      <w:divBdr>
        <w:top w:val="none" w:sz="0" w:space="0" w:color="auto"/>
        <w:left w:val="none" w:sz="0" w:space="0" w:color="auto"/>
        <w:bottom w:val="none" w:sz="0" w:space="0" w:color="auto"/>
        <w:right w:val="none" w:sz="0" w:space="0" w:color="auto"/>
      </w:divBdr>
    </w:div>
    <w:div w:id="1113598254">
      <w:bodyDiv w:val="1"/>
      <w:marLeft w:val="0"/>
      <w:marRight w:val="0"/>
      <w:marTop w:val="0"/>
      <w:marBottom w:val="0"/>
      <w:divBdr>
        <w:top w:val="none" w:sz="0" w:space="0" w:color="auto"/>
        <w:left w:val="none" w:sz="0" w:space="0" w:color="auto"/>
        <w:bottom w:val="none" w:sz="0" w:space="0" w:color="auto"/>
        <w:right w:val="none" w:sz="0" w:space="0" w:color="auto"/>
      </w:divBdr>
    </w:div>
    <w:div w:id="1186211416">
      <w:bodyDiv w:val="1"/>
      <w:marLeft w:val="0"/>
      <w:marRight w:val="0"/>
      <w:marTop w:val="0"/>
      <w:marBottom w:val="0"/>
      <w:divBdr>
        <w:top w:val="none" w:sz="0" w:space="0" w:color="auto"/>
        <w:left w:val="none" w:sz="0" w:space="0" w:color="auto"/>
        <w:bottom w:val="none" w:sz="0" w:space="0" w:color="auto"/>
        <w:right w:val="none" w:sz="0" w:space="0" w:color="auto"/>
      </w:divBdr>
    </w:div>
    <w:div w:id="1525632252">
      <w:bodyDiv w:val="1"/>
      <w:marLeft w:val="0"/>
      <w:marRight w:val="0"/>
      <w:marTop w:val="0"/>
      <w:marBottom w:val="0"/>
      <w:divBdr>
        <w:top w:val="none" w:sz="0" w:space="0" w:color="auto"/>
        <w:left w:val="none" w:sz="0" w:space="0" w:color="auto"/>
        <w:bottom w:val="none" w:sz="0" w:space="0" w:color="auto"/>
        <w:right w:val="none" w:sz="0" w:space="0" w:color="auto"/>
      </w:divBdr>
    </w:div>
    <w:div w:id="1764763512">
      <w:bodyDiv w:val="1"/>
      <w:marLeft w:val="0"/>
      <w:marRight w:val="0"/>
      <w:marTop w:val="0"/>
      <w:marBottom w:val="0"/>
      <w:divBdr>
        <w:top w:val="none" w:sz="0" w:space="0" w:color="auto"/>
        <w:left w:val="none" w:sz="0" w:space="0" w:color="auto"/>
        <w:bottom w:val="none" w:sz="0" w:space="0" w:color="auto"/>
        <w:right w:val="none" w:sz="0" w:space="0" w:color="auto"/>
      </w:divBdr>
    </w:div>
    <w:div w:id="1841701020">
      <w:bodyDiv w:val="1"/>
      <w:marLeft w:val="0"/>
      <w:marRight w:val="0"/>
      <w:marTop w:val="0"/>
      <w:marBottom w:val="0"/>
      <w:divBdr>
        <w:top w:val="none" w:sz="0" w:space="0" w:color="auto"/>
        <w:left w:val="none" w:sz="0" w:space="0" w:color="auto"/>
        <w:bottom w:val="none" w:sz="0" w:space="0" w:color="auto"/>
        <w:right w:val="none" w:sz="0" w:space="0" w:color="auto"/>
      </w:divBdr>
    </w:div>
    <w:div w:id="1888446120">
      <w:bodyDiv w:val="1"/>
      <w:marLeft w:val="0"/>
      <w:marRight w:val="0"/>
      <w:marTop w:val="0"/>
      <w:marBottom w:val="0"/>
      <w:divBdr>
        <w:top w:val="none" w:sz="0" w:space="0" w:color="auto"/>
        <w:left w:val="none" w:sz="0" w:space="0" w:color="auto"/>
        <w:bottom w:val="none" w:sz="0" w:space="0" w:color="auto"/>
        <w:right w:val="none" w:sz="0" w:space="0" w:color="auto"/>
      </w:divBdr>
    </w:div>
    <w:div w:id="2004699196">
      <w:bodyDiv w:val="1"/>
      <w:marLeft w:val="0"/>
      <w:marRight w:val="0"/>
      <w:marTop w:val="0"/>
      <w:marBottom w:val="0"/>
      <w:divBdr>
        <w:top w:val="none" w:sz="0" w:space="0" w:color="auto"/>
        <w:left w:val="none" w:sz="0" w:space="0" w:color="auto"/>
        <w:bottom w:val="none" w:sz="0" w:space="0" w:color="auto"/>
        <w:right w:val="none" w:sz="0" w:space="0" w:color="auto"/>
      </w:divBdr>
    </w:div>
    <w:div w:id="2022467036">
      <w:bodyDiv w:val="1"/>
      <w:marLeft w:val="0"/>
      <w:marRight w:val="0"/>
      <w:marTop w:val="0"/>
      <w:marBottom w:val="0"/>
      <w:divBdr>
        <w:top w:val="none" w:sz="0" w:space="0" w:color="auto"/>
        <w:left w:val="none" w:sz="0" w:space="0" w:color="auto"/>
        <w:bottom w:val="none" w:sz="0" w:space="0" w:color="auto"/>
        <w:right w:val="none" w:sz="0" w:space="0" w:color="auto"/>
      </w:divBdr>
    </w:div>
    <w:div w:id="2023044619">
      <w:bodyDiv w:val="1"/>
      <w:marLeft w:val="0"/>
      <w:marRight w:val="0"/>
      <w:marTop w:val="0"/>
      <w:marBottom w:val="0"/>
      <w:divBdr>
        <w:top w:val="none" w:sz="0" w:space="0" w:color="auto"/>
        <w:left w:val="none" w:sz="0" w:space="0" w:color="auto"/>
        <w:bottom w:val="none" w:sz="0" w:space="0" w:color="auto"/>
        <w:right w:val="none" w:sz="0" w:space="0" w:color="auto"/>
      </w:divBdr>
    </w:div>
    <w:div w:id="2043162868">
      <w:bodyDiv w:val="1"/>
      <w:marLeft w:val="0"/>
      <w:marRight w:val="0"/>
      <w:marTop w:val="0"/>
      <w:marBottom w:val="0"/>
      <w:divBdr>
        <w:top w:val="none" w:sz="0" w:space="0" w:color="auto"/>
        <w:left w:val="none" w:sz="0" w:space="0" w:color="auto"/>
        <w:bottom w:val="none" w:sz="0" w:space="0" w:color="auto"/>
        <w:right w:val="none" w:sz="0" w:space="0" w:color="auto"/>
      </w:divBdr>
    </w:div>
    <w:div w:id="214094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eva/gestornormativo/norma.php?i=17139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C2A0B-6BA8-4479-9443-207E37FA7D90}">
  <ds:schemaRefs>
    <ds:schemaRef ds:uri="http://schemas.openxmlformats.org/officeDocument/2006/bibliography"/>
  </ds:schemaRefs>
</ds:datastoreItem>
</file>

<file path=customXml/itemProps2.xml><?xml version="1.0" encoding="utf-8"?>
<ds:datastoreItem xmlns:ds="http://schemas.openxmlformats.org/officeDocument/2006/customXml" ds:itemID="{6CA0C71B-5F16-4AC1-A0A8-740B113C1D19}">
  <ds:schemaRefs>
    <ds:schemaRef ds:uri="http://schemas.microsoft.com/office/2006/metadata/properties"/>
    <ds:schemaRef ds:uri="http://schemas.microsoft.com/office/infopath/2007/PartnerControls"/>
    <ds:schemaRef ds:uri="f591d60a-2ca2-4f72-bf37-5f6cc3d2c449"/>
    <ds:schemaRef ds:uri="b1350fd5-db96-46fa-87dd-50d37db27696"/>
  </ds:schemaRefs>
</ds:datastoreItem>
</file>

<file path=customXml/itemProps3.xml><?xml version="1.0" encoding="utf-8"?>
<ds:datastoreItem xmlns:ds="http://schemas.openxmlformats.org/officeDocument/2006/customXml" ds:itemID="{74BD2059-DBB6-4021-A9B1-0F658C4311CD}"/>
</file>

<file path=customXml/itemProps4.xml><?xml version="1.0" encoding="utf-8"?>
<ds:datastoreItem xmlns:ds="http://schemas.openxmlformats.org/officeDocument/2006/customXml" ds:itemID="{5DF521C9-2E90-4F4F-BBCB-CB26540D4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2401</Words>
  <Characters>13208</Characters>
  <Application>Microsoft Office Word</Application>
  <DocSecurity>0</DocSecurity>
  <Lines>110</Lines>
  <Paragraphs>31</Paragraphs>
  <ScaleCrop>false</ScaleCrop>
  <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Elly Yein Passos Guerrero</dc:creator>
  <cp:lastModifiedBy>Jose Patricio Lizca Alvarez</cp:lastModifiedBy>
  <cp:revision>4</cp:revision>
  <cp:lastPrinted>2023-12-11T19:54:00Z</cp:lastPrinted>
  <dcterms:created xsi:type="dcterms:W3CDTF">2026-04-15T20:24:00Z</dcterms:created>
  <dcterms:modified xsi:type="dcterms:W3CDTF">2026-05-05T19:18:00Z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y fmtid="{D5CDD505-2E9C-101B-9397-08002B2CF9AE}" pid="3" name="MediaServiceImageTags">
    <vt:lpwstr/>
  </property>
</Properties>
</file>