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1283" w14:textId="095DBA9B" w:rsidR="00156950" w:rsidRPr="00156950" w:rsidRDefault="00156950" w:rsidP="00DA5E31">
      <w:pPr>
        <w:jc w:val="center"/>
        <w:rPr>
          <w:rFonts w:ascii="Verdana" w:hAnsi="Verdana"/>
          <w:sz w:val="22"/>
          <w:szCs w:val="22"/>
        </w:rPr>
      </w:pPr>
      <w:r w:rsidRPr="00156950">
        <w:rPr>
          <w:rFonts w:ascii="Verdana" w:hAnsi="Verdana"/>
          <w:b/>
          <w:bCs/>
          <w:sz w:val="22"/>
          <w:szCs w:val="22"/>
        </w:rPr>
        <w:t>CONCEPTO 2 DE 2018</w:t>
      </w:r>
    </w:p>
    <w:p w14:paraId="10C9F3C0" w14:textId="77777777" w:rsidR="00156950" w:rsidRPr="00156950" w:rsidRDefault="00156950" w:rsidP="00DA5E31">
      <w:pPr>
        <w:jc w:val="center"/>
        <w:rPr>
          <w:rFonts w:ascii="Verdana" w:hAnsi="Verdana"/>
          <w:sz w:val="22"/>
          <w:szCs w:val="22"/>
        </w:rPr>
      </w:pPr>
      <w:r w:rsidRPr="00156950">
        <w:rPr>
          <w:rFonts w:ascii="Verdana" w:hAnsi="Verdana"/>
          <w:sz w:val="22"/>
          <w:szCs w:val="22"/>
        </w:rPr>
        <w:t>(enero 18)</w:t>
      </w:r>
    </w:p>
    <w:p w14:paraId="349D680C" w14:textId="77777777" w:rsidR="00156950" w:rsidRPr="00156950" w:rsidRDefault="00156950" w:rsidP="00DA5E31">
      <w:pPr>
        <w:jc w:val="center"/>
        <w:rPr>
          <w:rFonts w:ascii="Verdana" w:hAnsi="Verdana"/>
          <w:sz w:val="22"/>
          <w:szCs w:val="22"/>
        </w:rPr>
      </w:pPr>
      <w:r w:rsidRPr="00156950">
        <w:rPr>
          <w:rFonts w:ascii="Verdana" w:hAnsi="Verdana"/>
          <w:b/>
          <w:bCs/>
          <w:sz w:val="22"/>
          <w:szCs w:val="22"/>
        </w:rPr>
        <w:t>INSTITUTO COLOMBIANO DE BIENESTAR FAMILIAR</w:t>
      </w:r>
    </w:p>
    <w:p w14:paraId="24DE15EC" w14:textId="77777777" w:rsidR="00156950" w:rsidRPr="00156950" w:rsidRDefault="00156950" w:rsidP="00DA5E31">
      <w:pPr>
        <w:jc w:val="both"/>
        <w:rPr>
          <w:rFonts w:ascii="Verdana" w:hAnsi="Verdana"/>
          <w:sz w:val="22"/>
          <w:szCs w:val="22"/>
        </w:rPr>
      </w:pPr>
      <w:r w:rsidRPr="00156950">
        <w:rPr>
          <w:rFonts w:ascii="Verdana" w:hAnsi="Verdana"/>
          <w:b/>
          <w:bCs/>
          <w:sz w:val="22"/>
          <w:szCs w:val="22"/>
        </w:rPr>
        <w:t>ASUNTO: </w:t>
      </w:r>
      <w:r w:rsidRPr="00156950">
        <w:rPr>
          <w:rFonts w:ascii="Verdana" w:hAnsi="Verdana"/>
          <w:sz w:val="22"/>
          <w:szCs w:val="22"/>
        </w:rPr>
        <w:t>Consulta sobre el trámite que deben adelantar las Comisarías de Familia para el restablecimiento de los derechos de los niños, niñas y adolescentes</w:t>
      </w:r>
    </w:p>
    <w:p w14:paraId="76FBCB88" w14:textId="33EE0A52" w:rsidR="00156950" w:rsidRPr="00156950" w:rsidRDefault="00156950" w:rsidP="00DA5E31">
      <w:pPr>
        <w:jc w:val="both"/>
        <w:rPr>
          <w:rFonts w:ascii="Verdana" w:hAnsi="Verdana"/>
          <w:sz w:val="22"/>
          <w:szCs w:val="22"/>
        </w:rPr>
      </w:pPr>
      <w:r w:rsidRPr="00156950">
        <w:rPr>
          <w:rFonts w:ascii="Verdana" w:hAnsi="Verdana"/>
          <w:sz w:val="22"/>
          <w:szCs w:val="22"/>
        </w:rPr>
        <w:t>De manera atenta, en relación con el apunto de la referencia, en los términos previstos en los artículos </w:t>
      </w:r>
      <w:r w:rsidRPr="00DA5E31">
        <w:rPr>
          <w:rFonts w:ascii="Verdana" w:hAnsi="Verdana"/>
          <w:sz w:val="22"/>
          <w:szCs w:val="22"/>
        </w:rPr>
        <w:t>26</w:t>
      </w:r>
      <w:r w:rsidRPr="00156950">
        <w:rPr>
          <w:rFonts w:ascii="Verdana" w:hAnsi="Verdana"/>
          <w:sz w:val="22"/>
          <w:szCs w:val="22"/>
        </w:rPr>
        <w:t> del Código Civil, artículos </w:t>
      </w:r>
      <w:r w:rsidRPr="00DA5E31">
        <w:rPr>
          <w:rFonts w:ascii="Verdana" w:hAnsi="Verdana"/>
          <w:sz w:val="22"/>
          <w:szCs w:val="22"/>
        </w:rPr>
        <w:t>26</w:t>
      </w:r>
      <w:r w:rsidRPr="00156950">
        <w:rPr>
          <w:rFonts w:ascii="Verdana" w:hAnsi="Verdana"/>
          <w:sz w:val="22"/>
          <w:szCs w:val="22"/>
        </w:rPr>
        <w:t> del Código Civil, Ley </w:t>
      </w:r>
      <w:r w:rsidRPr="00DA5E31">
        <w:rPr>
          <w:rFonts w:ascii="Verdana" w:hAnsi="Verdana"/>
          <w:sz w:val="22"/>
          <w:szCs w:val="22"/>
        </w:rPr>
        <w:t>1755</w:t>
      </w:r>
      <w:r w:rsidRPr="00156950">
        <w:rPr>
          <w:rFonts w:ascii="Verdana" w:hAnsi="Verdana"/>
          <w:sz w:val="22"/>
          <w:szCs w:val="22"/>
        </w:rPr>
        <w:t> de 2015, y numeral 4 del artículo </w:t>
      </w:r>
      <w:r w:rsidRPr="00DA5E31">
        <w:rPr>
          <w:rFonts w:ascii="Verdana" w:hAnsi="Verdana"/>
          <w:sz w:val="22"/>
          <w:szCs w:val="22"/>
        </w:rPr>
        <w:t>6</w:t>
      </w:r>
      <w:r w:rsidRPr="00156950">
        <w:rPr>
          <w:rFonts w:ascii="Verdana" w:hAnsi="Verdana"/>
          <w:sz w:val="22"/>
          <w:szCs w:val="22"/>
        </w:rPr>
        <w:t> del Decreto 987 de 202&lt;SIC Decreto 987 de 2012&gt;, se procede a emitir concepto en los siguientes términos:</w:t>
      </w:r>
    </w:p>
    <w:p w14:paraId="34BC2794" w14:textId="77777777" w:rsidR="00156950" w:rsidRPr="00156950" w:rsidRDefault="00156950" w:rsidP="00DA5E31">
      <w:pPr>
        <w:jc w:val="both"/>
        <w:rPr>
          <w:rFonts w:ascii="Verdana" w:hAnsi="Verdana"/>
          <w:sz w:val="22"/>
          <w:szCs w:val="22"/>
        </w:rPr>
      </w:pPr>
      <w:r w:rsidRPr="00156950">
        <w:rPr>
          <w:rFonts w:ascii="Verdana" w:hAnsi="Verdana"/>
          <w:b/>
          <w:bCs/>
          <w:sz w:val="22"/>
          <w:szCs w:val="22"/>
        </w:rPr>
        <w:t>1. PROBLEMA JURÍDICO</w:t>
      </w:r>
    </w:p>
    <w:p w14:paraId="31472651" w14:textId="77777777" w:rsidR="00156950" w:rsidRPr="00156950" w:rsidRDefault="00156950" w:rsidP="00DA5E31">
      <w:pPr>
        <w:jc w:val="both"/>
        <w:rPr>
          <w:rFonts w:ascii="Verdana" w:hAnsi="Verdana"/>
          <w:sz w:val="22"/>
          <w:szCs w:val="22"/>
        </w:rPr>
      </w:pPr>
      <w:r w:rsidRPr="00156950">
        <w:rPr>
          <w:rFonts w:ascii="Verdana" w:hAnsi="Verdana"/>
          <w:sz w:val="22"/>
          <w:szCs w:val="22"/>
        </w:rPr>
        <w:t>¿Cuál es la competencia de las Comisarías de Familia para el restablecimiento de derechos de un niño, niña o adolescente que tiene sus derechos amenazados, inobservados o vulnerados?</w:t>
      </w:r>
    </w:p>
    <w:p w14:paraId="1195CB31" w14:textId="77777777" w:rsidR="00156950" w:rsidRPr="00156950" w:rsidRDefault="00156950" w:rsidP="00DA5E31">
      <w:pPr>
        <w:jc w:val="both"/>
        <w:rPr>
          <w:rFonts w:ascii="Verdana" w:hAnsi="Verdana"/>
          <w:sz w:val="22"/>
          <w:szCs w:val="22"/>
        </w:rPr>
      </w:pPr>
      <w:r w:rsidRPr="00156950">
        <w:rPr>
          <w:rFonts w:ascii="Verdana" w:hAnsi="Verdana"/>
          <w:b/>
          <w:bCs/>
          <w:sz w:val="22"/>
          <w:szCs w:val="22"/>
        </w:rPr>
        <w:t>2. ANÁLISIS DEL PROBLEMA JURÍDICO</w:t>
      </w:r>
    </w:p>
    <w:p w14:paraId="3AA0E181" w14:textId="77777777" w:rsidR="00156950" w:rsidRPr="00156950" w:rsidRDefault="00156950" w:rsidP="00DA5E31">
      <w:pPr>
        <w:jc w:val="both"/>
        <w:rPr>
          <w:rFonts w:ascii="Verdana" w:hAnsi="Verdana"/>
          <w:sz w:val="22"/>
          <w:szCs w:val="22"/>
        </w:rPr>
      </w:pPr>
      <w:r w:rsidRPr="00156950">
        <w:rPr>
          <w:rFonts w:ascii="Verdana" w:hAnsi="Verdana"/>
          <w:sz w:val="22"/>
          <w:szCs w:val="22"/>
        </w:rPr>
        <w:t>Metodológicamente estudiaremos: 2.1 La Naturaleza y funciones de las Comisarías de Familia; 2.2. Funciones de las Comisarías de familia como Autoridad Administrativa de Restablecimiento de Derechos.</w:t>
      </w:r>
    </w:p>
    <w:p w14:paraId="48F7EF60" w14:textId="77777777" w:rsidR="00156950" w:rsidRPr="00156950" w:rsidRDefault="00156950" w:rsidP="00DA5E31">
      <w:pPr>
        <w:jc w:val="both"/>
        <w:rPr>
          <w:rFonts w:ascii="Verdana" w:hAnsi="Verdana"/>
          <w:sz w:val="22"/>
          <w:szCs w:val="22"/>
        </w:rPr>
      </w:pPr>
      <w:r w:rsidRPr="00156950">
        <w:rPr>
          <w:rFonts w:ascii="Verdana" w:hAnsi="Verdana"/>
          <w:b/>
          <w:bCs/>
          <w:sz w:val="22"/>
          <w:szCs w:val="22"/>
          <w:u w:val="single"/>
        </w:rPr>
        <w:t>2.1. Naturaleza v funciones de las Comisarias de Familia</w:t>
      </w:r>
    </w:p>
    <w:p w14:paraId="6AA703B9" w14:textId="276A76A4" w:rsidR="00156950" w:rsidRPr="00156950" w:rsidRDefault="00156950" w:rsidP="00DA5E31">
      <w:pPr>
        <w:jc w:val="both"/>
        <w:rPr>
          <w:rFonts w:ascii="Verdana" w:hAnsi="Verdana"/>
          <w:sz w:val="22"/>
          <w:szCs w:val="22"/>
        </w:rPr>
      </w:pPr>
      <w:r w:rsidRPr="00156950">
        <w:rPr>
          <w:rFonts w:ascii="Verdana" w:hAnsi="Verdana"/>
          <w:sz w:val="22"/>
          <w:szCs w:val="22"/>
        </w:rPr>
        <w:t>Las Comisarías de Familia fueron creadas por el Decreto 2737 de 1981,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r w:rsidRPr="00DA5E31">
        <w:rPr>
          <w:rFonts w:ascii="Verdana" w:hAnsi="Verdana"/>
          <w:b/>
          <w:bCs/>
          <w:sz w:val="22"/>
          <w:szCs w:val="22"/>
          <w:vertAlign w:val="superscript"/>
        </w:rPr>
        <w:t>(1)</w:t>
      </w:r>
    </w:p>
    <w:p w14:paraId="2446C5D9" w14:textId="489A6715" w:rsidR="00156950" w:rsidRPr="00156950" w:rsidRDefault="00156950" w:rsidP="00DA5E31">
      <w:pPr>
        <w:jc w:val="both"/>
        <w:rPr>
          <w:rFonts w:ascii="Verdana" w:hAnsi="Verdana"/>
          <w:sz w:val="22"/>
          <w:szCs w:val="22"/>
        </w:rPr>
      </w:pPr>
      <w:r w:rsidRPr="00156950">
        <w:rPr>
          <w:rFonts w:ascii="Verdana" w:hAnsi="Verdana"/>
          <w:sz w:val="22"/>
          <w:szCs w:val="22"/>
        </w:rPr>
        <w:t>Como Autoridad Administrativa con fundones Judiciales le corresponde a las Comisarias de Familia recibir y tramitar las solicitudes de protección que formulen los ciudadanos o ciudadanas por hechos de violencia intrafamiliar, de conformidad con las Leyes </w:t>
      </w:r>
      <w:r w:rsidRPr="00DA5E31">
        <w:rPr>
          <w:rFonts w:ascii="Verdana" w:hAnsi="Verdana"/>
          <w:sz w:val="22"/>
          <w:szCs w:val="22"/>
        </w:rPr>
        <w:t>294</w:t>
      </w:r>
      <w:r w:rsidRPr="00156950">
        <w:rPr>
          <w:rFonts w:ascii="Verdana" w:hAnsi="Verdana"/>
          <w:sz w:val="22"/>
          <w:szCs w:val="22"/>
        </w:rPr>
        <w:t> de 1996, 575 de 2000 reglamentada por el Decreto </w:t>
      </w:r>
      <w:r w:rsidRPr="00DA5E31">
        <w:rPr>
          <w:rFonts w:ascii="Verdana" w:hAnsi="Verdana"/>
          <w:sz w:val="22"/>
          <w:szCs w:val="22"/>
        </w:rPr>
        <w:t>652</w:t>
      </w:r>
      <w:r w:rsidRPr="00156950">
        <w:rPr>
          <w:rFonts w:ascii="Verdana" w:hAnsi="Verdana"/>
          <w:sz w:val="22"/>
          <w:szCs w:val="22"/>
        </w:rPr>
        <w:t> de 2001 y Ley </w:t>
      </w:r>
      <w:r w:rsidRPr="00DA5E31">
        <w:rPr>
          <w:rFonts w:ascii="Verdana" w:hAnsi="Verdana"/>
          <w:sz w:val="22"/>
          <w:szCs w:val="22"/>
        </w:rPr>
        <w:t>1257</w:t>
      </w:r>
      <w:r w:rsidRPr="00156950">
        <w:rPr>
          <w:rFonts w:ascii="Verdana" w:hAnsi="Verdana"/>
          <w:sz w:val="22"/>
          <w:szCs w:val="22"/>
        </w:rPr>
        <w:t> de 2008, lo dispuesto en los numerales 1, 4 y 5 del Artículo </w:t>
      </w:r>
      <w:r w:rsidRPr="00DA5E31">
        <w:rPr>
          <w:rFonts w:ascii="Verdana" w:hAnsi="Verdana"/>
          <w:sz w:val="22"/>
          <w:szCs w:val="22"/>
        </w:rPr>
        <w:t>86</w:t>
      </w:r>
      <w:r w:rsidRPr="00156950">
        <w:rPr>
          <w:rFonts w:ascii="Verdana" w:hAnsi="Verdana"/>
          <w:sz w:val="22"/>
          <w:szCs w:val="22"/>
        </w:rPr>
        <w:t> de la Ley 1098 de 2006 y Decreto </w:t>
      </w:r>
      <w:r w:rsidRPr="00DA5E31">
        <w:rPr>
          <w:rFonts w:ascii="Verdana" w:hAnsi="Verdana"/>
          <w:sz w:val="22"/>
          <w:szCs w:val="22"/>
        </w:rPr>
        <w:t>1069</w:t>
      </w:r>
      <w:r w:rsidRPr="00156950">
        <w:rPr>
          <w:rFonts w:ascii="Verdana" w:hAnsi="Verdana"/>
          <w:sz w:val="22"/>
          <w:szCs w:val="22"/>
        </w:rPr>
        <w:t> de 2015 (Decreto único reglamentario del sector justicia y del derecho).</w:t>
      </w:r>
    </w:p>
    <w:p w14:paraId="4A20D00D" w14:textId="1D4239CB" w:rsidR="00156950" w:rsidRPr="00156950" w:rsidRDefault="00156950" w:rsidP="00DA5E31">
      <w:pPr>
        <w:jc w:val="both"/>
        <w:rPr>
          <w:rFonts w:ascii="Verdana" w:hAnsi="Verdana"/>
          <w:sz w:val="22"/>
          <w:szCs w:val="22"/>
        </w:rPr>
      </w:pPr>
      <w:r w:rsidRPr="00156950">
        <w:rPr>
          <w:rFonts w:ascii="Verdana" w:hAnsi="Verdana"/>
          <w:sz w:val="22"/>
          <w:szCs w:val="22"/>
        </w:rPr>
        <w:t>Como autoridad Administrativa de orden policivo ejercen la vigilancia, protección, promoción, control y sanción en relación con las normas protectoras de la familia, la niñez, la mujer, la juventud y la tercera edad, de conformidad con el numeral 9 del artículo </w:t>
      </w:r>
      <w:r w:rsidRPr="00DA5E31">
        <w:rPr>
          <w:rFonts w:ascii="Verdana" w:hAnsi="Verdana"/>
          <w:sz w:val="22"/>
          <w:szCs w:val="22"/>
        </w:rPr>
        <w:t>86</w:t>
      </w:r>
      <w:r w:rsidRPr="00156950">
        <w:rPr>
          <w:rFonts w:ascii="Verdana" w:hAnsi="Verdana"/>
          <w:sz w:val="22"/>
          <w:szCs w:val="22"/>
        </w:rPr>
        <w:t>, en concordancia con los arts. </w:t>
      </w:r>
      <w:r w:rsidRPr="00DA5E31">
        <w:rPr>
          <w:rFonts w:ascii="Verdana" w:hAnsi="Verdana"/>
          <w:sz w:val="22"/>
          <w:szCs w:val="22"/>
        </w:rPr>
        <w:t>106</w:t>
      </w:r>
      <w:r w:rsidRPr="00156950">
        <w:rPr>
          <w:rFonts w:ascii="Verdana" w:hAnsi="Verdana"/>
          <w:sz w:val="22"/>
          <w:szCs w:val="22"/>
        </w:rPr>
        <w:t> y </w:t>
      </w:r>
      <w:r w:rsidRPr="00DA5E31">
        <w:rPr>
          <w:rFonts w:ascii="Verdana" w:hAnsi="Verdana"/>
          <w:sz w:val="22"/>
          <w:szCs w:val="22"/>
        </w:rPr>
        <w:t>190</w:t>
      </w:r>
      <w:r w:rsidRPr="00156950">
        <w:rPr>
          <w:rFonts w:ascii="Verdana" w:hAnsi="Verdana"/>
          <w:sz w:val="22"/>
          <w:szCs w:val="22"/>
        </w:rPr>
        <w:t xml:space="preserve"> de la </w:t>
      </w:r>
      <w:r w:rsidRPr="00156950">
        <w:rPr>
          <w:rFonts w:ascii="Verdana" w:hAnsi="Verdana"/>
          <w:sz w:val="22"/>
          <w:szCs w:val="22"/>
        </w:rPr>
        <w:lastRenderedPageBreak/>
        <w:t>Ley 1098 de 2006 y Código General del Proceso y de acuerdo a las funciones o a las competencias que en cada caso particular le asignen los Concejos municipales o distritales.</w:t>
      </w:r>
    </w:p>
    <w:p w14:paraId="67DA61BB" w14:textId="77777777" w:rsidR="00156950" w:rsidRPr="00156950" w:rsidRDefault="00156950" w:rsidP="00DA5E31">
      <w:pPr>
        <w:jc w:val="both"/>
        <w:rPr>
          <w:rFonts w:ascii="Verdana" w:hAnsi="Verdana"/>
          <w:sz w:val="22"/>
          <w:szCs w:val="22"/>
        </w:rPr>
      </w:pPr>
      <w:r w:rsidRPr="00156950">
        <w:rPr>
          <w:rFonts w:ascii="Verdana" w:hAnsi="Verdana"/>
          <w:b/>
          <w:bCs/>
          <w:sz w:val="22"/>
          <w:szCs w:val="22"/>
          <w:u w:val="single"/>
        </w:rPr>
        <w:t>2.2. Funciones de las Comisarías de Familia como Autoridad Administrativa de Restablecimiento de Derechos</w:t>
      </w:r>
    </w:p>
    <w:p w14:paraId="3FE42910" w14:textId="2CDE4DE1" w:rsidR="00156950" w:rsidRPr="00156950" w:rsidRDefault="00156950" w:rsidP="00DA5E31">
      <w:pPr>
        <w:jc w:val="both"/>
        <w:rPr>
          <w:rFonts w:ascii="Verdana" w:hAnsi="Verdana"/>
          <w:sz w:val="22"/>
          <w:szCs w:val="22"/>
        </w:rPr>
      </w:pPr>
      <w:r w:rsidRPr="00156950">
        <w:rPr>
          <w:rFonts w:ascii="Verdana" w:hAnsi="Verdana"/>
          <w:sz w:val="22"/>
          <w:szCs w:val="22"/>
        </w:rPr>
        <w:t>Como Autoridad Administrativa de Restablecimiento de Derechos y en cumplimiento de esta competencia, a los Comisarios de Familia les Corresponde procurar y promover la realización y el restablecimiento de los derechos reconocidos en los tratados internacionales, en la Constitución Política, en el Código de la Infancia y la Adolescencia, en concordancia con lo dispuesto en el Decreto </w:t>
      </w:r>
      <w:r w:rsidRPr="00DA5E31">
        <w:rPr>
          <w:rFonts w:ascii="Verdana" w:hAnsi="Verdana"/>
          <w:sz w:val="22"/>
          <w:szCs w:val="22"/>
        </w:rPr>
        <w:t>1069</w:t>
      </w:r>
      <w:r w:rsidRPr="00156950">
        <w:rPr>
          <w:rFonts w:ascii="Verdana" w:hAnsi="Verdana"/>
          <w:sz w:val="22"/>
          <w:szCs w:val="22"/>
        </w:rPr>
        <w:t> de 2015.</w:t>
      </w:r>
    </w:p>
    <w:p w14:paraId="2F081465" w14:textId="5615A18C" w:rsidR="00156950" w:rsidRPr="00156950" w:rsidRDefault="00156950" w:rsidP="00DA5E31">
      <w:pPr>
        <w:jc w:val="both"/>
        <w:rPr>
          <w:rFonts w:ascii="Verdana" w:hAnsi="Verdana"/>
          <w:sz w:val="22"/>
          <w:szCs w:val="22"/>
        </w:rPr>
      </w:pPr>
      <w:r w:rsidRPr="00156950">
        <w:rPr>
          <w:rFonts w:ascii="Verdana" w:hAnsi="Verdana"/>
          <w:sz w:val="22"/>
          <w:szCs w:val="22"/>
        </w:rPr>
        <w:t>La Ley </w:t>
      </w:r>
      <w:r w:rsidRPr="00DA5E31">
        <w:rPr>
          <w:rFonts w:ascii="Verdana" w:hAnsi="Verdana"/>
          <w:sz w:val="22"/>
          <w:szCs w:val="22"/>
        </w:rPr>
        <w:t>1098</w:t>
      </w:r>
      <w:r w:rsidRPr="00156950">
        <w:rPr>
          <w:rFonts w:ascii="Verdana" w:hAnsi="Verdana"/>
          <w:sz w:val="22"/>
          <w:szCs w:val="22"/>
        </w:rPr>
        <w:t> de 2006 </w:t>
      </w:r>
      <w:r w:rsidRPr="00DA5E31">
        <w:rPr>
          <w:rFonts w:ascii="Verdana" w:hAnsi="Verdana"/>
          <w:b/>
          <w:bCs/>
          <w:sz w:val="22"/>
          <w:szCs w:val="22"/>
          <w:vertAlign w:val="superscript"/>
        </w:rPr>
        <w:t>(2)</w:t>
      </w:r>
      <w:r w:rsidRPr="00156950">
        <w:rPr>
          <w:rFonts w:ascii="Verdana" w:hAnsi="Verdana"/>
          <w:sz w:val="22"/>
          <w:szCs w:val="22"/>
        </w:rPr>
        <w:t>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transgredidos por situaciones de violencia intrafamiliar y las demás establecidas por la ley.</w:t>
      </w:r>
    </w:p>
    <w:p w14:paraId="64032867" w14:textId="18BE61EA" w:rsidR="00156950" w:rsidRPr="00156950" w:rsidRDefault="00156950" w:rsidP="00DA5E31">
      <w:pPr>
        <w:jc w:val="both"/>
        <w:rPr>
          <w:rFonts w:ascii="Verdana" w:hAnsi="Verdana"/>
          <w:sz w:val="22"/>
          <w:szCs w:val="22"/>
        </w:rPr>
      </w:pPr>
      <w:r w:rsidRPr="00156950">
        <w:rPr>
          <w:rFonts w:ascii="Verdana" w:hAnsi="Verdana"/>
          <w:sz w:val="22"/>
          <w:szCs w:val="22"/>
        </w:rPr>
        <w:t>Ahora bien, el artículo </w:t>
      </w:r>
      <w:r w:rsidRPr="00DA5E31">
        <w:rPr>
          <w:rFonts w:ascii="Verdana" w:hAnsi="Verdana"/>
          <w:sz w:val="22"/>
          <w:szCs w:val="22"/>
        </w:rPr>
        <w:t>2.2.4.9.2.1</w:t>
      </w:r>
      <w:r w:rsidRPr="00156950">
        <w:rPr>
          <w:rFonts w:ascii="Verdana" w:hAnsi="Verdana"/>
          <w:sz w:val="22"/>
          <w:szCs w:val="22"/>
        </w:rPr>
        <w:t> del Decreto 1069 de 2015</w:t>
      </w:r>
      <w:r w:rsidRPr="00DA5E31">
        <w:rPr>
          <w:rFonts w:ascii="Verdana" w:hAnsi="Verdana"/>
          <w:b/>
          <w:bCs/>
          <w:sz w:val="22"/>
          <w:szCs w:val="22"/>
          <w:vertAlign w:val="superscript"/>
        </w:rPr>
        <w:t>(3)</w:t>
      </w:r>
      <w:r w:rsidRPr="00156950">
        <w:rPr>
          <w:rFonts w:ascii="Verdana" w:hAnsi="Verdana"/>
          <w:sz w:val="22"/>
          <w:szCs w:val="22"/>
        </w:rPr>
        <w:t> que derogó el Decreto </w:t>
      </w:r>
      <w:r w:rsidRPr="00DA5E31">
        <w:rPr>
          <w:rFonts w:ascii="Verdana" w:hAnsi="Verdana"/>
          <w:sz w:val="22"/>
          <w:szCs w:val="22"/>
        </w:rPr>
        <w:t>4840</w:t>
      </w:r>
      <w:r w:rsidRPr="00156950">
        <w:rPr>
          <w:rFonts w:ascii="Verdana" w:hAnsi="Verdana"/>
          <w:sz w:val="22"/>
          <w:szCs w:val="22"/>
        </w:rPr>
        <w:t> de 2007, indica claramente respecto a la competencia de los Defensores y Comisarios de familia que:</w:t>
      </w:r>
    </w:p>
    <w:p w14:paraId="6831DCB8" w14:textId="77777777" w:rsidR="00156950" w:rsidRPr="00156950" w:rsidRDefault="00156950" w:rsidP="00DA5E31">
      <w:pPr>
        <w:jc w:val="both"/>
        <w:rPr>
          <w:rFonts w:ascii="Verdana" w:hAnsi="Verdana"/>
          <w:sz w:val="22"/>
          <w:szCs w:val="22"/>
        </w:rPr>
      </w:pPr>
      <w:r w:rsidRPr="00156950">
        <w:rPr>
          <w:rFonts w:ascii="Verdana" w:hAnsi="Verdana"/>
          <w:sz w:val="22"/>
          <w:szCs w:val="22"/>
        </w:rPr>
        <w:t>“El Defensor de Familia se encargará de prevenir, garantizar y restablecer los derechos de los niños, niñas y adolescentes, en las circunstancias de maltrato, amenaza o vulneración de derechos diferentes de los suscitados en el contexto de la violencia intrafamiliar".</w:t>
      </w:r>
    </w:p>
    <w:p w14:paraId="5BED6EDC" w14:textId="77777777" w:rsidR="00156950" w:rsidRPr="00156950" w:rsidRDefault="00156950" w:rsidP="00DA5E31">
      <w:pPr>
        <w:jc w:val="both"/>
        <w:rPr>
          <w:rFonts w:ascii="Verdana" w:hAnsi="Verdana"/>
          <w:sz w:val="22"/>
          <w:szCs w:val="22"/>
        </w:rPr>
      </w:pPr>
      <w:r w:rsidRPr="00156950">
        <w:rPr>
          <w:rFonts w:ascii="Verdana" w:hAnsi="Verdana"/>
          <w:sz w:val="22"/>
          <w:szCs w:val="22"/>
        </w:rPr>
        <w:t>“El Comisario de Familia se encargará de prevenir, garantizar, restablecer y reparar los derechos de los niños, niñas, adolescentes y demás miembros de la familia, en las circunstancias de maltrato infantil, amenaza o vulneración de derechos suscitadas en el contexto de la violencia intrafamiliar. (...)”</w:t>
      </w:r>
    </w:p>
    <w:p w14:paraId="3EC2DCF7" w14:textId="409F5BC5" w:rsidR="00156950" w:rsidRPr="00156950" w:rsidRDefault="00156950" w:rsidP="00DA5E31">
      <w:pPr>
        <w:jc w:val="both"/>
        <w:rPr>
          <w:rFonts w:ascii="Verdana" w:hAnsi="Verdana"/>
          <w:sz w:val="22"/>
          <w:szCs w:val="22"/>
        </w:rPr>
      </w:pPr>
      <w:r w:rsidRPr="00156950">
        <w:rPr>
          <w:rFonts w:ascii="Verdana" w:hAnsi="Verdana"/>
          <w:sz w:val="22"/>
          <w:szCs w:val="22"/>
        </w:rPr>
        <w:t>Así pues, cuando una Autoridad Administrativa advierta alguna amenaza, vulneración o inobservancia de los derechos de un niño, niña o adolescente, deberá realizar la correspondiente verificación de derechos y de acuerdo con su resultado, dar inicio a un Proceso Administrativo de Restablecimiento de Derechos.</w:t>
      </w:r>
      <w:r w:rsidRPr="00DA5E31">
        <w:rPr>
          <w:rFonts w:ascii="Verdana" w:hAnsi="Verdana"/>
          <w:b/>
          <w:bCs/>
          <w:sz w:val="22"/>
          <w:szCs w:val="22"/>
          <w:vertAlign w:val="superscript"/>
        </w:rPr>
        <w:t>(4)</w:t>
      </w:r>
    </w:p>
    <w:p w14:paraId="54A3D0E9" w14:textId="4EF44DE3" w:rsidR="00156950" w:rsidRPr="00156950" w:rsidRDefault="00156950" w:rsidP="00DA5E31">
      <w:pPr>
        <w:jc w:val="both"/>
        <w:rPr>
          <w:rFonts w:ascii="Verdana" w:hAnsi="Verdana"/>
          <w:sz w:val="22"/>
          <w:szCs w:val="22"/>
        </w:rPr>
      </w:pPr>
      <w:r w:rsidRPr="00156950">
        <w:rPr>
          <w:rFonts w:ascii="Verdana" w:hAnsi="Verdana"/>
          <w:sz w:val="22"/>
          <w:szCs w:val="22"/>
        </w:rPr>
        <w:t>En efecto, de conformidad con lo establecido en la Ley </w:t>
      </w:r>
      <w:r w:rsidRPr="00DA5E31">
        <w:rPr>
          <w:rFonts w:ascii="Verdana" w:hAnsi="Verdana"/>
          <w:sz w:val="22"/>
          <w:szCs w:val="22"/>
        </w:rPr>
        <w:t>1098</w:t>
      </w:r>
      <w:r w:rsidRPr="00156950">
        <w:rPr>
          <w:rFonts w:ascii="Verdana" w:hAnsi="Verdana"/>
          <w:sz w:val="22"/>
          <w:szCs w:val="22"/>
        </w:rPr>
        <w:t> de 2006 y el Decreto </w:t>
      </w:r>
      <w:r w:rsidRPr="00DA5E31">
        <w:rPr>
          <w:rFonts w:ascii="Verdana" w:hAnsi="Verdana"/>
          <w:sz w:val="22"/>
          <w:szCs w:val="22"/>
        </w:rPr>
        <w:t>1069</w:t>
      </w:r>
      <w:r w:rsidRPr="00156950">
        <w:rPr>
          <w:rFonts w:ascii="Verdana" w:hAnsi="Verdana"/>
          <w:sz w:val="22"/>
          <w:szCs w:val="22"/>
        </w:rPr>
        <w:t> de 2015, corresponde al Defensor de Familia prevenir, garantizar y restablecer los derechos de los niños, niñas y adolescentes, en las circunstancias de maltrato, amenaza o vulneración de derechos </w:t>
      </w:r>
      <w:r w:rsidRPr="00156950">
        <w:rPr>
          <w:rFonts w:ascii="Verdana" w:hAnsi="Verdana"/>
          <w:b/>
          <w:bCs/>
          <w:sz w:val="22"/>
          <w:szCs w:val="22"/>
          <w:u w:val="single"/>
        </w:rPr>
        <w:t xml:space="preserve">diferentes de </w:t>
      </w:r>
      <w:r w:rsidRPr="00156950">
        <w:rPr>
          <w:rFonts w:ascii="Verdana" w:hAnsi="Verdana"/>
          <w:b/>
          <w:bCs/>
          <w:sz w:val="22"/>
          <w:szCs w:val="22"/>
          <w:u w:val="single"/>
        </w:rPr>
        <w:lastRenderedPageBreak/>
        <w:t>los suscitados en el contexto de la violencia intrafamiliar,</w:t>
      </w:r>
      <w:r w:rsidRPr="00DA5E31">
        <w:rPr>
          <w:rFonts w:ascii="Verdana" w:hAnsi="Verdana"/>
          <w:sz w:val="22"/>
          <w:szCs w:val="22"/>
          <w:u w:val="single"/>
          <w:vertAlign w:val="superscript"/>
        </w:rPr>
        <w:t>(5)</w:t>
      </w:r>
      <w:r w:rsidRPr="00156950">
        <w:rPr>
          <w:rFonts w:ascii="Verdana" w:hAnsi="Verdana"/>
          <w:sz w:val="22"/>
          <w:szCs w:val="22"/>
        </w:rPr>
        <w:t> mientras que al Comisario de Familia le compete prevenir, garantizar, restablecer y reparar los derechos de los niños, niñas, adolescentes y demás miembros de la familia, en las circunstancias de </w:t>
      </w:r>
      <w:r w:rsidRPr="00156950">
        <w:rPr>
          <w:rFonts w:ascii="Verdana" w:hAnsi="Verdana"/>
          <w:sz w:val="22"/>
          <w:szCs w:val="22"/>
          <w:u w:val="single"/>
        </w:rPr>
        <w:t>maltrato infantil</w:t>
      </w:r>
      <w:r w:rsidRPr="00156950">
        <w:rPr>
          <w:rFonts w:ascii="Verdana" w:hAnsi="Verdana"/>
          <w:sz w:val="22"/>
          <w:szCs w:val="22"/>
        </w:rPr>
        <w:t>, amenaza o vulneración de derechos suscitadas en el contexto de la violencia intrafamiliar.</w:t>
      </w:r>
      <w:r w:rsidRPr="00DA5E31">
        <w:rPr>
          <w:rFonts w:ascii="Verdana" w:hAnsi="Verdana"/>
          <w:b/>
          <w:bCs/>
          <w:sz w:val="22"/>
          <w:szCs w:val="22"/>
          <w:vertAlign w:val="superscript"/>
        </w:rPr>
        <w:t>(6)</w:t>
      </w:r>
    </w:p>
    <w:p w14:paraId="2B926B0A" w14:textId="221B23CD" w:rsidR="00156950" w:rsidRPr="00156950" w:rsidRDefault="00156950" w:rsidP="00DA5E31">
      <w:pPr>
        <w:jc w:val="both"/>
        <w:rPr>
          <w:rFonts w:ascii="Verdana" w:hAnsi="Verdana"/>
          <w:sz w:val="22"/>
          <w:szCs w:val="22"/>
        </w:rPr>
      </w:pPr>
      <w:r w:rsidRPr="00156950">
        <w:rPr>
          <w:rFonts w:ascii="Verdana" w:hAnsi="Verdana"/>
          <w:sz w:val="22"/>
          <w:szCs w:val="22"/>
        </w:rPr>
        <w:t>Ahora bien, cuando se presentan casos de violencia intrafamiliar y la víctima es un menor de edad, el Comisario de Familia debe adelantar el procedimiento establecido en la Ley 294 de 2006 modificada por la Ley 575 de 2000 y la Ley </w:t>
      </w:r>
      <w:r w:rsidRPr="00DA5E31">
        <w:rPr>
          <w:rFonts w:ascii="Verdana" w:hAnsi="Verdana"/>
          <w:sz w:val="22"/>
          <w:szCs w:val="22"/>
        </w:rPr>
        <w:t>1257</w:t>
      </w:r>
      <w:r w:rsidRPr="00156950">
        <w:rPr>
          <w:rFonts w:ascii="Verdana" w:hAnsi="Verdana"/>
          <w:sz w:val="22"/>
          <w:szCs w:val="22"/>
        </w:rPr>
        <w:t> de 2008, y simultáneamente adoptar medidas de restablecimiento de derechos, de conformidad con lo establecido en la Ley </w:t>
      </w:r>
      <w:r w:rsidRPr="00DA5E31">
        <w:rPr>
          <w:rFonts w:ascii="Verdana" w:hAnsi="Verdana"/>
          <w:sz w:val="22"/>
          <w:szCs w:val="22"/>
        </w:rPr>
        <w:t>1098</w:t>
      </w:r>
      <w:r w:rsidRPr="00156950">
        <w:rPr>
          <w:rFonts w:ascii="Verdana" w:hAnsi="Verdana"/>
          <w:sz w:val="22"/>
          <w:szCs w:val="22"/>
        </w:rPr>
        <w:t> de 2006.</w:t>
      </w:r>
    </w:p>
    <w:p w14:paraId="2B2123CB" w14:textId="77C99B0B" w:rsidR="00156950" w:rsidRPr="00156950" w:rsidRDefault="00156950" w:rsidP="00DA5E31">
      <w:pPr>
        <w:jc w:val="both"/>
        <w:rPr>
          <w:rFonts w:ascii="Verdana" w:hAnsi="Verdana"/>
          <w:sz w:val="22"/>
          <w:szCs w:val="22"/>
        </w:rPr>
      </w:pPr>
      <w:r w:rsidRPr="00156950">
        <w:rPr>
          <w:rFonts w:ascii="Verdana" w:hAnsi="Verdana"/>
          <w:sz w:val="22"/>
          <w:szCs w:val="22"/>
        </w:rPr>
        <w:t>Así las cosas, el artículo </w:t>
      </w:r>
      <w:r w:rsidRPr="00DA5E31">
        <w:rPr>
          <w:rFonts w:ascii="Verdana" w:hAnsi="Verdana"/>
          <w:sz w:val="22"/>
          <w:szCs w:val="22"/>
        </w:rPr>
        <w:t>5</w:t>
      </w:r>
      <w:r w:rsidRPr="00156950">
        <w:rPr>
          <w:rFonts w:ascii="Verdana" w:hAnsi="Verdana"/>
          <w:sz w:val="22"/>
          <w:szCs w:val="22"/>
        </w:rPr>
        <w:t> de la Ley 294 de 1996, modificado por la por el artículo </w:t>
      </w:r>
      <w:r w:rsidRPr="00DA5E31">
        <w:rPr>
          <w:rFonts w:ascii="Verdana" w:hAnsi="Verdana"/>
          <w:sz w:val="22"/>
          <w:szCs w:val="22"/>
        </w:rPr>
        <w:t>17</w:t>
      </w:r>
      <w:r w:rsidRPr="00156950">
        <w:rPr>
          <w:rFonts w:ascii="Verdana" w:hAnsi="Verdana"/>
          <w:sz w:val="22"/>
          <w:szCs w:val="22"/>
        </w:rPr>
        <w:t> de la Ley 1257 de 2008, indica entre otras medidas, en el literal n), que el Comisario podrá adoptar:..."Cualquiera otra medida necesaria para el cumplimiento de los objetivos de la presente ley”.</w:t>
      </w:r>
    </w:p>
    <w:p w14:paraId="3166EF53" w14:textId="692B54F6" w:rsidR="00156950" w:rsidRPr="00156950" w:rsidRDefault="00156950" w:rsidP="00DA5E31">
      <w:pPr>
        <w:jc w:val="both"/>
        <w:rPr>
          <w:rFonts w:ascii="Verdana" w:hAnsi="Verdana"/>
          <w:sz w:val="22"/>
          <w:szCs w:val="22"/>
        </w:rPr>
      </w:pPr>
      <w:r w:rsidRPr="00156950">
        <w:rPr>
          <w:rFonts w:ascii="Verdana" w:hAnsi="Verdana"/>
          <w:sz w:val="22"/>
          <w:szCs w:val="22"/>
        </w:rPr>
        <w:t>Sin embargo, para decretar la ubicación de un niño, niña o adolescente en una de las medidas de restablecimiento de derechos previstas en el artículo </w:t>
      </w:r>
      <w:r w:rsidRPr="00DA5E31">
        <w:rPr>
          <w:rFonts w:ascii="Verdana" w:hAnsi="Verdana"/>
          <w:sz w:val="22"/>
          <w:szCs w:val="22"/>
        </w:rPr>
        <w:t>53</w:t>
      </w:r>
      <w:r w:rsidRPr="00156950">
        <w:rPr>
          <w:rFonts w:ascii="Verdana" w:hAnsi="Verdana"/>
          <w:sz w:val="22"/>
          <w:szCs w:val="22"/>
        </w:rPr>
        <w:t> de la Ley 1098 de 2006, es necesario que la misma se adopte en el marco del Proceso Administrativo de Restablecimiento de Derechos -PARD-, razón por la cual, si el Comisario de Familia profirió la ubicación de un menor de edad en una institución especializada dentro del procedimiento establecido para la violencia intrafamiliar amparado en la urgencia de proteger al niño, niña o adolescente, puede éste mismo funcionario o en su defecto el Defensor de Familia, iniciar de manera inmediata un PARD y ratificar dicha medida, con el fin de realizar su seguimiento y evaluar la pertinencia o no de mantenerla o modificarla.</w:t>
      </w:r>
    </w:p>
    <w:p w14:paraId="54F80F0E" w14:textId="77777777" w:rsidR="00156950" w:rsidRPr="00156950" w:rsidRDefault="00156950" w:rsidP="00DA5E31">
      <w:pPr>
        <w:jc w:val="center"/>
        <w:rPr>
          <w:rFonts w:ascii="Verdana" w:hAnsi="Verdana"/>
          <w:sz w:val="22"/>
          <w:szCs w:val="22"/>
        </w:rPr>
      </w:pPr>
      <w:r w:rsidRPr="00156950">
        <w:rPr>
          <w:rFonts w:ascii="Verdana" w:hAnsi="Verdana"/>
          <w:b/>
          <w:bCs/>
          <w:sz w:val="22"/>
          <w:szCs w:val="22"/>
          <w:u w:val="single"/>
        </w:rPr>
        <w:t>3. CONCLUSIONES</w:t>
      </w:r>
    </w:p>
    <w:p w14:paraId="4B666600" w14:textId="77777777" w:rsidR="00156950" w:rsidRPr="00156950" w:rsidRDefault="00156950" w:rsidP="00DA5E31">
      <w:pPr>
        <w:jc w:val="both"/>
        <w:rPr>
          <w:rFonts w:ascii="Verdana" w:hAnsi="Verdana"/>
          <w:sz w:val="22"/>
          <w:szCs w:val="22"/>
        </w:rPr>
      </w:pPr>
      <w:r w:rsidRPr="00156950">
        <w:rPr>
          <w:rFonts w:ascii="Verdana" w:hAnsi="Verdana"/>
          <w:b/>
          <w:bCs/>
          <w:sz w:val="22"/>
          <w:szCs w:val="22"/>
        </w:rPr>
        <w:t>Primero</w:t>
      </w:r>
      <w:r w:rsidRPr="00156950">
        <w:rPr>
          <w:rFonts w:ascii="Verdana" w:hAnsi="Verdana"/>
          <w:sz w:val="22"/>
          <w:szCs w:val="22"/>
        </w:rPr>
        <w:t>: Las Comisarias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3263E6A4" w14:textId="61C26529" w:rsidR="00156950" w:rsidRPr="00156950" w:rsidRDefault="00156950" w:rsidP="00DA5E31">
      <w:pPr>
        <w:jc w:val="both"/>
        <w:rPr>
          <w:rFonts w:ascii="Verdana" w:hAnsi="Verdana"/>
          <w:sz w:val="22"/>
          <w:szCs w:val="22"/>
        </w:rPr>
      </w:pPr>
      <w:r w:rsidRPr="00156950">
        <w:rPr>
          <w:rFonts w:ascii="Verdana" w:hAnsi="Verdana"/>
          <w:b/>
          <w:bCs/>
          <w:sz w:val="22"/>
          <w:szCs w:val="22"/>
        </w:rPr>
        <w:t>Segundo</w:t>
      </w:r>
      <w:r w:rsidRPr="00156950">
        <w:rPr>
          <w:rFonts w:ascii="Verdana" w:hAnsi="Verdana"/>
          <w:sz w:val="22"/>
          <w:szCs w:val="22"/>
        </w:rPr>
        <w:t>: Cuando se presentan casos de violencia intrafamiliar y la víctima es un menor de edad, el Comisario de Familia debe adelantar el procedimiento establecido en la Ley 294 de 2006 modificada por la Ley 575 de 2000 y la Ley </w:t>
      </w:r>
      <w:r w:rsidRPr="00DA5E31">
        <w:rPr>
          <w:rFonts w:ascii="Verdana" w:hAnsi="Verdana"/>
          <w:sz w:val="22"/>
          <w:szCs w:val="22"/>
        </w:rPr>
        <w:t>1257</w:t>
      </w:r>
      <w:r w:rsidRPr="00156950">
        <w:rPr>
          <w:rFonts w:ascii="Verdana" w:hAnsi="Verdana"/>
          <w:sz w:val="22"/>
          <w:szCs w:val="22"/>
        </w:rPr>
        <w:t> de 2008, y simultáneamente adoptar medidas de restablecimiento de derechos, de conformidad con lo establecido en la Ley </w:t>
      </w:r>
      <w:r w:rsidRPr="00DA5E31">
        <w:rPr>
          <w:rFonts w:ascii="Verdana" w:hAnsi="Verdana"/>
          <w:sz w:val="22"/>
          <w:szCs w:val="22"/>
        </w:rPr>
        <w:t>1098</w:t>
      </w:r>
      <w:r w:rsidRPr="00156950">
        <w:rPr>
          <w:rFonts w:ascii="Verdana" w:hAnsi="Verdana"/>
          <w:sz w:val="22"/>
          <w:szCs w:val="22"/>
        </w:rPr>
        <w:t> de 2006.</w:t>
      </w:r>
    </w:p>
    <w:p w14:paraId="3D93F6D9" w14:textId="77777777" w:rsidR="00156950" w:rsidRPr="00156950" w:rsidRDefault="00156950" w:rsidP="00DA5E31">
      <w:pPr>
        <w:jc w:val="both"/>
        <w:rPr>
          <w:rFonts w:ascii="Verdana" w:hAnsi="Verdana"/>
          <w:sz w:val="22"/>
          <w:szCs w:val="22"/>
        </w:rPr>
      </w:pPr>
      <w:r w:rsidRPr="00156950">
        <w:rPr>
          <w:rFonts w:ascii="Verdana" w:hAnsi="Verdana"/>
          <w:b/>
          <w:bCs/>
          <w:sz w:val="22"/>
          <w:szCs w:val="22"/>
        </w:rPr>
        <w:t>Tercero</w:t>
      </w:r>
      <w:r w:rsidRPr="00156950">
        <w:rPr>
          <w:rFonts w:ascii="Verdana" w:hAnsi="Verdana"/>
          <w:sz w:val="22"/>
          <w:szCs w:val="22"/>
        </w:rPr>
        <w:t xml:space="preserve">: Respecto a las preguntas en concreto, se dará traslado por competencia a la Coordinación de Autoridades Administrativas de la Dirección de </w:t>
      </w:r>
      <w:r w:rsidRPr="00156950">
        <w:rPr>
          <w:rFonts w:ascii="Verdana" w:hAnsi="Verdana"/>
          <w:sz w:val="22"/>
          <w:szCs w:val="22"/>
        </w:rPr>
        <w:lastRenderedPageBreak/>
        <w:t>Protección del ICBF, con el fin de que se brinde la asistencia técnica que corresponda.</w:t>
      </w:r>
    </w:p>
    <w:p w14:paraId="7071B16E" w14:textId="39D7D558" w:rsidR="00156950" w:rsidRPr="00156950" w:rsidRDefault="00156950" w:rsidP="00DA5E31">
      <w:pPr>
        <w:jc w:val="both"/>
        <w:rPr>
          <w:rFonts w:ascii="Verdana" w:hAnsi="Verdana"/>
          <w:sz w:val="22"/>
          <w:szCs w:val="22"/>
        </w:rPr>
      </w:pPr>
      <w:r w:rsidRPr="00156950">
        <w:rPr>
          <w:rFonts w:ascii="Verdana" w:hAnsi="Verdana"/>
          <w:sz w:val="22"/>
          <w:szCs w:val="22"/>
        </w:rPr>
        <w:t>Por último, es preciso indicar que el presente concepto</w:t>
      </w:r>
      <w:r w:rsidRPr="00DA5E31">
        <w:rPr>
          <w:rFonts w:ascii="Verdana" w:hAnsi="Verdana"/>
          <w:b/>
          <w:bCs/>
          <w:sz w:val="22"/>
          <w:szCs w:val="22"/>
          <w:vertAlign w:val="superscript"/>
        </w:rPr>
        <w:t>(7)</w:t>
      </w:r>
      <w:r w:rsidRPr="00156950">
        <w:rPr>
          <w:rFonts w:ascii="Verdana" w:hAnsi="Verdana"/>
          <w:sz w:val="22"/>
          <w:szCs w:val="22"/>
        </w:rPr>
        <w:t> no es de obligatorio cumplimiento o ejecución para particulares o agentes externos, de conformidad con lo establecido en la Ley </w:t>
      </w:r>
      <w:r w:rsidRPr="00DA5E31">
        <w:rPr>
          <w:rFonts w:ascii="Verdana" w:hAnsi="Verdana"/>
          <w:sz w:val="22"/>
          <w:szCs w:val="22"/>
        </w:rPr>
        <w:t>1755</w:t>
      </w:r>
      <w:r w:rsidRPr="00156950">
        <w:rPr>
          <w:rFonts w:ascii="Verdana" w:hAnsi="Verdana"/>
          <w:sz w:val="22"/>
          <w:szCs w:val="22"/>
        </w:rPr>
        <w:t>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w:t>
      </w:r>
      <w:r w:rsidRPr="00DA5E31">
        <w:rPr>
          <w:rFonts w:ascii="Verdana" w:hAnsi="Verdana"/>
          <w:sz w:val="22"/>
          <w:szCs w:val="22"/>
        </w:rPr>
        <w:t>987</w:t>
      </w:r>
      <w:r w:rsidRPr="00156950">
        <w:rPr>
          <w:rFonts w:ascii="Verdana" w:hAnsi="Verdana"/>
          <w:sz w:val="22"/>
          <w:szCs w:val="22"/>
        </w:rPr>
        <w:t> de 2012.</w:t>
      </w:r>
    </w:p>
    <w:p w14:paraId="54B0B78E" w14:textId="77777777" w:rsidR="00156950" w:rsidRDefault="00156950" w:rsidP="00DA5E31">
      <w:pPr>
        <w:jc w:val="both"/>
        <w:rPr>
          <w:rFonts w:ascii="Verdana" w:hAnsi="Verdana"/>
          <w:sz w:val="22"/>
          <w:szCs w:val="22"/>
        </w:rPr>
      </w:pPr>
      <w:r w:rsidRPr="00156950">
        <w:rPr>
          <w:rFonts w:ascii="Verdana" w:hAnsi="Verdana"/>
          <w:sz w:val="22"/>
          <w:szCs w:val="22"/>
        </w:rPr>
        <w:t>Cordialmente,</w:t>
      </w:r>
    </w:p>
    <w:p w14:paraId="28C61765" w14:textId="77777777" w:rsidR="00DA5E31" w:rsidRPr="00156950" w:rsidRDefault="00DA5E31" w:rsidP="00DA5E31">
      <w:pPr>
        <w:jc w:val="both"/>
        <w:rPr>
          <w:rFonts w:ascii="Verdana" w:hAnsi="Verdana"/>
          <w:sz w:val="22"/>
          <w:szCs w:val="22"/>
        </w:rPr>
      </w:pPr>
    </w:p>
    <w:p w14:paraId="1A7EA053" w14:textId="77777777" w:rsidR="00156950" w:rsidRPr="00156950" w:rsidRDefault="00156950" w:rsidP="00DA5E31">
      <w:pPr>
        <w:jc w:val="center"/>
        <w:rPr>
          <w:rFonts w:ascii="Verdana" w:hAnsi="Verdana"/>
          <w:sz w:val="22"/>
          <w:szCs w:val="22"/>
        </w:rPr>
      </w:pPr>
      <w:r w:rsidRPr="00156950">
        <w:rPr>
          <w:rFonts w:ascii="Verdana" w:hAnsi="Verdana"/>
          <w:b/>
          <w:bCs/>
          <w:sz w:val="22"/>
          <w:szCs w:val="22"/>
        </w:rPr>
        <w:t>LUZ KARIME FERNANDEZ CASTILLO</w:t>
      </w:r>
    </w:p>
    <w:p w14:paraId="06D94C8C" w14:textId="77777777" w:rsidR="00156950" w:rsidRPr="00156950" w:rsidRDefault="00156950" w:rsidP="00DA5E31">
      <w:pPr>
        <w:jc w:val="center"/>
        <w:rPr>
          <w:rFonts w:ascii="Verdana" w:hAnsi="Verdana"/>
          <w:sz w:val="22"/>
          <w:szCs w:val="22"/>
        </w:rPr>
      </w:pPr>
      <w:r w:rsidRPr="00156950">
        <w:rPr>
          <w:rFonts w:ascii="Verdana" w:hAnsi="Verdana"/>
          <w:sz w:val="22"/>
          <w:szCs w:val="22"/>
        </w:rPr>
        <w:t>Jefe Oficina Asesora Jurídica</w:t>
      </w:r>
    </w:p>
    <w:p w14:paraId="595A59C5" w14:textId="4B857775" w:rsidR="00156950" w:rsidRPr="00156950" w:rsidRDefault="00DA5E31" w:rsidP="00DA5E31">
      <w:pPr>
        <w:jc w:val="both"/>
        <w:rPr>
          <w:rFonts w:ascii="Verdana" w:hAnsi="Verdana"/>
          <w:sz w:val="22"/>
          <w:szCs w:val="22"/>
        </w:rPr>
      </w:pPr>
      <w:r>
        <w:rPr>
          <w:rFonts w:ascii="Verdana" w:hAnsi="Verdana"/>
          <w:b/>
          <w:bCs/>
          <w:sz w:val="22"/>
          <w:szCs w:val="22"/>
        </w:rPr>
        <w:t>Notas pie de página:</w:t>
      </w:r>
    </w:p>
    <w:p w14:paraId="7A32BC45" w14:textId="299BA0CB" w:rsidR="00156950" w:rsidRPr="00156950" w:rsidRDefault="00156950" w:rsidP="00DA5E31">
      <w:pPr>
        <w:jc w:val="both"/>
        <w:rPr>
          <w:rFonts w:ascii="Verdana" w:hAnsi="Verdana"/>
          <w:sz w:val="22"/>
          <w:szCs w:val="22"/>
        </w:rPr>
      </w:pPr>
      <w:bookmarkStart w:id="0" w:name="NF1"/>
      <w:r w:rsidRPr="00156950">
        <w:rPr>
          <w:rFonts w:ascii="Verdana" w:hAnsi="Verdana"/>
          <w:b/>
          <w:bCs/>
          <w:sz w:val="22"/>
          <w:szCs w:val="22"/>
        </w:rPr>
        <w:t>1.</w:t>
      </w:r>
      <w:bookmarkEnd w:id="0"/>
      <w:r w:rsidRPr="00156950">
        <w:rPr>
          <w:rFonts w:ascii="Verdana" w:hAnsi="Verdana"/>
          <w:sz w:val="22"/>
          <w:szCs w:val="22"/>
        </w:rPr>
        <w:t> Código del Menor. Título Cuarto Comisarias de Familia. Artículo </w:t>
      </w:r>
      <w:r w:rsidRPr="00DA5E31">
        <w:rPr>
          <w:rFonts w:ascii="Verdana" w:hAnsi="Verdana"/>
          <w:sz w:val="22"/>
          <w:szCs w:val="22"/>
        </w:rPr>
        <w:t>299</w:t>
      </w:r>
      <w:r w:rsidRPr="00156950">
        <w:rPr>
          <w:rFonts w:ascii="Verdana" w:hAnsi="Verdana"/>
          <w:sz w:val="22"/>
          <w:szCs w:val="22"/>
        </w:rPr>
        <w:t>.</w:t>
      </w:r>
    </w:p>
    <w:p w14:paraId="134E6921" w14:textId="141AA42E" w:rsidR="00156950" w:rsidRPr="00156950" w:rsidRDefault="00156950" w:rsidP="00DA5E31">
      <w:pPr>
        <w:jc w:val="both"/>
        <w:rPr>
          <w:rFonts w:ascii="Verdana" w:hAnsi="Verdana"/>
          <w:sz w:val="22"/>
          <w:szCs w:val="22"/>
        </w:rPr>
      </w:pPr>
      <w:bookmarkStart w:id="1" w:name="NF2"/>
      <w:r w:rsidRPr="00156950">
        <w:rPr>
          <w:rFonts w:ascii="Verdana" w:hAnsi="Verdana"/>
          <w:b/>
          <w:bCs/>
          <w:sz w:val="22"/>
          <w:szCs w:val="22"/>
        </w:rPr>
        <w:t>2.</w:t>
      </w:r>
      <w:bookmarkEnd w:id="1"/>
      <w:r w:rsidRPr="00156950">
        <w:rPr>
          <w:rFonts w:ascii="Verdana" w:hAnsi="Verdana"/>
          <w:sz w:val="22"/>
          <w:szCs w:val="22"/>
        </w:rPr>
        <w:t> Ley 1098 de 2006. Artículo </w:t>
      </w:r>
      <w:r w:rsidRPr="00DA5E31">
        <w:rPr>
          <w:rFonts w:ascii="Verdana" w:hAnsi="Verdana"/>
          <w:sz w:val="22"/>
          <w:szCs w:val="22"/>
        </w:rPr>
        <w:t>83</w:t>
      </w:r>
      <w:r w:rsidRPr="00156950">
        <w:rPr>
          <w:rFonts w:ascii="Verdana" w:hAnsi="Verdana"/>
          <w:sz w:val="22"/>
          <w:szCs w:val="22"/>
        </w:rPr>
        <w:t>.</w:t>
      </w:r>
    </w:p>
    <w:p w14:paraId="4223C6CB" w14:textId="77777777" w:rsidR="00156950" w:rsidRPr="00156950" w:rsidRDefault="00156950" w:rsidP="00DA5E31">
      <w:pPr>
        <w:jc w:val="both"/>
        <w:rPr>
          <w:rFonts w:ascii="Verdana" w:hAnsi="Verdana"/>
          <w:sz w:val="22"/>
          <w:szCs w:val="22"/>
        </w:rPr>
      </w:pPr>
      <w:bookmarkStart w:id="2" w:name="NF3"/>
      <w:r w:rsidRPr="00156950">
        <w:rPr>
          <w:rFonts w:ascii="Verdana" w:hAnsi="Verdana"/>
          <w:b/>
          <w:bCs/>
          <w:sz w:val="22"/>
          <w:szCs w:val="22"/>
        </w:rPr>
        <w:t>3.</w:t>
      </w:r>
      <w:bookmarkEnd w:id="2"/>
      <w:r w:rsidRPr="00156950">
        <w:rPr>
          <w:rFonts w:ascii="Verdana" w:hAnsi="Verdana"/>
          <w:sz w:val="22"/>
          <w:szCs w:val="22"/>
        </w:rPr>
        <w:t> Por medio del cual se expide el Decreto Único Reglamentario del Sector Justicia y del Derecho</w:t>
      </w:r>
    </w:p>
    <w:p w14:paraId="76B71AA9" w14:textId="4CA676FA" w:rsidR="00156950" w:rsidRPr="00156950" w:rsidRDefault="00156950" w:rsidP="00DA5E31">
      <w:pPr>
        <w:jc w:val="both"/>
        <w:rPr>
          <w:rFonts w:ascii="Verdana" w:hAnsi="Verdana"/>
          <w:sz w:val="22"/>
          <w:szCs w:val="22"/>
        </w:rPr>
      </w:pPr>
      <w:bookmarkStart w:id="3" w:name="NF4"/>
      <w:r w:rsidRPr="00156950">
        <w:rPr>
          <w:rFonts w:ascii="Verdana" w:hAnsi="Verdana"/>
          <w:b/>
          <w:bCs/>
          <w:sz w:val="22"/>
          <w:szCs w:val="22"/>
        </w:rPr>
        <w:t>4.</w:t>
      </w:r>
      <w:bookmarkEnd w:id="3"/>
      <w:r w:rsidRPr="00156950">
        <w:rPr>
          <w:rFonts w:ascii="Verdana" w:hAnsi="Verdana"/>
          <w:sz w:val="22"/>
          <w:szCs w:val="22"/>
        </w:rPr>
        <w:t> Artículos </w:t>
      </w:r>
      <w:r w:rsidRPr="00DA5E31">
        <w:rPr>
          <w:rFonts w:ascii="Verdana" w:hAnsi="Verdana"/>
          <w:sz w:val="22"/>
          <w:szCs w:val="22"/>
        </w:rPr>
        <w:t>99</w:t>
      </w:r>
      <w:r w:rsidRPr="00156950">
        <w:rPr>
          <w:rFonts w:ascii="Verdana" w:hAnsi="Verdana"/>
          <w:sz w:val="22"/>
          <w:szCs w:val="22"/>
        </w:rPr>
        <w:t> y </w:t>
      </w:r>
      <w:r w:rsidRPr="00DA5E31">
        <w:rPr>
          <w:rFonts w:ascii="Verdana" w:hAnsi="Verdana"/>
          <w:sz w:val="22"/>
          <w:szCs w:val="22"/>
        </w:rPr>
        <w:t>100</w:t>
      </w:r>
      <w:r w:rsidRPr="00156950">
        <w:rPr>
          <w:rFonts w:ascii="Verdana" w:hAnsi="Verdana"/>
          <w:sz w:val="22"/>
          <w:szCs w:val="22"/>
        </w:rPr>
        <w:t> de la Ley 1098 de 2006</w:t>
      </w:r>
    </w:p>
    <w:p w14:paraId="739941D7" w14:textId="280484FF" w:rsidR="00156950" w:rsidRPr="00156950" w:rsidRDefault="00156950" w:rsidP="00DA5E31">
      <w:pPr>
        <w:jc w:val="both"/>
        <w:rPr>
          <w:rFonts w:ascii="Verdana" w:hAnsi="Verdana"/>
          <w:sz w:val="22"/>
          <w:szCs w:val="22"/>
        </w:rPr>
      </w:pPr>
      <w:bookmarkStart w:id="4" w:name="NF5"/>
      <w:r w:rsidRPr="00156950">
        <w:rPr>
          <w:rFonts w:ascii="Verdana" w:hAnsi="Verdana"/>
          <w:b/>
          <w:bCs/>
          <w:sz w:val="22"/>
          <w:szCs w:val="22"/>
        </w:rPr>
        <w:t>5.</w:t>
      </w:r>
      <w:bookmarkEnd w:id="4"/>
      <w:r w:rsidRPr="00156950">
        <w:rPr>
          <w:rFonts w:ascii="Verdana" w:hAnsi="Verdana"/>
          <w:sz w:val="22"/>
          <w:szCs w:val="22"/>
        </w:rPr>
        <w:t> Ver inciso segundo del artículo </w:t>
      </w:r>
      <w:r w:rsidRPr="00DA5E31">
        <w:rPr>
          <w:rFonts w:ascii="Verdana" w:hAnsi="Verdana"/>
          <w:sz w:val="22"/>
          <w:szCs w:val="22"/>
        </w:rPr>
        <w:t>2 2 4.9.2.1</w:t>
      </w:r>
      <w:r w:rsidRPr="00156950">
        <w:rPr>
          <w:rFonts w:ascii="Verdana" w:hAnsi="Verdana"/>
          <w:sz w:val="22"/>
          <w:szCs w:val="22"/>
        </w:rPr>
        <w:t> del Decreto 1069 de 2015</w:t>
      </w:r>
    </w:p>
    <w:p w14:paraId="18F32057" w14:textId="68ABB3D6" w:rsidR="00156950" w:rsidRPr="00156950" w:rsidRDefault="00156950" w:rsidP="00DA5E31">
      <w:pPr>
        <w:jc w:val="both"/>
        <w:rPr>
          <w:rFonts w:ascii="Verdana" w:hAnsi="Verdana"/>
          <w:sz w:val="22"/>
          <w:szCs w:val="22"/>
        </w:rPr>
      </w:pPr>
      <w:bookmarkStart w:id="5" w:name="NF6"/>
      <w:r w:rsidRPr="00156950">
        <w:rPr>
          <w:rFonts w:ascii="Verdana" w:hAnsi="Verdana"/>
          <w:b/>
          <w:bCs/>
          <w:sz w:val="22"/>
          <w:szCs w:val="22"/>
        </w:rPr>
        <w:t>6.</w:t>
      </w:r>
      <w:bookmarkEnd w:id="5"/>
      <w:r w:rsidRPr="00156950">
        <w:rPr>
          <w:rFonts w:ascii="Verdana" w:hAnsi="Verdana"/>
          <w:sz w:val="22"/>
          <w:szCs w:val="22"/>
        </w:rPr>
        <w:t> Ver inciso tercero del artículo </w:t>
      </w:r>
      <w:r w:rsidRPr="00DA5E31">
        <w:rPr>
          <w:rFonts w:ascii="Verdana" w:hAnsi="Verdana"/>
          <w:sz w:val="22"/>
          <w:szCs w:val="22"/>
        </w:rPr>
        <w:t>2.2.4.9.2.1</w:t>
      </w:r>
      <w:r w:rsidRPr="00156950">
        <w:rPr>
          <w:rFonts w:ascii="Verdana" w:hAnsi="Verdana"/>
          <w:sz w:val="22"/>
          <w:szCs w:val="22"/>
        </w:rPr>
        <w:t> ibídem.</w:t>
      </w:r>
    </w:p>
    <w:p w14:paraId="422C78E1" w14:textId="77777777" w:rsidR="00156950" w:rsidRPr="00156950" w:rsidRDefault="00156950" w:rsidP="00DA5E31">
      <w:pPr>
        <w:jc w:val="both"/>
        <w:rPr>
          <w:rFonts w:ascii="Verdana" w:hAnsi="Verdana"/>
          <w:sz w:val="22"/>
          <w:szCs w:val="22"/>
        </w:rPr>
      </w:pPr>
      <w:bookmarkStart w:id="6" w:name="NF7"/>
      <w:r w:rsidRPr="00156950">
        <w:rPr>
          <w:rFonts w:ascii="Verdana" w:hAnsi="Verdana"/>
          <w:b/>
          <w:bCs/>
          <w:sz w:val="22"/>
          <w:szCs w:val="22"/>
        </w:rPr>
        <w:t>7.</w:t>
      </w:r>
      <w:bookmarkEnd w:id="6"/>
      <w:r w:rsidRPr="00156950">
        <w:rPr>
          <w:rFonts w:ascii="Verdana" w:hAnsi="Verdana"/>
          <w:sz w:val="22"/>
          <w:szCs w:val="22"/>
        </w:rPr>
        <w:t xml:space="preserve"> Como al realizar las referidas Intervenciones la Administración debe aplicar el derecho, no siempre a través de funcionarlos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loe órganos superiores de la Administración, con lo cual se cumple el mandato del Constituyente contenido en el en 209 de la Constitución, en el sentido de que la </w:t>
      </w:r>
      <w:r w:rsidRPr="00156950">
        <w:rPr>
          <w:rFonts w:ascii="Verdana" w:hAnsi="Verdana"/>
          <w:sz w:val="22"/>
          <w:szCs w:val="22"/>
        </w:rPr>
        <w:lastRenderedPageBreak/>
        <w:t>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7BFF51BC" w14:textId="77777777" w:rsidR="004E1D9B" w:rsidRPr="00156950" w:rsidRDefault="004E1D9B" w:rsidP="00156950">
      <w:pPr>
        <w:rPr>
          <w:rFonts w:ascii="Verdana" w:hAnsi="Verdana"/>
          <w:sz w:val="22"/>
          <w:szCs w:val="22"/>
        </w:rPr>
      </w:pPr>
    </w:p>
    <w:sectPr w:rsidR="004E1D9B" w:rsidRPr="001569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9B"/>
    <w:rsid w:val="000822F1"/>
    <w:rsid w:val="00156950"/>
    <w:rsid w:val="004E1D9B"/>
    <w:rsid w:val="006A76B6"/>
    <w:rsid w:val="007B1442"/>
    <w:rsid w:val="00B11A88"/>
    <w:rsid w:val="00DA5E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A9D1"/>
  <w15:chartTrackingRefBased/>
  <w15:docId w15:val="{953ED14B-57A2-4628-B087-0567515C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1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1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1D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1D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1D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1D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1D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1D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1D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1D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1D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1D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1D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1D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1D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1D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1D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1D9B"/>
    <w:rPr>
      <w:rFonts w:eastAsiaTheme="majorEastAsia" w:cstheme="majorBidi"/>
      <w:color w:val="272727" w:themeColor="text1" w:themeTint="D8"/>
    </w:rPr>
  </w:style>
  <w:style w:type="paragraph" w:styleId="Ttulo">
    <w:name w:val="Title"/>
    <w:basedOn w:val="Normal"/>
    <w:next w:val="Normal"/>
    <w:link w:val="TtuloCar"/>
    <w:uiPriority w:val="10"/>
    <w:qFormat/>
    <w:rsid w:val="004E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1D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1D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1D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1D9B"/>
    <w:pPr>
      <w:spacing w:before="160"/>
      <w:jc w:val="center"/>
    </w:pPr>
    <w:rPr>
      <w:i/>
      <w:iCs/>
      <w:color w:val="404040" w:themeColor="text1" w:themeTint="BF"/>
    </w:rPr>
  </w:style>
  <w:style w:type="character" w:customStyle="1" w:styleId="CitaCar">
    <w:name w:val="Cita Car"/>
    <w:basedOn w:val="Fuentedeprrafopredeter"/>
    <w:link w:val="Cita"/>
    <w:uiPriority w:val="29"/>
    <w:rsid w:val="004E1D9B"/>
    <w:rPr>
      <w:i/>
      <w:iCs/>
      <w:color w:val="404040" w:themeColor="text1" w:themeTint="BF"/>
    </w:rPr>
  </w:style>
  <w:style w:type="paragraph" w:styleId="Prrafodelista">
    <w:name w:val="List Paragraph"/>
    <w:basedOn w:val="Normal"/>
    <w:uiPriority w:val="34"/>
    <w:qFormat/>
    <w:rsid w:val="004E1D9B"/>
    <w:pPr>
      <w:ind w:left="720"/>
      <w:contextualSpacing/>
    </w:pPr>
  </w:style>
  <w:style w:type="character" w:styleId="nfasisintenso">
    <w:name w:val="Intense Emphasis"/>
    <w:basedOn w:val="Fuentedeprrafopredeter"/>
    <w:uiPriority w:val="21"/>
    <w:qFormat/>
    <w:rsid w:val="004E1D9B"/>
    <w:rPr>
      <w:i/>
      <w:iCs/>
      <w:color w:val="0F4761" w:themeColor="accent1" w:themeShade="BF"/>
    </w:rPr>
  </w:style>
  <w:style w:type="paragraph" w:styleId="Citadestacada">
    <w:name w:val="Intense Quote"/>
    <w:basedOn w:val="Normal"/>
    <w:next w:val="Normal"/>
    <w:link w:val="CitadestacadaCar"/>
    <w:uiPriority w:val="30"/>
    <w:qFormat/>
    <w:rsid w:val="004E1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1D9B"/>
    <w:rPr>
      <w:i/>
      <w:iCs/>
      <w:color w:val="0F4761" w:themeColor="accent1" w:themeShade="BF"/>
    </w:rPr>
  </w:style>
  <w:style w:type="character" w:styleId="Referenciaintensa">
    <w:name w:val="Intense Reference"/>
    <w:basedOn w:val="Fuentedeprrafopredeter"/>
    <w:uiPriority w:val="32"/>
    <w:qFormat/>
    <w:rsid w:val="004E1D9B"/>
    <w:rPr>
      <w:b/>
      <w:bCs/>
      <w:smallCaps/>
      <w:color w:val="0F4761" w:themeColor="accent1" w:themeShade="BF"/>
      <w:spacing w:val="5"/>
    </w:rPr>
  </w:style>
  <w:style w:type="character" w:styleId="Hipervnculo">
    <w:name w:val="Hyperlink"/>
    <w:basedOn w:val="Fuentedeprrafopredeter"/>
    <w:uiPriority w:val="99"/>
    <w:unhideWhenUsed/>
    <w:rsid w:val="004E1D9B"/>
    <w:rPr>
      <w:color w:val="467886" w:themeColor="hyperlink"/>
      <w:u w:val="single"/>
    </w:rPr>
  </w:style>
  <w:style w:type="character" w:styleId="Mencinsinresolver">
    <w:name w:val="Unresolved Mention"/>
    <w:basedOn w:val="Fuentedeprrafopredeter"/>
    <w:uiPriority w:val="99"/>
    <w:semiHidden/>
    <w:unhideWhenUsed/>
    <w:rsid w:val="004E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A0B7E-4149-4B02-B2E2-E2026BB7167F}"/>
</file>

<file path=customXml/itemProps2.xml><?xml version="1.0" encoding="utf-8"?>
<ds:datastoreItem xmlns:ds="http://schemas.openxmlformats.org/officeDocument/2006/customXml" ds:itemID="{133F9463-5F68-44FB-9B98-C4AFADF680AE}"/>
</file>

<file path=customXml/itemProps3.xml><?xml version="1.0" encoding="utf-8"?>
<ds:datastoreItem xmlns:ds="http://schemas.openxmlformats.org/officeDocument/2006/customXml" ds:itemID="{12F83B3A-15BE-4D29-B737-4407E31B74DB}"/>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8699</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2026-04-22T20:53:00Z</dcterms:created>
  <dcterms:modified xsi:type="dcterms:W3CDTF">2026-04-23T19:20:00Z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