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3B683" w14:textId="5484888F" w:rsidR="00CC54B5" w:rsidRPr="00CC54B5" w:rsidRDefault="00CC54B5" w:rsidP="00CC54B5">
      <w:pPr>
        <w:jc w:val="center"/>
        <w:rPr>
          <w:rFonts w:ascii="Verdana" w:hAnsi="Verdana"/>
          <w:b/>
          <w:bCs/>
        </w:rPr>
      </w:pPr>
      <w:r w:rsidRPr="00CC54B5">
        <w:rPr>
          <w:rFonts w:ascii="Verdana" w:hAnsi="Verdana"/>
          <w:b/>
          <w:bCs/>
        </w:rPr>
        <w:t>CONCEPTO 185 DE 2014</w:t>
      </w:r>
    </w:p>
    <w:p w14:paraId="3840926B" w14:textId="40CCE04B" w:rsidR="00CC54B5" w:rsidRPr="00CC54B5" w:rsidRDefault="00CC54B5" w:rsidP="00CC54B5">
      <w:pPr>
        <w:jc w:val="center"/>
        <w:rPr>
          <w:rFonts w:ascii="Verdana" w:hAnsi="Verdana"/>
        </w:rPr>
      </w:pPr>
      <w:r w:rsidRPr="00CC54B5">
        <w:rPr>
          <w:rFonts w:ascii="Verdana" w:hAnsi="Verdana"/>
        </w:rPr>
        <w:t>(</w:t>
      </w:r>
      <w:r w:rsidRPr="00CC54B5">
        <w:rPr>
          <w:rFonts w:ascii="Verdana" w:hAnsi="Verdana"/>
        </w:rPr>
        <w:t xml:space="preserve">29 de </w:t>
      </w:r>
      <w:r w:rsidRPr="00CC54B5">
        <w:rPr>
          <w:rFonts w:ascii="Verdana" w:hAnsi="Verdana"/>
        </w:rPr>
        <w:t>diciembr</w:t>
      </w:r>
      <w:r w:rsidRPr="00CC54B5">
        <w:rPr>
          <w:rFonts w:ascii="Verdana" w:hAnsi="Verdana"/>
        </w:rPr>
        <w:t>e</w:t>
      </w:r>
      <w:r w:rsidRPr="00CC54B5">
        <w:rPr>
          <w:rFonts w:ascii="Verdana" w:hAnsi="Verdana"/>
        </w:rPr>
        <w:t>)</w:t>
      </w:r>
    </w:p>
    <w:p w14:paraId="68950A53" w14:textId="0EC576A4" w:rsidR="00CC54B5" w:rsidRPr="00CC54B5" w:rsidRDefault="00CC54B5" w:rsidP="00CC54B5">
      <w:pPr>
        <w:jc w:val="center"/>
        <w:rPr>
          <w:rFonts w:ascii="Verdana" w:hAnsi="Verdana"/>
          <w:b/>
          <w:bCs/>
        </w:rPr>
      </w:pPr>
      <w:r w:rsidRPr="00CC54B5">
        <w:rPr>
          <w:rFonts w:ascii="Verdana" w:hAnsi="Verdana"/>
          <w:b/>
          <w:bCs/>
        </w:rPr>
        <w:t>INSTITUTO COLOMBIANO DE BIENESTAR FAMILIAR – ICBF</w:t>
      </w:r>
    </w:p>
    <w:p w14:paraId="54922B3B" w14:textId="48651971" w:rsidR="000B4793" w:rsidRDefault="00CC54B5" w:rsidP="00CC54B5">
      <w:pPr>
        <w:jc w:val="center"/>
        <w:rPr>
          <w:rFonts w:ascii="Verdana" w:hAnsi="Verdana"/>
          <w:b/>
          <w:bCs/>
        </w:rPr>
      </w:pPr>
      <w:r w:rsidRPr="00CC54B5">
        <w:rPr>
          <w:rFonts w:ascii="Verdana" w:hAnsi="Verdana"/>
          <w:b/>
          <w:bCs/>
        </w:rPr>
        <w:t>MEMORANDO</w:t>
      </w:r>
    </w:p>
    <w:p w14:paraId="0178DC19" w14:textId="77777777" w:rsidR="00CC54B5" w:rsidRPr="00CC54B5" w:rsidRDefault="00CC54B5" w:rsidP="00CC54B5">
      <w:pPr>
        <w:jc w:val="both"/>
        <w:rPr>
          <w:rFonts w:ascii="Verdana" w:hAnsi="Verdana"/>
        </w:rPr>
      </w:pPr>
      <w:r w:rsidRPr="00CC54B5">
        <w:rPr>
          <w:rFonts w:ascii="Verdana" w:hAnsi="Verdana"/>
          <w:b/>
          <w:bCs/>
        </w:rPr>
        <w:t>PARA:</w:t>
      </w:r>
      <w:r w:rsidRPr="00CC54B5">
        <w:rPr>
          <w:rFonts w:ascii="Verdana" w:hAnsi="Verdana"/>
        </w:rPr>
        <w:tab/>
      </w:r>
      <w:proofErr w:type="gramStart"/>
      <w:r w:rsidRPr="00CC54B5">
        <w:rPr>
          <w:rFonts w:ascii="Verdana" w:hAnsi="Verdana"/>
        </w:rPr>
        <w:t>Subdirectora</w:t>
      </w:r>
      <w:proofErr w:type="gramEnd"/>
      <w:r w:rsidRPr="00CC54B5">
        <w:rPr>
          <w:rFonts w:ascii="Verdana" w:hAnsi="Verdana"/>
        </w:rPr>
        <w:t xml:space="preserve"> de Restablecimiento de Derechos</w:t>
      </w:r>
    </w:p>
    <w:p w14:paraId="14A04CBA" w14:textId="77777777" w:rsidR="00CC54B5" w:rsidRPr="00CC54B5" w:rsidRDefault="00CC54B5" w:rsidP="00CC54B5">
      <w:pPr>
        <w:jc w:val="both"/>
        <w:rPr>
          <w:rFonts w:ascii="Verdana" w:hAnsi="Verdana"/>
        </w:rPr>
      </w:pPr>
      <w:r w:rsidRPr="00CC54B5">
        <w:rPr>
          <w:rFonts w:ascii="Verdana" w:hAnsi="Verdana"/>
          <w:b/>
          <w:bCs/>
        </w:rPr>
        <w:t>ASUNTO:</w:t>
      </w:r>
      <w:r w:rsidRPr="00CC54B5">
        <w:rPr>
          <w:rFonts w:ascii="Verdana" w:hAnsi="Verdana"/>
        </w:rPr>
        <w:tab/>
        <w:t>Motivos de ingreso en el Sistema de Información Misional (SIM)</w:t>
      </w:r>
    </w:p>
    <w:p w14:paraId="3FC8F7AD" w14:textId="640734DF" w:rsidR="00CC54B5" w:rsidRPr="00CC54B5" w:rsidRDefault="00CC54B5" w:rsidP="00CC54B5">
      <w:pPr>
        <w:jc w:val="both"/>
        <w:rPr>
          <w:rFonts w:ascii="Verdana" w:hAnsi="Verdana"/>
        </w:rPr>
      </w:pPr>
      <w:r w:rsidRPr="00CC54B5">
        <w:rPr>
          <w:rFonts w:ascii="Verdana" w:hAnsi="Verdana"/>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términos que siguen:</w:t>
      </w:r>
    </w:p>
    <w:p w14:paraId="745EBEC6" w14:textId="03844BD9" w:rsidR="00CC54B5" w:rsidRPr="00CC54B5" w:rsidRDefault="00CC54B5" w:rsidP="00CC54B5">
      <w:pPr>
        <w:jc w:val="both"/>
        <w:rPr>
          <w:rFonts w:ascii="Verdana" w:hAnsi="Verdana"/>
          <w:b/>
          <w:bCs/>
        </w:rPr>
      </w:pPr>
      <w:r w:rsidRPr="00CC54B5">
        <w:rPr>
          <w:rFonts w:ascii="Verdana" w:hAnsi="Verdana"/>
          <w:b/>
          <w:bCs/>
        </w:rPr>
        <w:t>1. PROBLEMA JURÍDICO</w:t>
      </w:r>
    </w:p>
    <w:p w14:paraId="5E681AB1" w14:textId="055E687A" w:rsidR="00CC54B5" w:rsidRPr="00CC54B5" w:rsidRDefault="00CC54B5" w:rsidP="00CC54B5">
      <w:pPr>
        <w:jc w:val="both"/>
        <w:rPr>
          <w:rFonts w:ascii="Verdana" w:hAnsi="Verdana"/>
        </w:rPr>
      </w:pPr>
      <w:r w:rsidRPr="00CC54B5">
        <w:rPr>
          <w:rFonts w:ascii="Verdana" w:hAnsi="Verdana"/>
        </w:rPr>
        <w:t>¿Los motivos de ingreso en el Sistema de Información Misional (SIM), sobre el delito de trata de personas deben establecerse según el ordenamiento jurídico?</w:t>
      </w:r>
    </w:p>
    <w:p w14:paraId="322F7982" w14:textId="11DABCFB" w:rsidR="00CC54B5" w:rsidRPr="00CC54B5" w:rsidRDefault="00CC54B5" w:rsidP="00CC54B5">
      <w:pPr>
        <w:jc w:val="both"/>
        <w:rPr>
          <w:rFonts w:ascii="Verdana" w:hAnsi="Verdana"/>
          <w:b/>
          <w:bCs/>
        </w:rPr>
      </w:pPr>
      <w:r w:rsidRPr="00CC54B5">
        <w:rPr>
          <w:rFonts w:ascii="Verdana" w:hAnsi="Verdana"/>
          <w:b/>
          <w:bCs/>
        </w:rPr>
        <w:t>2. ANÁLISIS DEL PROBLEMA JURÍDICO</w:t>
      </w:r>
    </w:p>
    <w:p w14:paraId="7CDF01A8" w14:textId="0F90A68E" w:rsidR="00CC54B5" w:rsidRPr="00CC54B5" w:rsidRDefault="00CC54B5" w:rsidP="00CC54B5">
      <w:pPr>
        <w:jc w:val="both"/>
        <w:rPr>
          <w:rFonts w:ascii="Verdana" w:hAnsi="Verdana"/>
        </w:rPr>
      </w:pPr>
      <w:r w:rsidRPr="00CC54B5">
        <w:rPr>
          <w:rFonts w:ascii="Verdana" w:hAnsi="Verdana"/>
        </w:rPr>
        <w:t>Se abordará el tema analizando: (2.1) En interés superior de los niños, niñas y adolescentes; (2.2) el sistema de información misional (SIM) y (2.3) La trata de personas.</w:t>
      </w:r>
    </w:p>
    <w:p w14:paraId="0D8B932C" w14:textId="3B523FFF" w:rsidR="00CC54B5" w:rsidRPr="00CC54B5" w:rsidRDefault="00CC54B5" w:rsidP="00CC54B5">
      <w:pPr>
        <w:jc w:val="both"/>
        <w:rPr>
          <w:rFonts w:ascii="Verdana" w:hAnsi="Verdana"/>
        </w:rPr>
      </w:pPr>
      <w:r w:rsidRPr="00CC54B5">
        <w:rPr>
          <w:rFonts w:ascii="Verdana" w:hAnsi="Verdana"/>
        </w:rPr>
        <w:t>(2.1) EI Interés Superior de los niños, las niñas y los adolescentes</w:t>
      </w:r>
    </w:p>
    <w:p w14:paraId="29F2C3F2" w14:textId="5D6DEC22" w:rsidR="00CC54B5" w:rsidRPr="00CC54B5" w:rsidRDefault="00CC54B5" w:rsidP="00CC54B5">
      <w:pPr>
        <w:jc w:val="both"/>
        <w:rPr>
          <w:rFonts w:ascii="Verdana" w:hAnsi="Verdana"/>
        </w:rPr>
      </w:pPr>
      <w:r w:rsidRPr="00CC54B5">
        <w:rPr>
          <w:rFonts w:ascii="Verdana" w:hAnsi="Verdana"/>
        </w:rPr>
        <w:t>La Convención sobre los Derechos del Niño en el numeral primero del artículo tercero establece que “(...) todas las medidas concernientes a los niños que tomen las instituciones públicas o privadas de bienestar social, los tribunales, las autoridades administrativas o los órganos legislativos, una consideración primordial a que se atenderá será el interés superior del niño”.  (subrayado fuera de texto).</w:t>
      </w:r>
    </w:p>
    <w:p w14:paraId="6A0FE23E" w14:textId="5D08ADAA" w:rsidR="00CC54B5" w:rsidRPr="00CC54B5" w:rsidRDefault="00CC54B5" w:rsidP="00CC54B5">
      <w:pPr>
        <w:jc w:val="both"/>
        <w:rPr>
          <w:rFonts w:ascii="Verdana" w:hAnsi="Verdana"/>
        </w:rPr>
      </w:pPr>
      <w:r w:rsidRPr="00CC54B5">
        <w:rPr>
          <w:rFonts w:ascii="Verdana" w:hAnsi="Verdana"/>
        </w:rPr>
        <w:t>La Constitución Política en el artículo 44 enuncia cuáles son los derechos fundamentales de los niños y estipula que la familia, la sociedad y el Estado tienen la obligación de asistirlos y protegerlos, para garantizarles su desarrollo armónico e integral y el ejercicio pleno de sus derechos. Así mismo contempla que los derechos de los niños prevalecen sobre los derechos de los demás.</w:t>
      </w:r>
    </w:p>
    <w:p w14:paraId="5F482879" w14:textId="16F860BC" w:rsidR="00CC54B5" w:rsidRPr="00CC54B5" w:rsidRDefault="00CC54B5" w:rsidP="00CC54B5">
      <w:pPr>
        <w:jc w:val="both"/>
        <w:rPr>
          <w:rFonts w:ascii="Verdana" w:hAnsi="Verdana"/>
        </w:rPr>
      </w:pPr>
      <w:r w:rsidRPr="00CC54B5">
        <w:rPr>
          <w:rFonts w:ascii="Verdana" w:hAnsi="Verdana"/>
        </w:rPr>
        <w:t>Por su parte, en el artículo 8 del Código de la Infancia y la Adolescencia se define el interés superior de los niños, las niñas y los adolescentes como “(…) el imperativo que obliga a todas las personas a garantizar la satisfacción integral y simultánea de todos sus derechos humanos, que son universales, prevalentes e interdependientes”.</w:t>
      </w:r>
    </w:p>
    <w:p w14:paraId="7FC08E08" w14:textId="48CEC397" w:rsidR="00CC54B5" w:rsidRPr="00CC54B5" w:rsidRDefault="00CC54B5" w:rsidP="00CC54B5">
      <w:pPr>
        <w:jc w:val="both"/>
        <w:rPr>
          <w:rFonts w:ascii="Verdana" w:hAnsi="Verdana"/>
        </w:rPr>
      </w:pPr>
      <w:r w:rsidRPr="00CC54B5">
        <w:rPr>
          <w:rFonts w:ascii="Verdana" w:hAnsi="Verdana"/>
        </w:rPr>
        <w:lastRenderedPageBreak/>
        <w:t>En ese sentido, la Corte Constitucional ha precisado que todas las actuaciones que realicen las autoridades públicas en las que se encuentren involucrados niños, niñas o adolescentes deben estar orientadas por el principio del interés superior.</w:t>
      </w:r>
    </w:p>
    <w:p w14:paraId="72C894D0" w14:textId="5F4E6830" w:rsidR="00CC54B5" w:rsidRPr="00CC54B5" w:rsidRDefault="00CC54B5" w:rsidP="00CC54B5">
      <w:pPr>
        <w:jc w:val="both"/>
        <w:rPr>
          <w:rFonts w:ascii="Verdana" w:hAnsi="Verdana"/>
        </w:rPr>
      </w:pPr>
      <w:r w:rsidRPr="00CC54B5">
        <w:rPr>
          <w:rFonts w:ascii="Verdana" w:hAnsi="Verdana"/>
        </w:rPr>
        <w:t xml:space="preserve">En efecto, la Corte ha afirmado que “el interés superior del menor no constituye un ente abstracto, desprovisto de vínculos con la realidad concreta, sobre el cual se puedan formular reglas generales de aplicación mecánica. Al contrario: el contenido de dicho interés, que es de naturaleza real y relacional, solo se puede establecer prestando la debida consideración a las circunstancias individuales, únicas e irrepetibles de cada menor de edad, </w:t>
      </w:r>
      <w:proofErr w:type="gramStart"/>
      <w:r w:rsidRPr="00CC54B5">
        <w:rPr>
          <w:rFonts w:ascii="Verdana" w:hAnsi="Verdana"/>
        </w:rPr>
        <w:t>que</w:t>
      </w:r>
      <w:proofErr w:type="gramEnd"/>
      <w:r w:rsidRPr="00CC54B5">
        <w:rPr>
          <w:rFonts w:ascii="Verdana" w:hAnsi="Verdana"/>
        </w:rPr>
        <w:t xml:space="preserve"> en tanto sujeto digno, debe ser atendido por la familia, la sociedad y el Estado con todo el cuidado que requiere su situación personal”.</w:t>
      </w:r>
    </w:p>
    <w:p w14:paraId="29A5A089" w14:textId="4603683F" w:rsidR="00CC54B5" w:rsidRPr="00CC54B5" w:rsidRDefault="00CC54B5" w:rsidP="00CC54B5">
      <w:pPr>
        <w:jc w:val="both"/>
        <w:rPr>
          <w:rFonts w:ascii="Verdana" w:hAnsi="Verdana"/>
        </w:rPr>
      </w:pPr>
      <w:r w:rsidRPr="00CC54B5">
        <w:rPr>
          <w:rFonts w:ascii="Verdana" w:hAnsi="Verdana"/>
        </w:rPr>
        <w:t>Así mismo sostuvo que “El interés superior del menor no constituye una cláusula vacía susceptible de amparar cualquier decisión. Por el contrario, para que una determinada decisión pueda justificarse en nombre del mencionado principio, es necesario que se reúnan, al menos, cuatro condiciones básica: 1) en primer lugar, el interés del menor en cuya defensa se actúa debe ser real, es decir, debe hacer relación a sus particulares necesidades y a sus especiales aptitudes físicas y sicológicas; 2) en segundo término debe ser independiente del criterio arbitrario de los demás, y por tanto, su existencia y protección no dependen de la voluntad o capricho de los padres o de los funcionarios públicos, encargados de protegerlo; 3) en tercer lugar, se trata de un concepto relacional, pues la garantía de su protección se predica frente a la existencia de interés en conflicto, cuyo ejercicio de ponderación debe ser guiado por la protección de este principio; 4) por último debe demostrarse que dicho interés tiende a lograr un beneficio jurídico supremo consistente en el pleno y armónico desarrollo de la personalidad del menor”.</w:t>
      </w:r>
    </w:p>
    <w:p w14:paraId="41AD53AF" w14:textId="0BC3076A" w:rsidR="00CC54B5" w:rsidRPr="00CC54B5" w:rsidRDefault="00CC54B5" w:rsidP="00CC54B5">
      <w:pPr>
        <w:jc w:val="both"/>
        <w:rPr>
          <w:rFonts w:ascii="Verdana" w:hAnsi="Verdana"/>
        </w:rPr>
      </w:pPr>
      <w:r w:rsidRPr="00CC54B5">
        <w:rPr>
          <w:rFonts w:ascii="Verdana" w:hAnsi="Verdana"/>
        </w:rPr>
        <w:t>De otra parte, en el Estatuto Integral del Defensor de Familia respecto al interés superior del niño, la niña y el adolescente se señala que “(…) se ve reflejado en una norma ampliamente aceptada por el derecho internacional, consistente en que a los menores de edad se les debe otorgar un trato preferente, acorde con su caracterización jurídica en tanto sujeto de especial protección, de forma tal que se garantice su desarrollo integral y armónico como miembro de la sociedad (…)”.</w:t>
      </w:r>
    </w:p>
    <w:p w14:paraId="3A7D9AAC" w14:textId="54002EC5" w:rsidR="00CC54B5" w:rsidRPr="00CC54B5" w:rsidRDefault="00CC54B5" w:rsidP="00CC54B5">
      <w:pPr>
        <w:jc w:val="both"/>
        <w:rPr>
          <w:rFonts w:ascii="Verdana" w:hAnsi="Verdana"/>
        </w:rPr>
      </w:pPr>
      <w:r w:rsidRPr="00CC54B5">
        <w:rPr>
          <w:rFonts w:ascii="Verdana" w:hAnsi="Verdana"/>
        </w:rPr>
        <w:t>(2.2) El sistema de información misional (SIM)</w:t>
      </w:r>
    </w:p>
    <w:p w14:paraId="3DE711B8" w14:textId="260F1D6D" w:rsidR="00CC54B5" w:rsidRPr="00CC54B5" w:rsidRDefault="00CC54B5" w:rsidP="00CC54B5">
      <w:pPr>
        <w:jc w:val="both"/>
        <w:rPr>
          <w:rFonts w:ascii="Verdana" w:hAnsi="Verdana"/>
        </w:rPr>
      </w:pPr>
      <w:r w:rsidRPr="00CC54B5">
        <w:rPr>
          <w:rFonts w:ascii="Verdana" w:hAnsi="Verdana"/>
        </w:rPr>
        <w:t xml:space="preserve">La Ley 1098 de 2006 establece en su artículo 77 la creación por parte del Instituto del sistema de información de restablecimiento de derechos el cual tiene como finalidad llevar el registro de los niños, niñas y adolescentes cuyos derechos se denuncian como amenazados o vulnerados, agrega además que dicho registro incluirá la medida adoptada, el funcionario que adelantó la actuación y el </w:t>
      </w:r>
      <w:proofErr w:type="spellStart"/>
      <w:r w:rsidRPr="00CC54B5">
        <w:rPr>
          <w:rFonts w:ascii="Verdana" w:hAnsi="Verdana"/>
        </w:rPr>
        <w:t>térmijo</w:t>
      </w:r>
      <w:proofErr w:type="spellEnd"/>
      <w:r w:rsidRPr="00CC54B5">
        <w:rPr>
          <w:rFonts w:ascii="Verdana" w:hAnsi="Verdana"/>
        </w:rPr>
        <w:t xml:space="preserve"> de duración del proceso.</w:t>
      </w:r>
    </w:p>
    <w:p w14:paraId="56C403AE" w14:textId="2CE89A9E" w:rsidR="00CC54B5" w:rsidRPr="00CC54B5" w:rsidRDefault="00CC54B5" w:rsidP="00CC54B5">
      <w:pPr>
        <w:jc w:val="both"/>
        <w:rPr>
          <w:rFonts w:ascii="Verdana" w:hAnsi="Verdana"/>
        </w:rPr>
      </w:pPr>
      <w:r w:rsidRPr="00CC54B5">
        <w:rPr>
          <w:rFonts w:ascii="Verdana" w:hAnsi="Verdana"/>
        </w:rPr>
        <w:lastRenderedPageBreak/>
        <w:t>El Sistema de Información Misional - SIM es un Software desarrollado para cubrir las necesidades de información del ICBF que se originan en sus procesos misionales (Atención al Ciudadano, Prevención y Protección), sirve de apoyo a las acciones realizadas para la prestación de los servicios y tiene como finalidad facilitar el registro, la consolidación, conectividad y reporte de información local, regional y nacional de manera oportuna y confiable.</w:t>
      </w:r>
    </w:p>
    <w:p w14:paraId="54EB1C76" w14:textId="728065D4" w:rsidR="00CC54B5" w:rsidRPr="00CC54B5" w:rsidRDefault="00CC54B5" w:rsidP="00CC54B5">
      <w:pPr>
        <w:jc w:val="both"/>
        <w:rPr>
          <w:rFonts w:ascii="Verdana" w:hAnsi="Verdana"/>
        </w:rPr>
      </w:pPr>
      <w:r w:rsidRPr="00CC54B5">
        <w:rPr>
          <w:rFonts w:ascii="Verdana" w:hAnsi="Verdana"/>
        </w:rPr>
        <w:t>(2.3) El delito de trata de personas</w:t>
      </w:r>
    </w:p>
    <w:p w14:paraId="207823A7" w14:textId="42CF6C54" w:rsidR="00CC54B5" w:rsidRPr="00CC54B5" w:rsidRDefault="00CC54B5" w:rsidP="00CC54B5">
      <w:pPr>
        <w:jc w:val="both"/>
        <w:rPr>
          <w:rFonts w:ascii="Verdana" w:hAnsi="Verdana"/>
        </w:rPr>
      </w:pPr>
      <w:r w:rsidRPr="00CC54B5">
        <w:rPr>
          <w:rFonts w:ascii="Verdana" w:hAnsi="Verdana"/>
        </w:rPr>
        <w:t>La trata de personas es un hecho punible que recae indiscriminadamente sobre hombre, mujeres, niños, niñas, de todas las razas. No solo implica el traslado de la persona al exterior, existe también la trata interna, y en cualquiera de las dos modalidades se puede dar explotación laboral, sexual, reclutamiento forzoso, entre otros.</w:t>
      </w:r>
    </w:p>
    <w:p w14:paraId="632DB4D4" w14:textId="2A7BA52A" w:rsidR="00CC54B5" w:rsidRPr="00CC54B5" w:rsidRDefault="00CC54B5" w:rsidP="00CC54B5">
      <w:pPr>
        <w:jc w:val="both"/>
        <w:rPr>
          <w:rFonts w:ascii="Verdana" w:hAnsi="Verdana"/>
        </w:rPr>
      </w:pPr>
      <w:r w:rsidRPr="00CC54B5">
        <w:rPr>
          <w:rFonts w:ascii="Verdana" w:hAnsi="Verdana"/>
        </w:rPr>
        <w:t>El artículo 188A, del régimen penal colombiano establece:</w:t>
      </w:r>
    </w:p>
    <w:p w14:paraId="06D06CDE" w14:textId="647BFD25" w:rsidR="00CC54B5" w:rsidRPr="00CC54B5" w:rsidRDefault="00CC54B5" w:rsidP="00CC54B5">
      <w:pPr>
        <w:jc w:val="both"/>
        <w:rPr>
          <w:rFonts w:ascii="Verdana" w:hAnsi="Verdana"/>
        </w:rPr>
      </w:pPr>
      <w:r w:rsidRPr="00CC54B5">
        <w:rPr>
          <w:rFonts w:ascii="Verdana" w:hAnsi="Verdana"/>
        </w:rPr>
        <w:t>“El que capte, traslade, acoja o reciba a una persona, dentro del territorio nacional o hacia el exterior, con fines de explotación, incurrirá en prisión de (…)</w:t>
      </w:r>
    </w:p>
    <w:p w14:paraId="19E18DB7" w14:textId="03AB59D3" w:rsidR="00CC54B5" w:rsidRPr="00CC54B5" w:rsidRDefault="00CC54B5" w:rsidP="00CC54B5">
      <w:pPr>
        <w:jc w:val="both"/>
        <w:rPr>
          <w:rFonts w:ascii="Verdana" w:hAnsi="Verdana"/>
        </w:rPr>
      </w:pPr>
      <w:r w:rsidRPr="00CC54B5">
        <w:rPr>
          <w:rFonts w:ascii="Verdana" w:hAnsi="Verdana"/>
        </w:rPr>
        <w:t>Para efectos de este artículo se entenderá por explotación el obtener provecho económico o cualquier otro beneficio para sí o para otra persona, mediante la explotación de la prostitución ajena a otras formas de explotación sexual, los trabajos o servicios forzados, la esclavitud o las prácticas análogas a la esclavitud, la servidumbre, la explotación de la mendicidad ajena, el matrimonio servil, la extracción de órganos, el turismo sexual u otras formas de explotación”.</w:t>
      </w:r>
    </w:p>
    <w:p w14:paraId="794A2CC2" w14:textId="5FA19DE9" w:rsidR="00CC54B5" w:rsidRPr="00CC54B5" w:rsidRDefault="00CC54B5" w:rsidP="00CC54B5">
      <w:pPr>
        <w:jc w:val="both"/>
        <w:rPr>
          <w:rFonts w:ascii="Verdana" w:hAnsi="Verdana"/>
        </w:rPr>
      </w:pPr>
      <w:r w:rsidRPr="00CC54B5">
        <w:rPr>
          <w:rFonts w:ascii="Verdana" w:hAnsi="Verdana"/>
        </w:rPr>
        <w:t>(..)</w:t>
      </w:r>
    </w:p>
    <w:p w14:paraId="06A39FB1" w14:textId="5633DE91" w:rsidR="00CC54B5" w:rsidRPr="00CC54B5" w:rsidRDefault="00CC54B5" w:rsidP="00CC54B5">
      <w:pPr>
        <w:jc w:val="both"/>
        <w:rPr>
          <w:rFonts w:ascii="Verdana" w:hAnsi="Verdana"/>
        </w:rPr>
      </w:pPr>
      <w:r w:rsidRPr="00CC54B5">
        <w:rPr>
          <w:rFonts w:ascii="Verdana" w:hAnsi="Verdana"/>
        </w:rPr>
        <w:t>Como puede observarse el artículo determina que respecto a la explotación de la prostitución es ajena a otras formas de explotación sexual.</w:t>
      </w:r>
    </w:p>
    <w:p w14:paraId="6CE0E54D" w14:textId="1EEE423C" w:rsidR="00CC54B5" w:rsidRPr="00CC54B5" w:rsidRDefault="00CC54B5" w:rsidP="00CC54B5">
      <w:pPr>
        <w:jc w:val="both"/>
        <w:rPr>
          <w:rFonts w:ascii="Verdana" w:hAnsi="Verdana"/>
        </w:rPr>
      </w:pPr>
      <w:r w:rsidRPr="00CC54B5">
        <w:rPr>
          <w:rFonts w:ascii="Verdana" w:hAnsi="Verdana"/>
        </w:rPr>
        <w:t xml:space="preserve">Ahora </w:t>
      </w:r>
      <w:proofErr w:type="gramStart"/>
      <w:r w:rsidRPr="00CC54B5">
        <w:rPr>
          <w:rFonts w:ascii="Verdana" w:hAnsi="Verdana"/>
        </w:rPr>
        <w:t>bien</w:t>
      </w:r>
      <w:proofErr w:type="gramEnd"/>
      <w:r w:rsidRPr="00CC54B5">
        <w:rPr>
          <w:rFonts w:ascii="Verdana" w:hAnsi="Verdana"/>
        </w:rPr>
        <w:t xml:space="preserve"> la clasificación realizada desde la perspectiva psicológica, como lo indica el concepto se hace teniendo en cuenta el lineamiento técnico para el programa especializado de Atención a niños, niñas y adolescentes víctima de violencia sexual.</w:t>
      </w:r>
    </w:p>
    <w:p w14:paraId="7677F207" w14:textId="356FBE4E" w:rsidR="00CC54B5" w:rsidRPr="00CC54B5" w:rsidRDefault="00CC54B5" w:rsidP="00CC54B5">
      <w:pPr>
        <w:jc w:val="both"/>
        <w:rPr>
          <w:rFonts w:ascii="Verdana" w:hAnsi="Verdana"/>
        </w:rPr>
      </w:pPr>
      <w:r w:rsidRPr="00CC54B5">
        <w:rPr>
          <w:rFonts w:ascii="Verdana" w:hAnsi="Verdana"/>
        </w:rPr>
        <w:t xml:space="preserve">En razón a lo anterior considera </w:t>
      </w:r>
      <w:proofErr w:type="gramStart"/>
      <w:r w:rsidRPr="00CC54B5">
        <w:rPr>
          <w:rFonts w:ascii="Verdana" w:hAnsi="Verdana"/>
        </w:rPr>
        <w:t>ésta</w:t>
      </w:r>
      <w:proofErr w:type="gramEnd"/>
      <w:r w:rsidRPr="00CC54B5">
        <w:rPr>
          <w:rFonts w:ascii="Verdana" w:hAnsi="Verdana"/>
        </w:rPr>
        <w:t xml:space="preserve"> oficina que la clasificación que se debe utilizar en el SIM respecto de la trata de personas es la que establece el código penal colombiano.</w:t>
      </w:r>
    </w:p>
    <w:p w14:paraId="239DFDD3" w14:textId="5DBDFC92" w:rsidR="00CC54B5" w:rsidRPr="00CC54B5" w:rsidRDefault="00CC54B5" w:rsidP="00CC54B5">
      <w:pPr>
        <w:jc w:val="both"/>
        <w:rPr>
          <w:rFonts w:ascii="Verdana" w:hAnsi="Verdana"/>
        </w:rPr>
      </w:pPr>
      <w:r w:rsidRPr="00CC54B5">
        <w:rPr>
          <w:rFonts w:ascii="Verdana" w:hAnsi="Verdana"/>
        </w:rPr>
        <w:t xml:space="preserve">El presente concepto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CC54B5">
        <w:rPr>
          <w:rFonts w:ascii="Verdana" w:hAnsi="Verdana"/>
        </w:rPr>
        <w:t>obstante</w:t>
      </w:r>
      <w:proofErr w:type="gramEnd"/>
      <w:r w:rsidRPr="00CC54B5">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w:t>
      </w:r>
      <w:r w:rsidRPr="00CC54B5">
        <w:rPr>
          <w:rFonts w:ascii="Verdana" w:hAnsi="Verdana"/>
        </w:rPr>
        <w:lastRenderedPageBreak/>
        <w:t>Jurídica de mantener la unidad doctrinaria e impartir las directrices jurídicas necesarias para el desarrollo de las funciones del Instituto, de conformidad con los numerales 8 y 15 del Decreto 987 de 2012.</w:t>
      </w:r>
    </w:p>
    <w:p w14:paraId="6F009211" w14:textId="5C8F4F0B" w:rsidR="00CC54B5" w:rsidRPr="00CC54B5" w:rsidRDefault="00CC54B5" w:rsidP="00CC54B5">
      <w:pPr>
        <w:jc w:val="both"/>
        <w:rPr>
          <w:rFonts w:ascii="Verdana" w:hAnsi="Verdana"/>
        </w:rPr>
      </w:pPr>
      <w:r w:rsidRPr="00CC54B5">
        <w:rPr>
          <w:rFonts w:ascii="Verdana" w:hAnsi="Verdana"/>
        </w:rPr>
        <w:t>Cordialmente,</w:t>
      </w:r>
    </w:p>
    <w:p w14:paraId="3F52DE29" w14:textId="1CC9F6A3" w:rsidR="00CC54B5" w:rsidRPr="00CC54B5" w:rsidRDefault="00CC54B5" w:rsidP="00CC54B5">
      <w:pPr>
        <w:jc w:val="center"/>
        <w:rPr>
          <w:rFonts w:ascii="Verdana" w:hAnsi="Verdana"/>
          <w:b/>
          <w:bCs/>
        </w:rPr>
      </w:pPr>
      <w:r w:rsidRPr="00CC54B5">
        <w:rPr>
          <w:rFonts w:ascii="Verdana" w:hAnsi="Verdana"/>
          <w:b/>
          <w:bCs/>
        </w:rPr>
        <w:t>LUZ KARIME FERNANDEZ CASTILLO</w:t>
      </w:r>
    </w:p>
    <w:p w14:paraId="47A8D546" w14:textId="3D03B666" w:rsidR="00CC54B5" w:rsidRPr="00CC54B5" w:rsidRDefault="00CC54B5" w:rsidP="00CC54B5">
      <w:pPr>
        <w:jc w:val="center"/>
        <w:rPr>
          <w:rFonts w:ascii="Verdana" w:hAnsi="Verdana"/>
        </w:rPr>
      </w:pPr>
      <w:r w:rsidRPr="00CC54B5">
        <w:rPr>
          <w:rFonts w:ascii="Verdana" w:hAnsi="Verdana"/>
        </w:rPr>
        <w:t>JEFE OFICINA ASESORA JURÍDICA</w:t>
      </w:r>
    </w:p>
    <w:p w14:paraId="3F1ACBEB" w14:textId="734A8C18" w:rsidR="00CC54B5" w:rsidRPr="00CC54B5" w:rsidRDefault="00CC54B5" w:rsidP="00CC54B5">
      <w:pPr>
        <w:jc w:val="both"/>
        <w:rPr>
          <w:rFonts w:ascii="Verdana" w:hAnsi="Verdana"/>
        </w:rPr>
      </w:pPr>
      <w:r w:rsidRPr="00CC54B5">
        <w:rPr>
          <w:rFonts w:ascii="Verdana" w:hAnsi="Verdana"/>
        </w:rPr>
        <w:t>* * *</w:t>
      </w:r>
    </w:p>
    <w:p w14:paraId="65362D97" w14:textId="0DED721C" w:rsidR="00CC54B5" w:rsidRPr="00CC54B5" w:rsidRDefault="00CC54B5" w:rsidP="00CC54B5">
      <w:pPr>
        <w:jc w:val="both"/>
        <w:rPr>
          <w:rFonts w:ascii="Verdana" w:hAnsi="Verdana"/>
        </w:rPr>
      </w:pPr>
      <w:r w:rsidRPr="00CC54B5">
        <w:rPr>
          <w:rFonts w:ascii="Verdana" w:hAnsi="Verdana"/>
        </w:rPr>
        <w:t>1. Ley 1098 del 8 de noviembre de 2006.</w:t>
      </w:r>
    </w:p>
    <w:p w14:paraId="49D163D3" w14:textId="693F5A49" w:rsidR="00CC54B5" w:rsidRPr="00CC54B5" w:rsidRDefault="00CC54B5" w:rsidP="00CC54B5">
      <w:pPr>
        <w:jc w:val="both"/>
        <w:rPr>
          <w:rFonts w:ascii="Verdana" w:hAnsi="Verdana"/>
        </w:rPr>
      </w:pPr>
      <w:r w:rsidRPr="00CC54B5">
        <w:rPr>
          <w:rFonts w:ascii="Verdana" w:hAnsi="Verdana"/>
        </w:rPr>
        <w:t>2. Corte Constitucional, sentencia T-408-95, expediente T-71149, M. P. Eduardo Cifuentes Muñoz.</w:t>
      </w:r>
    </w:p>
    <w:p w14:paraId="7B7B531E" w14:textId="3E77929D" w:rsidR="00CC54B5" w:rsidRPr="00CC54B5" w:rsidRDefault="00CC54B5" w:rsidP="00CC54B5">
      <w:pPr>
        <w:jc w:val="both"/>
        <w:rPr>
          <w:rFonts w:ascii="Verdana" w:hAnsi="Verdana"/>
        </w:rPr>
      </w:pPr>
      <w:r w:rsidRPr="00CC54B5">
        <w:rPr>
          <w:rFonts w:ascii="Verdana" w:hAnsi="Verdana"/>
        </w:rPr>
        <w:t>3. T-503 de 2003 y T-397 de 2004 (MP Manuel José Cepeda Espinosa). Cita sacada de la sentencia T-502 de 2011, expediente T-2622716, M. P. Jorge Ignacio Pretelt Chaljub.</w:t>
      </w:r>
    </w:p>
    <w:p w14:paraId="739830CD" w14:textId="52794563" w:rsidR="00CC54B5" w:rsidRPr="00CC54B5" w:rsidRDefault="00CC54B5" w:rsidP="00CC54B5">
      <w:pPr>
        <w:jc w:val="both"/>
        <w:rPr>
          <w:rFonts w:ascii="Verdana" w:hAnsi="Verdana"/>
        </w:rPr>
      </w:pPr>
      <w:r w:rsidRPr="00CC54B5">
        <w:rPr>
          <w:rFonts w:ascii="Verdana" w:hAnsi="Verdana"/>
        </w:rPr>
        <w:t>4. Corte Constitucional, sentencia T-587 de 1997 M. P. Dr. Eduardo Cifuentes Muñoz.</w:t>
      </w:r>
    </w:p>
    <w:p w14:paraId="698DCFCD" w14:textId="3095205C" w:rsidR="00CC54B5" w:rsidRPr="00CC54B5" w:rsidRDefault="00CC54B5" w:rsidP="00CC54B5">
      <w:pPr>
        <w:jc w:val="both"/>
        <w:rPr>
          <w:rFonts w:ascii="Verdana" w:hAnsi="Verdana"/>
        </w:rPr>
      </w:pPr>
      <w:r w:rsidRPr="00CC54B5">
        <w:rPr>
          <w:rFonts w:ascii="Verdana" w:hAnsi="Verdana"/>
        </w:rPr>
        <w:t xml:space="preserve">5.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w:t>
      </w:r>
      <w:proofErr w:type="spellStart"/>
      <w:r w:rsidRPr="00CC54B5">
        <w:rPr>
          <w:rFonts w:ascii="Verdana" w:hAnsi="Verdana"/>
        </w:rPr>
        <w:t>Carbonel</w:t>
      </w:r>
      <w:proofErr w:type="spellEnd"/>
      <w:r w:rsidRPr="00CC54B5">
        <w:rPr>
          <w:rFonts w:ascii="Verdana" w:hAnsi="Verdana"/>
        </w:rPr>
        <w:t>.</w:t>
      </w:r>
    </w:p>
    <w:sectPr w:rsidR="00CC54B5" w:rsidRPr="00CC54B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4B5"/>
    <w:rsid w:val="000B4793"/>
    <w:rsid w:val="00CC54B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CBD7B"/>
  <w15:chartTrackingRefBased/>
  <w15:docId w15:val="{B305C19B-6D41-4EA7-B166-1BE9D5846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3B762D41-22E2-4CCF-8314-B94B896687D6}"/>
</file>

<file path=customXml/itemProps2.xml><?xml version="1.0" encoding="utf-8"?>
<ds:datastoreItem xmlns:ds="http://schemas.openxmlformats.org/officeDocument/2006/customXml" ds:itemID="{00FE12AB-2F70-4A0D-9384-B809E60724E2}"/>
</file>

<file path=customXml/itemProps3.xml><?xml version="1.0" encoding="utf-8"?>
<ds:datastoreItem xmlns:ds="http://schemas.openxmlformats.org/officeDocument/2006/customXml" ds:itemID="{ADC6DC1A-1C19-4509-A3EC-90F796CD13BB}"/>
</file>

<file path=docProps/app.xml><?xml version="1.0" encoding="utf-8"?>
<Properties xmlns="http://schemas.openxmlformats.org/officeDocument/2006/extended-properties" xmlns:vt="http://schemas.openxmlformats.org/officeDocument/2006/docPropsVTypes">
  <Template>Normal</Template>
  <TotalTime>3</TotalTime>
  <Pages>4</Pages>
  <Words>1534</Words>
  <Characters>8443</Characters>
  <Application>Microsoft Office Word</Application>
  <DocSecurity>0</DocSecurity>
  <Lines>70</Lines>
  <Paragraphs>19</Paragraphs>
  <ScaleCrop>false</ScaleCrop>
  <Company/>
  <LinksUpToDate>false</LinksUpToDate>
  <CharactersWithSpaces>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2026-07-09T14:03:00Z</dcterms:created>
  <dcterms:modified xsi:type="dcterms:W3CDTF">2026-07-09T14:06:00Z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