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90B7" w14:textId="4DC82ECC" w:rsidR="004A2A87" w:rsidRPr="004A2A87" w:rsidRDefault="004A2A87" w:rsidP="004A2A87">
      <w:pPr>
        <w:jc w:val="center"/>
        <w:rPr>
          <w:rFonts w:ascii="Verdana" w:hAnsi="Verdana"/>
          <w:b/>
          <w:bCs/>
        </w:rPr>
      </w:pPr>
      <w:r w:rsidRPr="004A2A87">
        <w:rPr>
          <w:rFonts w:ascii="Verdana" w:hAnsi="Verdana"/>
          <w:b/>
          <w:bCs/>
        </w:rPr>
        <w:t>CONCEPTO 178 DE 2014</w:t>
      </w:r>
    </w:p>
    <w:p w14:paraId="3D1AC3F3" w14:textId="597BE2D7" w:rsidR="004A2A87" w:rsidRPr="004A2A87" w:rsidRDefault="004A2A87" w:rsidP="004A2A87">
      <w:pPr>
        <w:jc w:val="center"/>
        <w:rPr>
          <w:rFonts w:ascii="Verdana" w:hAnsi="Verdana"/>
        </w:rPr>
      </w:pPr>
      <w:r w:rsidRPr="004A2A87">
        <w:rPr>
          <w:rFonts w:ascii="Verdana" w:hAnsi="Verdana"/>
        </w:rPr>
        <w:t>(</w:t>
      </w:r>
      <w:r w:rsidRPr="004A2A87">
        <w:rPr>
          <w:rFonts w:ascii="Verdana" w:hAnsi="Verdana"/>
        </w:rPr>
        <w:t xml:space="preserve">18 de </w:t>
      </w:r>
      <w:r w:rsidRPr="004A2A87">
        <w:rPr>
          <w:rFonts w:ascii="Verdana" w:hAnsi="Verdana"/>
        </w:rPr>
        <w:t>diciembre)</w:t>
      </w:r>
    </w:p>
    <w:p w14:paraId="2C0146A7" w14:textId="00BA3E4E" w:rsidR="004A2A87" w:rsidRPr="004A2A87" w:rsidRDefault="004A2A87" w:rsidP="004A2A87">
      <w:pPr>
        <w:jc w:val="center"/>
        <w:rPr>
          <w:rFonts w:ascii="Verdana" w:hAnsi="Verdana"/>
          <w:b/>
          <w:bCs/>
        </w:rPr>
      </w:pPr>
      <w:r w:rsidRPr="004A2A87">
        <w:rPr>
          <w:rFonts w:ascii="Verdana" w:hAnsi="Verdana"/>
          <w:b/>
          <w:bCs/>
        </w:rPr>
        <w:t>INSTITUTO COLOMBIANO DE BIENESTAR FAMILIAR – ICBF</w:t>
      </w:r>
    </w:p>
    <w:p w14:paraId="36B3D240" w14:textId="03F4F4E8" w:rsidR="000B4793" w:rsidRDefault="004A2A87" w:rsidP="004A2A87">
      <w:pPr>
        <w:jc w:val="center"/>
        <w:rPr>
          <w:rFonts w:ascii="Verdana" w:hAnsi="Verdana"/>
          <w:b/>
          <w:bCs/>
        </w:rPr>
      </w:pPr>
      <w:r w:rsidRPr="004A2A87">
        <w:rPr>
          <w:rFonts w:ascii="Verdana" w:hAnsi="Verdana"/>
          <w:b/>
          <w:bCs/>
        </w:rPr>
        <w:t>MEMORANDO</w:t>
      </w:r>
    </w:p>
    <w:p w14:paraId="55ABF1D5" w14:textId="77777777" w:rsidR="004A2A87" w:rsidRPr="004A2A87" w:rsidRDefault="004A2A87" w:rsidP="004A2A87">
      <w:pPr>
        <w:jc w:val="both"/>
        <w:rPr>
          <w:rFonts w:ascii="Verdana" w:hAnsi="Verdana"/>
        </w:rPr>
      </w:pPr>
      <w:r w:rsidRPr="004A2A87">
        <w:rPr>
          <w:rFonts w:ascii="Verdana" w:hAnsi="Verdana"/>
          <w:b/>
          <w:bCs/>
        </w:rPr>
        <w:t>PARA:</w:t>
      </w:r>
      <w:r w:rsidRPr="004A2A87">
        <w:rPr>
          <w:rFonts w:ascii="Verdana" w:hAnsi="Verdana"/>
          <w:b/>
          <w:bCs/>
        </w:rPr>
        <w:tab/>
      </w:r>
      <w:proofErr w:type="gramStart"/>
      <w:r w:rsidRPr="004A2A87">
        <w:rPr>
          <w:rFonts w:ascii="Verdana" w:hAnsi="Verdana"/>
        </w:rPr>
        <w:t>Secretaria General</w:t>
      </w:r>
      <w:proofErr w:type="gramEnd"/>
    </w:p>
    <w:p w14:paraId="40696DA4" w14:textId="77777777" w:rsidR="004A2A87" w:rsidRPr="004A2A87" w:rsidRDefault="004A2A87" w:rsidP="004A2A87">
      <w:pPr>
        <w:jc w:val="both"/>
        <w:rPr>
          <w:rFonts w:ascii="Verdana" w:hAnsi="Verdana"/>
        </w:rPr>
      </w:pPr>
      <w:r w:rsidRPr="004A2A87">
        <w:rPr>
          <w:rFonts w:ascii="Verdana" w:hAnsi="Verdana"/>
          <w:b/>
          <w:bCs/>
        </w:rPr>
        <w:t>ASUNTO:</w:t>
      </w:r>
      <w:r w:rsidRPr="004A2A87">
        <w:rPr>
          <w:rFonts w:ascii="Verdana" w:hAnsi="Verdana"/>
        </w:rPr>
        <w:tab/>
        <w:t>Otorgamiento o Reconocimiento de Personería Jurídica para instituciones de salud.</w:t>
      </w:r>
    </w:p>
    <w:p w14:paraId="42ACD6D3" w14:textId="61564E7B" w:rsidR="004A2A87" w:rsidRPr="004A2A87" w:rsidRDefault="004A2A87" w:rsidP="004A2A87">
      <w:pPr>
        <w:jc w:val="both"/>
        <w:rPr>
          <w:rFonts w:ascii="Verdana" w:hAnsi="Verdana"/>
        </w:rPr>
      </w:pPr>
      <w:r w:rsidRPr="004A2A87">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3358DF78" w14:textId="470DA0B2" w:rsidR="004A2A87" w:rsidRPr="004A2A87" w:rsidRDefault="004A2A87" w:rsidP="004A2A87">
      <w:pPr>
        <w:jc w:val="both"/>
        <w:rPr>
          <w:rFonts w:ascii="Verdana" w:hAnsi="Verdana"/>
          <w:b/>
          <w:bCs/>
        </w:rPr>
      </w:pPr>
      <w:r w:rsidRPr="004A2A87">
        <w:rPr>
          <w:rFonts w:ascii="Verdana" w:hAnsi="Verdana"/>
          <w:b/>
          <w:bCs/>
        </w:rPr>
        <w:t>1. PROBLEMA JURIDICO</w:t>
      </w:r>
    </w:p>
    <w:p w14:paraId="57AF281D" w14:textId="70DAA899" w:rsidR="004A2A87" w:rsidRPr="004A2A87" w:rsidRDefault="004A2A87" w:rsidP="004A2A87">
      <w:pPr>
        <w:jc w:val="both"/>
        <w:rPr>
          <w:rFonts w:ascii="Verdana" w:hAnsi="Verdana"/>
        </w:rPr>
      </w:pPr>
      <w:r w:rsidRPr="004A2A87">
        <w:rPr>
          <w:rFonts w:ascii="Verdana" w:hAnsi="Verdana"/>
        </w:rPr>
        <w:t>¿Puede el ICBF contratar con una Institución de salud que no cuente con personería reconocida por el ICBF?</w:t>
      </w:r>
    </w:p>
    <w:p w14:paraId="033B93DB" w14:textId="0F82F0EB" w:rsidR="004A2A87" w:rsidRPr="004A2A87" w:rsidRDefault="004A2A87" w:rsidP="004A2A87">
      <w:pPr>
        <w:jc w:val="both"/>
        <w:rPr>
          <w:rFonts w:ascii="Verdana" w:hAnsi="Verdana"/>
          <w:b/>
          <w:bCs/>
        </w:rPr>
      </w:pPr>
      <w:r w:rsidRPr="004A2A87">
        <w:rPr>
          <w:rFonts w:ascii="Verdana" w:hAnsi="Verdana"/>
          <w:b/>
          <w:bCs/>
        </w:rPr>
        <w:t>2. ANÁLISIS DEL PROBLEMA JURÍDICO</w:t>
      </w:r>
    </w:p>
    <w:p w14:paraId="6DF66EB3" w14:textId="2D611A40" w:rsidR="004A2A87" w:rsidRPr="004A2A87" w:rsidRDefault="004A2A87" w:rsidP="004A2A87">
      <w:pPr>
        <w:jc w:val="both"/>
        <w:rPr>
          <w:rFonts w:ascii="Verdana" w:hAnsi="Verdana"/>
        </w:rPr>
      </w:pPr>
      <w:r w:rsidRPr="004A2A87">
        <w:rPr>
          <w:rFonts w:ascii="Verdana" w:hAnsi="Verdana"/>
        </w:rPr>
        <w:t>Se abordará el tema analizando: (2.1) El Servicio Público de Bienestar Familiar, (2.2) El interés Superior de niños, niñas y adolescentes, (2.3) Deber de Vigilancia del Estado (2.4) Conclusiones.</w:t>
      </w:r>
    </w:p>
    <w:p w14:paraId="39C28BE8" w14:textId="0138C98B" w:rsidR="004A2A87" w:rsidRPr="004A2A87" w:rsidRDefault="004A2A87" w:rsidP="004A2A87">
      <w:pPr>
        <w:jc w:val="both"/>
        <w:rPr>
          <w:rFonts w:ascii="Verdana" w:hAnsi="Verdana"/>
        </w:rPr>
      </w:pPr>
      <w:r w:rsidRPr="004A2A87">
        <w:rPr>
          <w:rFonts w:ascii="Verdana" w:hAnsi="Verdana"/>
        </w:rPr>
        <w:t>2.1 El servicio Público de Bienestar Familiar</w:t>
      </w:r>
    </w:p>
    <w:p w14:paraId="3D1E9533" w14:textId="0832246D" w:rsidR="004A2A87" w:rsidRPr="004A2A87" w:rsidRDefault="004A2A87" w:rsidP="004A2A87">
      <w:pPr>
        <w:jc w:val="both"/>
        <w:rPr>
          <w:rFonts w:ascii="Verdana" w:hAnsi="Verdana"/>
        </w:rPr>
      </w:pPr>
      <w:r w:rsidRPr="004A2A87">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 el cual se presta por medio del Sistema Nacional de Bienestar Familiar conformado por el conjunto de organismos, instituciones, agencias o entidades públicas o privadas que total o parcialmente atienden la prestación del servicio.</w:t>
      </w:r>
    </w:p>
    <w:p w14:paraId="38B1E5E8" w14:textId="06AC1895" w:rsidR="004A2A87" w:rsidRPr="004A2A87" w:rsidRDefault="004A2A87" w:rsidP="004A2A87">
      <w:pPr>
        <w:jc w:val="both"/>
        <w:rPr>
          <w:rFonts w:ascii="Verdana" w:hAnsi="Verdana"/>
        </w:rPr>
      </w:pPr>
      <w:r w:rsidRPr="004A2A87">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4105B024" w14:textId="38B83612" w:rsidR="004A2A87" w:rsidRPr="004A2A87" w:rsidRDefault="004A2A87" w:rsidP="004A2A87">
      <w:pPr>
        <w:jc w:val="both"/>
        <w:rPr>
          <w:rFonts w:ascii="Verdana" w:hAnsi="Verdana"/>
        </w:rPr>
      </w:pPr>
      <w:r w:rsidRPr="004A2A87">
        <w:rPr>
          <w:rFonts w:ascii="Verdana" w:hAnsi="Verdana"/>
        </w:rPr>
        <w:t>El Decreto 936 de 2013 establece los principios rectores del Sistema Nacional de Bienestar Familiar, indicando que:</w:t>
      </w:r>
    </w:p>
    <w:p w14:paraId="37407579" w14:textId="0DFF2537" w:rsidR="004A2A87" w:rsidRPr="004A2A87" w:rsidRDefault="004A2A87" w:rsidP="004A2A87">
      <w:pPr>
        <w:jc w:val="both"/>
        <w:rPr>
          <w:rFonts w:ascii="Verdana" w:hAnsi="Verdana"/>
        </w:rPr>
      </w:pPr>
      <w:r w:rsidRPr="004A2A87">
        <w:rPr>
          <w:rFonts w:ascii="Verdana" w:hAnsi="Verdana"/>
        </w:rPr>
        <w:lastRenderedPageBreak/>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51E4ED32" w14:textId="10435CD7" w:rsidR="004A2A87" w:rsidRPr="004A2A87" w:rsidRDefault="004A2A87" w:rsidP="004A2A87">
      <w:pPr>
        <w:jc w:val="both"/>
        <w:rPr>
          <w:rFonts w:ascii="Verdana" w:hAnsi="Verdana"/>
        </w:rPr>
      </w:pPr>
      <w:r w:rsidRPr="004A2A87">
        <w:rPr>
          <w:rFonts w:ascii="Verdana" w:hAnsi="Verdana"/>
        </w:rPr>
        <w:t>En el marco de la necesaria articulación y coordinación el mismo Decreto dispone los objetivos del Sistema Nacional de Bienestar Familiar, así:</w:t>
      </w:r>
    </w:p>
    <w:p w14:paraId="184C4FA5" w14:textId="034D5DE1" w:rsidR="004A2A87" w:rsidRPr="004A2A87" w:rsidRDefault="004A2A87" w:rsidP="004A2A87">
      <w:pPr>
        <w:jc w:val="both"/>
        <w:rPr>
          <w:rFonts w:ascii="Verdana" w:hAnsi="Verdana"/>
        </w:rPr>
      </w:pPr>
      <w:r w:rsidRPr="004A2A87">
        <w:rPr>
          <w:rFonts w:ascii="Verdana" w:hAnsi="Verdana"/>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5FF587FE" w14:textId="4A1735F0" w:rsidR="004A2A87" w:rsidRPr="004A2A87" w:rsidRDefault="004A2A87" w:rsidP="004A2A87">
      <w:pPr>
        <w:jc w:val="both"/>
        <w:rPr>
          <w:rFonts w:ascii="Verdana" w:hAnsi="Verdana"/>
        </w:rPr>
      </w:pPr>
      <w:r w:rsidRPr="004A2A87">
        <w:rPr>
          <w:rFonts w:ascii="Verdana" w:hAnsi="Verdana"/>
        </w:rPr>
        <w:t>- Promover la formulación, implementación, seguimiento y evaluación de políticas de primera infancia, infancia y adolescencia y fortalecimiento familiar en los ámbitos nacional y territorial con enfoque diferencial.</w:t>
      </w:r>
    </w:p>
    <w:p w14:paraId="61A9E09A" w14:textId="777D10AD" w:rsidR="004A2A87" w:rsidRPr="004A2A87" w:rsidRDefault="004A2A87" w:rsidP="004A2A87">
      <w:pPr>
        <w:jc w:val="both"/>
        <w:rPr>
          <w:rFonts w:ascii="Verdana" w:hAnsi="Verdana"/>
        </w:rPr>
      </w:pPr>
      <w:r w:rsidRPr="004A2A87">
        <w:rPr>
          <w:rFonts w:ascii="Verdana" w:hAnsi="Verdana"/>
        </w:rPr>
        <w:t>- Lograr que la primera infancia, la infancia y la adolescencia y el fortalecimiento familiar sean una prioridad social, política, técnica y financiera en el ámbito nacional y territorial.</w:t>
      </w:r>
    </w:p>
    <w:p w14:paraId="062F5DCC" w14:textId="13F5C18C" w:rsidR="004A2A87" w:rsidRPr="004A2A87" w:rsidRDefault="004A2A87" w:rsidP="004A2A87">
      <w:pPr>
        <w:jc w:val="both"/>
        <w:rPr>
          <w:rFonts w:ascii="Verdana" w:hAnsi="Verdana"/>
        </w:rPr>
      </w:pPr>
      <w:r w:rsidRPr="004A2A87">
        <w:rPr>
          <w:rFonts w:ascii="Verdana" w:hAnsi="Verdana"/>
        </w:rPr>
        <w:t>- Mejorar el ejercicio de la participación y movilización social en torno a la protección integral de la primera infancia, la infancia, la adolescencia y el fortalecimiento familiar en los niveles nacional y territorial.</w:t>
      </w:r>
    </w:p>
    <w:p w14:paraId="1C8D9B2F" w14:textId="560EE5B5" w:rsidR="004A2A87" w:rsidRPr="004A2A87" w:rsidRDefault="004A2A87" w:rsidP="004A2A87">
      <w:pPr>
        <w:jc w:val="both"/>
        <w:rPr>
          <w:rFonts w:ascii="Verdana" w:hAnsi="Verdana"/>
        </w:rPr>
      </w:pPr>
      <w:r w:rsidRPr="004A2A87">
        <w:rPr>
          <w:rFonts w:ascii="Verdana" w:hAnsi="Verdana"/>
        </w:rPr>
        <w:t>- Evaluar y hacer seguimiento del estado de realización de derechos de los niños, niñas y adolescentes.</w:t>
      </w:r>
    </w:p>
    <w:p w14:paraId="7C339F7A" w14:textId="148F4665" w:rsidR="004A2A87" w:rsidRPr="004A2A87" w:rsidRDefault="004A2A87" w:rsidP="004A2A87">
      <w:pPr>
        <w:jc w:val="both"/>
        <w:rPr>
          <w:rFonts w:ascii="Verdana" w:hAnsi="Verdana"/>
        </w:rPr>
      </w:pPr>
      <w:r w:rsidRPr="004A2A87">
        <w:rPr>
          <w:rFonts w:ascii="Verdana" w:hAnsi="Verdana"/>
        </w:rPr>
        <w:t>(2.2) El interés superior del niño, niña y adolescente</w:t>
      </w:r>
    </w:p>
    <w:p w14:paraId="5A417AA2" w14:textId="578C4AE9" w:rsidR="004A2A87" w:rsidRPr="004A2A87" w:rsidRDefault="004A2A87" w:rsidP="004A2A87">
      <w:pPr>
        <w:jc w:val="both"/>
        <w:rPr>
          <w:rFonts w:ascii="Verdana" w:hAnsi="Verdana"/>
        </w:rPr>
      </w:pPr>
      <w:r w:rsidRPr="004A2A87">
        <w:rPr>
          <w:rFonts w:ascii="Verdana" w:hAnsi="Verdana"/>
        </w:rPr>
        <w:t>Los derechos fundamentales de la infancia, gozan de una amplia y especial protección tanto en el orden jurídico interno como en el ámbito internacional y prevalecen sobre los derechos de los demás, imponiendo no solo a la familia, sino a la sociedad y al Estado la obligación de asistir y proteger al niño, con la finalidad de permitir el pleno ejercicio y la eficacia de sus derechos.</w:t>
      </w:r>
    </w:p>
    <w:p w14:paraId="39652DDB" w14:textId="3C22ABA7" w:rsidR="004A2A87" w:rsidRPr="004A2A87" w:rsidRDefault="004A2A87" w:rsidP="004A2A87">
      <w:pPr>
        <w:jc w:val="both"/>
        <w:rPr>
          <w:rFonts w:ascii="Verdana" w:hAnsi="Verdana"/>
        </w:rPr>
      </w:pPr>
      <w:r w:rsidRPr="004A2A87">
        <w:rPr>
          <w:rFonts w:ascii="Verdana" w:hAnsi="Verdana"/>
        </w:rPr>
        <w:t xml:space="preserve">El artículo 44 Constitucional enumera, algunos de los derechos básicos de la niñez, entre otros, la vida, la integridad física, la salud, la seguridad social, la alimentación equilibrada, a tener una familia y no ser separados de ella, el cuidado y el amor, la educación y la cultura, la recreación y la libre expresión de su opinión. Se indica igualmente que debe prodigarse protección contra toda forma de abandono, violencia física o moral, secuestro, venta, abuso sexual, </w:t>
      </w:r>
      <w:r w:rsidRPr="004A2A87">
        <w:rPr>
          <w:rFonts w:ascii="Verdana" w:hAnsi="Verdana"/>
        </w:rPr>
        <w:lastRenderedPageBreak/>
        <w:t>explotación laboral o económica y trabajos riesgosos, así como, gozarán también de los demás derechos dispuestos en la Constitución, en las leyes y en los tratados internacionales ratificados por Colombia.</w:t>
      </w:r>
    </w:p>
    <w:p w14:paraId="160102C6" w14:textId="20742A78" w:rsidR="004A2A87" w:rsidRPr="004A2A87" w:rsidRDefault="004A2A87" w:rsidP="004A2A87">
      <w:pPr>
        <w:jc w:val="both"/>
        <w:rPr>
          <w:rFonts w:ascii="Verdana" w:hAnsi="Verdana"/>
        </w:rPr>
      </w:pPr>
      <w:r w:rsidRPr="004A2A87">
        <w:rPr>
          <w:rFonts w:ascii="Verdana" w:hAnsi="Verdana"/>
        </w:rPr>
        <w:t>Al respecto la Corte Constitucional ha manifestado que los niños, niñas y adolescentes se les deben garantizar:</w:t>
      </w:r>
    </w:p>
    <w:p w14:paraId="4A8E5209" w14:textId="238E0E38" w:rsidR="004A2A87" w:rsidRPr="004A2A87" w:rsidRDefault="004A2A87" w:rsidP="004A2A87">
      <w:pPr>
        <w:jc w:val="both"/>
        <w:rPr>
          <w:rFonts w:ascii="Verdana" w:hAnsi="Verdana"/>
        </w:rPr>
      </w:pPr>
      <w:r w:rsidRPr="004A2A87">
        <w:rPr>
          <w:rFonts w:ascii="Verdana" w:hAnsi="Verdana"/>
        </w:rPr>
        <w:t>(..:) “(I) la protección reforzada de los derechos de los niños y la garantía de un ambiente de convivencia armónico e integral tendiente a la evolución del libre desarrollo de su personalidad; (</w:t>
      </w:r>
      <w:proofErr w:type="spellStart"/>
      <w:r w:rsidRPr="004A2A87">
        <w:rPr>
          <w:rFonts w:ascii="Verdana" w:hAnsi="Verdana"/>
        </w:rPr>
        <w:t>ii</w:t>
      </w:r>
      <w:proofErr w:type="spellEnd"/>
      <w:r w:rsidRPr="004A2A87">
        <w:rPr>
          <w:rFonts w:ascii="Verdana" w:hAnsi="Verdana"/>
        </w:rPr>
        <w:t>) amparo a la niñez frente a riesgos prohibidos, lo que equivale a sostener que se debe evitar su exposición a situaciones extremas que amenacen su desarrollo armónico, tales como el alcoholismo, la drogadicción, la prostitución, la violencia física y moral, la explotación económica o laboral y en general el irrespeto de la dignidad humana en todas sus formas; (</w:t>
      </w:r>
      <w:proofErr w:type="spellStart"/>
      <w:r w:rsidRPr="004A2A87">
        <w:rPr>
          <w:rFonts w:ascii="Verdana" w:hAnsi="Verdana"/>
        </w:rPr>
        <w:t>iii</w:t>
      </w:r>
      <w:proofErr w:type="spellEnd"/>
      <w:r w:rsidRPr="004A2A87">
        <w:rPr>
          <w:rFonts w:ascii="Verdana" w:hAnsi="Verdana"/>
        </w:rPr>
        <w:t>) ponderación y equilibrio entre los derechos de los niños y los de sus progenitores. Es decir, en caso de conflicto entre los derechos de unos y de otros, la solución ofrecida debe ajustarse a la preservación de los intereses superiores de la niñez y, (</w:t>
      </w:r>
      <w:proofErr w:type="spellStart"/>
      <w:r w:rsidRPr="004A2A87">
        <w:rPr>
          <w:rFonts w:ascii="Verdana" w:hAnsi="Verdana"/>
        </w:rPr>
        <w:t>iv</w:t>
      </w:r>
      <w:proofErr w:type="spellEnd"/>
      <w:r w:rsidRPr="004A2A87">
        <w:rPr>
          <w:rFonts w:ascii="Verdana" w:hAnsi="Verdana"/>
        </w:rPr>
        <w:t>) la necesidad de esgrimir razones poderosas para justificar la intervención del Estado en las relaciones paterno y materno filiales de tal manera que no se incurra en conductas arbitrarias, desmesuradas e injustificadas. De esta forma, la Constitución resalta la importancia de los nexos familiares, circunstancia concebida igualmente por el Código de la Infancia y de la Adolescencia (Ley 1098 de 2006), al afirmar que la familia es el pilar fundamental en el desarrollo de los niños, de las niñas y de los adolescentes”.</w:t>
      </w:r>
    </w:p>
    <w:p w14:paraId="53A9BD23" w14:textId="1BC44A68" w:rsidR="004A2A87" w:rsidRPr="004A2A87" w:rsidRDefault="004A2A87" w:rsidP="004A2A87">
      <w:pPr>
        <w:jc w:val="both"/>
        <w:rPr>
          <w:rFonts w:ascii="Verdana" w:hAnsi="Verdana"/>
        </w:rPr>
      </w:pPr>
      <w:r w:rsidRPr="004A2A87">
        <w:rPr>
          <w:rFonts w:ascii="Verdana" w:hAnsi="Verdana"/>
        </w:rPr>
        <w:t>(2.3) Deber de vigilancia del Estado</w:t>
      </w:r>
    </w:p>
    <w:p w14:paraId="2715939A" w14:textId="5467419F" w:rsidR="004A2A87" w:rsidRPr="004A2A87" w:rsidRDefault="004A2A87" w:rsidP="004A2A87">
      <w:pPr>
        <w:jc w:val="both"/>
        <w:rPr>
          <w:rFonts w:ascii="Verdana" w:hAnsi="Verdana"/>
        </w:rPr>
      </w:pPr>
      <w:r w:rsidRPr="004A2A87">
        <w:rPr>
          <w:rFonts w:ascii="Verdana" w:hAnsi="Verdana"/>
        </w:rPr>
        <w:t>El inciso 2 del artículo 16 de la Ley 1098 de 2006 dispone que: “(…)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1242E9B8" w14:textId="184D5E0C" w:rsidR="004A2A87" w:rsidRPr="004A2A87" w:rsidRDefault="004A2A87" w:rsidP="004A2A87">
      <w:pPr>
        <w:jc w:val="both"/>
        <w:rPr>
          <w:rFonts w:ascii="Verdana" w:hAnsi="Verdana"/>
        </w:rPr>
      </w:pPr>
      <w:r w:rsidRPr="004A2A87">
        <w:rPr>
          <w:rFonts w:ascii="Verdana" w:hAnsi="Verdana"/>
        </w:rPr>
        <w:t>En razón a lo anterior el ICBF profirió la Resolución 3899 de 2010 en donde se estableció unos requisitos para el otorgamiento de personerías jurídicas y licencias de funcionamiento a las instituciones interesadas en prestar servicios de protección integral a los niños, niñas, adolescentes y sus familias, las cuales deberán cumplir con los requisitos legales, técnicos-administrativos y financieros establecidos en la misma, de acuerdo con el programa que se proponga desarrollar y es obligación del ICBF a través de la Dirección General y las Direcciones Regionales según sea el caso verificar el estricto cumplimiento de cada uno de los mismos.</w:t>
      </w:r>
    </w:p>
    <w:p w14:paraId="06DA8F66" w14:textId="6B1DB618" w:rsidR="004A2A87" w:rsidRPr="004A2A87" w:rsidRDefault="004A2A87" w:rsidP="004A2A87">
      <w:pPr>
        <w:jc w:val="both"/>
        <w:rPr>
          <w:rFonts w:ascii="Verdana" w:hAnsi="Verdana"/>
        </w:rPr>
      </w:pPr>
      <w:r w:rsidRPr="004A2A87">
        <w:rPr>
          <w:rFonts w:ascii="Verdana" w:hAnsi="Verdana"/>
        </w:rPr>
        <w:t xml:space="preserve">En virtud de lo establecido en el artículo 2 de la citada resolución, sus disposiciones se aplican a “(…) las personas jurídicas nacionales o internacionales que presten servicios de protección integral dirigidos a niños, </w:t>
      </w:r>
      <w:r w:rsidRPr="004A2A87">
        <w:rPr>
          <w:rFonts w:ascii="Verdana" w:hAnsi="Verdana"/>
        </w:rPr>
        <w:lastRenderedPageBreak/>
        <w:t>niñas o adolescentes y a sus familias en el territorio nacional, bien sea que cuenten con personería jurídica expedida por el ICBF o por autoridades diferentes, sin perjuicio de los regímenes especiales o excepcionales que rijan, a poblaciones especiales tales como afro-colombianas, indígenas, raizales y ROM.</w:t>
      </w:r>
    </w:p>
    <w:p w14:paraId="0A11E3E2" w14:textId="6DDF9859" w:rsidR="004A2A87" w:rsidRPr="004A2A87" w:rsidRDefault="004A2A87" w:rsidP="004A2A87">
      <w:pPr>
        <w:jc w:val="both"/>
        <w:rPr>
          <w:rFonts w:ascii="Verdana" w:hAnsi="Verdana"/>
        </w:rPr>
      </w:pPr>
      <w:r w:rsidRPr="004A2A87">
        <w:rPr>
          <w:rFonts w:ascii="Verdana" w:hAnsi="Verdana"/>
        </w:rPr>
        <w:t>(2.4) CONCLUSIÓN</w:t>
      </w:r>
    </w:p>
    <w:p w14:paraId="5F247CB4" w14:textId="35E4823F" w:rsidR="004A2A87" w:rsidRPr="004A2A87" w:rsidRDefault="004A2A87" w:rsidP="004A2A87">
      <w:pPr>
        <w:jc w:val="both"/>
        <w:rPr>
          <w:rFonts w:ascii="Verdana" w:hAnsi="Verdana"/>
        </w:rPr>
      </w:pPr>
      <w:r w:rsidRPr="004A2A87">
        <w:rPr>
          <w:rFonts w:ascii="Verdana" w:hAnsi="Verdana"/>
        </w:rPr>
        <w:t>Teniendo en cuenta las consideraciones de orden legal expuestas, es pertinente concluir que: las instituciones que deseen prestar el Servicio Público de Bienestar Familiar, deben tener personería Jurídica reconocida u otorgada por el ICBF, de acuerdo a lo establecido en la Ley 1098 de 2006, sin embargo frente a la contratación que se adelanta en el 2014 y ante situaciones que ameriten una protección prevalente de los derechos de los niños, niñas y adolescentes, debemos hacer una excepción temporal a la regla general, en el sentido de autorizar a los Directores Regionales para que adelanten el proceso de contratación pertinente sin que medie el requisito de contar con dicha personería jurídica, con la condición de que en el contrato se contemple un plazo para subsanar dicho requisito.</w:t>
      </w:r>
    </w:p>
    <w:p w14:paraId="097DE732" w14:textId="1A6584BA" w:rsidR="004A2A87" w:rsidRPr="004A2A87" w:rsidRDefault="004A2A87" w:rsidP="004A2A87">
      <w:pPr>
        <w:jc w:val="both"/>
        <w:rPr>
          <w:rFonts w:ascii="Verdana" w:hAnsi="Verdana"/>
        </w:rPr>
      </w:pPr>
      <w:r w:rsidRPr="004A2A87">
        <w:rPr>
          <w:rFonts w:ascii="Verdana" w:hAnsi="Verdana"/>
        </w:rPr>
        <w:t>Cordialmente,</w:t>
      </w:r>
    </w:p>
    <w:p w14:paraId="309C9775" w14:textId="69DC808C" w:rsidR="004A2A87" w:rsidRPr="004A2A87" w:rsidRDefault="004A2A87" w:rsidP="004A2A87">
      <w:pPr>
        <w:jc w:val="center"/>
        <w:rPr>
          <w:rFonts w:ascii="Verdana" w:hAnsi="Verdana"/>
          <w:b/>
          <w:bCs/>
        </w:rPr>
      </w:pPr>
      <w:r w:rsidRPr="004A2A87">
        <w:rPr>
          <w:rFonts w:ascii="Verdana" w:hAnsi="Verdana"/>
          <w:b/>
          <w:bCs/>
        </w:rPr>
        <w:t>LUZ KARIME FERNANDEZ CASTILLO</w:t>
      </w:r>
    </w:p>
    <w:p w14:paraId="67F1E112" w14:textId="68361E68" w:rsidR="004A2A87" w:rsidRPr="004A2A87" w:rsidRDefault="004A2A87" w:rsidP="004A2A87">
      <w:pPr>
        <w:jc w:val="center"/>
        <w:rPr>
          <w:rFonts w:ascii="Verdana" w:hAnsi="Verdana"/>
        </w:rPr>
      </w:pPr>
      <w:r w:rsidRPr="004A2A87">
        <w:rPr>
          <w:rFonts w:ascii="Verdana" w:hAnsi="Verdana"/>
        </w:rPr>
        <w:t>JEFE OFICINA ASESORA JURÍDICA</w:t>
      </w:r>
    </w:p>
    <w:p w14:paraId="4DC97453" w14:textId="7F3976A9" w:rsidR="004A2A87" w:rsidRPr="004A2A87" w:rsidRDefault="004A2A87" w:rsidP="004A2A87">
      <w:pPr>
        <w:jc w:val="both"/>
        <w:rPr>
          <w:rFonts w:ascii="Verdana" w:hAnsi="Verdana"/>
        </w:rPr>
      </w:pPr>
      <w:r w:rsidRPr="004A2A87">
        <w:rPr>
          <w:rFonts w:ascii="Verdana" w:hAnsi="Verdana"/>
        </w:rPr>
        <w:t>* * *</w:t>
      </w:r>
    </w:p>
    <w:p w14:paraId="1180B2FD" w14:textId="5A8A2D66" w:rsidR="004A2A87" w:rsidRPr="004A2A87" w:rsidRDefault="004A2A87" w:rsidP="004A2A87">
      <w:pPr>
        <w:jc w:val="both"/>
        <w:rPr>
          <w:rFonts w:ascii="Verdana" w:hAnsi="Verdana"/>
        </w:rPr>
      </w:pPr>
      <w:r w:rsidRPr="004A2A87">
        <w:rPr>
          <w:rFonts w:ascii="Verdana" w:hAnsi="Verdana"/>
        </w:rPr>
        <w:t>1. Artículo 3, Decreto 2388 de 1979</w:t>
      </w:r>
    </w:p>
    <w:p w14:paraId="0E14A038" w14:textId="01FC9393" w:rsidR="004A2A87" w:rsidRPr="004A2A87" w:rsidRDefault="004A2A87" w:rsidP="004A2A87">
      <w:pPr>
        <w:jc w:val="both"/>
        <w:rPr>
          <w:rFonts w:ascii="Verdana" w:hAnsi="Verdana"/>
        </w:rPr>
      </w:pPr>
      <w:r w:rsidRPr="004A2A87">
        <w:rPr>
          <w:rFonts w:ascii="Verdana" w:hAnsi="Verdana"/>
        </w:rPr>
        <w:t>2. Artículos 3, 4 y 20 del Decreto 2388 de 1979 en concordancia con el artículo 12 de la Ley 7 de 1979 y el artículo 15 de la Ley 1098 de 2006.</w:t>
      </w:r>
    </w:p>
    <w:p w14:paraId="3D1B133E" w14:textId="51B628FF" w:rsidR="004A2A87" w:rsidRPr="004A2A87" w:rsidRDefault="004A2A87" w:rsidP="004A2A87">
      <w:pPr>
        <w:jc w:val="both"/>
        <w:rPr>
          <w:rFonts w:ascii="Verdana" w:hAnsi="Verdana"/>
        </w:rPr>
      </w:pPr>
      <w:r w:rsidRPr="004A2A87">
        <w:rPr>
          <w:rFonts w:ascii="Verdana" w:hAnsi="Verdana"/>
        </w:rPr>
        <w:t>3. Por el cual se reorganiza el Sistema Nacional de Bienestar Familiar, se reglamenta el inciso primero del artículo 205 de la Ley 1098 de 2006 y se dictan otras disposiciones.</w:t>
      </w:r>
    </w:p>
    <w:p w14:paraId="67640F18" w14:textId="52BE15C7" w:rsidR="004A2A87" w:rsidRPr="004A2A87" w:rsidRDefault="004A2A87" w:rsidP="004A2A87">
      <w:pPr>
        <w:jc w:val="both"/>
        <w:rPr>
          <w:rFonts w:ascii="Verdana" w:hAnsi="Verdana"/>
        </w:rPr>
      </w:pPr>
      <w:r w:rsidRPr="004A2A87">
        <w:rPr>
          <w:rFonts w:ascii="Verdana" w:hAnsi="Verdana"/>
        </w:rPr>
        <w:t xml:space="preserve">4. Sentencia T-012 de 2012, M. P. Jorge Iván Palacio </w:t>
      </w:r>
      <w:proofErr w:type="spellStart"/>
      <w:r w:rsidRPr="004A2A87">
        <w:rPr>
          <w:rFonts w:ascii="Verdana" w:hAnsi="Verdana"/>
        </w:rPr>
        <w:t>Palacio</w:t>
      </w:r>
      <w:proofErr w:type="spellEnd"/>
      <w:r w:rsidRPr="004A2A87">
        <w:rPr>
          <w:rFonts w:ascii="Verdana" w:hAnsi="Verdana"/>
        </w:rPr>
        <w:t>.</w:t>
      </w:r>
    </w:p>
    <w:sectPr w:rsidR="004A2A87" w:rsidRPr="004A2A8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A87"/>
    <w:rsid w:val="000B4793"/>
    <w:rsid w:val="004A2A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1804"/>
  <w15:chartTrackingRefBased/>
  <w15:docId w15:val="{FE5A659C-8452-42D6-8290-6A56533F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97CB20CF-8187-498D-B2A0-9A48B40CD513}"/>
</file>

<file path=customXml/itemProps2.xml><?xml version="1.0" encoding="utf-8"?>
<ds:datastoreItem xmlns:ds="http://schemas.openxmlformats.org/officeDocument/2006/customXml" ds:itemID="{7CF49AFE-E103-4EE9-A9CD-BE563399A64B}"/>
</file>

<file path=customXml/itemProps3.xml><?xml version="1.0" encoding="utf-8"?>
<ds:datastoreItem xmlns:ds="http://schemas.openxmlformats.org/officeDocument/2006/customXml" ds:itemID="{F2E6F016-E45B-4F57-8B18-5C9580C68988}"/>
</file>

<file path=docProps/app.xml><?xml version="1.0" encoding="utf-8"?>
<Properties xmlns="http://schemas.openxmlformats.org/officeDocument/2006/extended-properties" xmlns:vt="http://schemas.openxmlformats.org/officeDocument/2006/docPropsVTypes">
  <Template>Normal</Template>
  <TotalTime>2</TotalTime>
  <Pages>4</Pages>
  <Words>1470</Words>
  <Characters>8090</Characters>
  <Application>Microsoft Office Word</Application>
  <DocSecurity>0</DocSecurity>
  <Lines>67</Lines>
  <Paragraphs>19</Paragraphs>
  <ScaleCrop>false</ScaleCrop>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2026-07-09T14:28:00Z</dcterms:created>
  <dcterms:modified xsi:type="dcterms:W3CDTF">2026-07-09T14:30:00Z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