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63AF" w14:textId="77777777" w:rsidR="005848E3" w:rsidRPr="005848E3" w:rsidRDefault="005848E3" w:rsidP="005848E3">
      <w:pPr>
        <w:jc w:val="center"/>
        <w:rPr>
          <w:rFonts w:ascii="Verdana" w:hAnsi="Verdana"/>
          <w:sz w:val="22"/>
          <w:szCs w:val="22"/>
        </w:rPr>
      </w:pPr>
      <w:r w:rsidRPr="005848E3">
        <w:rPr>
          <w:rFonts w:ascii="Verdana" w:hAnsi="Verdana"/>
          <w:b/>
          <w:bCs/>
          <w:sz w:val="22"/>
          <w:szCs w:val="22"/>
        </w:rPr>
        <w:t>CONCEPTO 163 DE 2015</w:t>
      </w:r>
    </w:p>
    <w:p w14:paraId="6C47076A" w14:textId="77777777" w:rsidR="005848E3" w:rsidRPr="005848E3" w:rsidRDefault="005848E3" w:rsidP="005848E3">
      <w:pPr>
        <w:jc w:val="center"/>
        <w:rPr>
          <w:rFonts w:ascii="Verdana" w:hAnsi="Verdana"/>
          <w:sz w:val="22"/>
          <w:szCs w:val="22"/>
        </w:rPr>
      </w:pPr>
      <w:r w:rsidRPr="005848E3">
        <w:rPr>
          <w:rFonts w:ascii="Verdana" w:hAnsi="Verdana"/>
          <w:sz w:val="22"/>
          <w:szCs w:val="22"/>
        </w:rPr>
        <w:t>(diciembre 30)</w:t>
      </w:r>
    </w:p>
    <w:p w14:paraId="6861709F" w14:textId="77777777" w:rsidR="005848E3" w:rsidRPr="005848E3" w:rsidRDefault="005848E3" w:rsidP="005848E3">
      <w:pPr>
        <w:jc w:val="center"/>
        <w:rPr>
          <w:rFonts w:ascii="Verdana" w:hAnsi="Verdana"/>
          <w:sz w:val="22"/>
          <w:szCs w:val="22"/>
        </w:rPr>
      </w:pPr>
      <w:r w:rsidRPr="005848E3">
        <w:rPr>
          <w:rFonts w:ascii="Verdana" w:hAnsi="Verdana"/>
          <w:b/>
          <w:bCs/>
          <w:sz w:val="22"/>
          <w:szCs w:val="22"/>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5848E3" w:rsidRPr="005848E3" w14:paraId="1081EA25" w14:textId="77777777" w:rsidTr="005848E3">
        <w:trPr>
          <w:tblCellSpacing w:w="15" w:type="dxa"/>
        </w:trPr>
        <w:tc>
          <w:tcPr>
            <w:tcW w:w="742" w:type="pct"/>
            <w:tcBorders>
              <w:top w:val="nil"/>
              <w:left w:val="nil"/>
              <w:bottom w:val="nil"/>
              <w:right w:val="nil"/>
            </w:tcBorders>
            <w:tcMar>
              <w:top w:w="0" w:type="dxa"/>
              <w:left w:w="0" w:type="dxa"/>
              <w:bottom w:w="0" w:type="dxa"/>
              <w:right w:w="0" w:type="dxa"/>
            </w:tcMar>
            <w:hideMark/>
          </w:tcPr>
          <w:p w14:paraId="69B70753" w14:textId="77777777" w:rsidR="005848E3" w:rsidRPr="005848E3" w:rsidRDefault="005848E3" w:rsidP="005848E3">
            <w:pPr>
              <w:jc w:val="both"/>
              <w:rPr>
                <w:rFonts w:ascii="Verdana" w:hAnsi="Verdana"/>
                <w:sz w:val="22"/>
                <w:szCs w:val="22"/>
              </w:rPr>
            </w:pPr>
            <w:r w:rsidRPr="005848E3">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2DA0E51A" w14:textId="77777777" w:rsidR="005848E3" w:rsidRPr="005848E3" w:rsidRDefault="005848E3" w:rsidP="005848E3">
            <w:pPr>
              <w:jc w:val="both"/>
              <w:rPr>
                <w:rFonts w:ascii="Verdana" w:hAnsi="Verdana"/>
                <w:sz w:val="22"/>
                <w:szCs w:val="22"/>
              </w:rPr>
            </w:pPr>
            <w:r w:rsidRPr="005848E3">
              <w:rPr>
                <w:rFonts w:ascii="Verdana" w:hAnsi="Verdana"/>
                <w:sz w:val="22"/>
                <w:szCs w:val="22"/>
              </w:rPr>
              <w:t>Defensora de Familia</w:t>
            </w:r>
          </w:p>
        </w:tc>
      </w:tr>
      <w:tr w:rsidR="005848E3" w:rsidRPr="005848E3" w14:paraId="1B293029" w14:textId="77777777" w:rsidTr="005848E3">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63003CCB" w14:textId="77777777" w:rsidR="005848E3" w:rsidRPr="005848E3" w:rsidRDefault="005848E3" w:rsidP="005848E3">
            <w:pPr>
              <w:jc w:val="both"/>
              <w:rPr>
                <w:rFonts w:ascii="Verdana" w:hAnsi="Verdana"/>
                <w:sz w:val="22"/>
                <w:szCs w:val="22"/>
              </w:rPr>
            </w:pPr>
            <w:r w:rsidRPr="005848E3">
              <w:rPr>
                <w:rFonts w:ascii="Verdana" w:hAnsi="Verdana"/>
                <w:sz w:val="22"/>
                <w:szCs w:val="22"/>
              </w:rPr>
              <w:t>Grupo de Asistencia Técnica - Regional Magdalena</w:t>
            </w:r>
          </w:p>
        </w:tc>
      </w:tr>
      <w:tr w:rsidR="005848E3" w:rsidRPr="005848E3" w14:paraId="3BF99642" w14:textId="77777777" w:rsidTr="005848E3">
        <w:trPr>
          <w:tblCellSpacing w:w="15" w:type="dxa"/>
        </w:trPr>
        <w:tc>
          <w:tcPr>
            <w:tcW w:w="742" w:type="pct"/>
            <w:tcBorders>
              <w:top w:val="nil"/>
              <w:left w:val="nil"/>
              <w:bottom w:val="nil"/>
              <w:right w:val="nil"/>
            </w:tcBorders>
            <w:tcMar>
              <w:top w:w="0" w:type="dxa"/>
              <w:left w:w="0" w:type="dxa"/>
              <w:bottom w:w="0" w:type="dxa"/>
              <w:right w:w="0" w:type="dxa"/>
            </w:tcMar>
            <w:hideMark/>
          </w:tcPr>
          <w:p w14:paraId="16294467" w14:textId="77777777" w:rsidR="005848E3" w:rsidRPr="005848E3" w:rsidRDefault="005848E3" w:rsidP="005848E3">
            <w:pPr>
              <w:jc w:val="both"/>
              <w:rPr>
                <w:rFonts w:ascii="Verdana" w:hAnsi="Verdana"/>
                <w:sz w:val="22"/>
                <w:szCs w:val="22"/>
              </w:rPr>
            </w:pPr>
            <w:r w:rsidRPr="005848E3">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4831DD0A" w14:textId="77777777" w:rsidR="005848E3" w:rsidRPr="005848E3" w:rsidRDefault="005848E3" w:rsidP="005848E3">
            <w:pPr>
              <w:jc w:val="both"/>
              <w:rPr>
                <w:rFonts w:ascii="Verdana" w:hAnsi="Verdana"/>
                <w:sz w:val="22"/>
                <w:szCs w:val="22"/>
              </w:rPr>
            </w:pPr>
            <w:r w:rsidRPr="005848E3">
              <w:rPr>
                <w:rFonts w:ascii="Verdana" w:hAnsi="Verdana"/>
                <w:sz w:val="22"/>
                <w:szCs w:val="22"/>
              </w:rPr>
              <w:t>Solicitud Rad. ICBF No. 492486 del 19/11/2015.</w:t>
            </w:r>
          </w:p>
        </w:tc>
      </w:tr>
    </w:tbl>
    <w:p w14:paraId="710642B5" w14:textId="332FDA8D" w:rsidR="005848E3" w:rsidRPr="005848E3" w:rsidRDefault="005848E3" w:rsidP="005848E3">
      <w:pPr>
        <w:jc w:val="both"/>
        <w:rPr>
          <w:rFonts w:ascii="Verdana" w:hAnsi="Verdana"/>
          <w:sz w:val="22"/>
          <w:szCs w:val="22"/>
        </w:rPr>
      </w:pPr>
      <w:r w:rsidRPr="005848E3">
        <w:rPr>
          <w:rFonts w:ascii="Verdana" w:hAnsi="Verdana"/>
          <w:sz w:val="22"/>
          <w:szCs w:val="22"/>
        </w:rPr>
        <w:t>De manera atenta, en relación con el asunto de la referencia, en los términos previstos en los artículos 26 del Código Civil, la Ley 1755 de 2015, numeral 4, del Decreto 987 de 2012, se responde el presente derecho de petición en los siguientes términos:</w:t>
      </w:r>
    </w:p>
    <w:p w14:paraId="183A06B4"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1. PROBLEMA JURÍDICO</w:t>
      </w:r>
    </w:p>
    <w:p w14:paraId="051FDF11" w14:textId="77777777" w:rsidR="005848E3" w:rsidRPr="005848E3" w:rsidRDefault="005848E3" w:rsidP="005848E3">
      <w:pPr>
        <w:jc w:val="both"/>
        <w:rPr>
          <w:rFonts w:ascii="Verdana" w:hAnsi="Verdana"/>
          <w:sz w:val="22"/>
          <w:szCs w:val="22"/>
        </w:rPr>
      </w:pPr>
      <w:r w:rsidRPr="005848E3">
        <w:rPr>
          <w:rFonts w:ascii="Verdana" w:hAnsi="Verdana"/>
          <w:sz w:val="22"/>
          <w:szCs w:val="22"/>
        </w:rPr>
        <w:t>¿Se requiere de autorización judicial previa para que un investigador privado contratado por la defensa de un imputado entreviste a un menor de edad?</w:t>
      </w:r>
    </w:p>
    <w:p w14:paraId="32BD4114"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2. ANÁLISIS DEL PROBLEMA JURÍDICO</w:t>
      </w:r>
    </w:p>
    <w:p w14:paraId="2176750F" w14:textId="77777777" w:rsidR="005848E3" w:rsidRPr="005848E3" w:rsidRDefault="005848E3" w:rsidP="005848E3">
      <w:pPr>
        <w:jc w:val="both"/>
        <w:rPr>
          <w:rFonts w:ascii="Verdana" w:hAnsi="Verdana"/>
          <w:sz w:val="22"/>
          <w:szCs w:val="22"/>
        </w:rPr>
      </w:pPr>
      <w:r w:rsidRPr="005848E3">
        <w:rPr>
          <w:rFonts w:ascii="Verdana" w:hAnsi="Verdana"/>
          <w:sz w:val="22"/>
          <w:szCs w:val="22"/>
        </w:rPr>
        <w:t>2.1. El interés superior de los niños, niñas y adolescentes </w:t>
      </w:r>
      <w:r w:rsidRPr="005848E3">
        <w:rPr>
          <w:rFonts w:ascii="Verdana" w:hAnsi="Verdana"/>
          <w:b/>
          <w:bCs/>
          <w:sz w:val="22"/>
          <w:szCs w:val="22"/>
        </w:rPr>
        <w:t>2.2 </w:t>
      </w:r>
      <w:r w:rsidRPr="005848E3">
        <w:rPr>
          <w:rFonts w:ascii="Verdana" w:hAnsi="Verdana"/>
          <w:sz w:val="22"/>
          <w:szCs w:val="22"/>
        </w:rPr>
        <w:t>Las funciones de los Defensores de Familia en los procesos penales; </w:t>
      </w:r>
      <w:r w:rsidRPr="005848E3">
        <w:rPr>
          <w:rFonts w:ascii="Verdana" w:hAnsi="Verdana"/>
          <w:b/>
          <w:bCs/>
          <w:sz w:val="22"/>
          <w:szCs w:val="22"/>
        </w:rPr>
        <w:t>2.3 </w:t>
      </w:r>
      <w:r w:rsidRPr="005848E3">
        <w:rPr>
          <w:rFonts w:ascii="Verdana" w:hAnsi="Verdana"/>
          <w:sz w:val="22"/>
          <w:szCs w:val="22"/>
        </w:rPr>
        <w:t>La procedencia de entrevistas a los menores de edad dentro del Sistema Penal Acusatorio.</w:t>
      </w:r>
    </w:p>
    <w:p w14:paraId="58757D4A"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2.1 EL INTERÉS SUPERIOR DE LOS NIÑOS, NIÑAS Y ADOLESCENTES.</w:t>
      </w:r>
    </w:p>
    <w:p w14:paraId="2E546C9B" w14:textId="77777777" w:rsidR="005848E3" w:rsidRPr="005848E3" w:rsidRDefault="005848E3" w:rsidP="005848E3">
      <w:pPr>
        <w:jc w:val="both"/>
        <w:rPr>
          <w:rFonts w:ascii="Verdana" w:hAnsi="Verdana"/>
          <w:sz w:val="22"/>
          <w:szCs w:val="22"/>
        </w:rPr>
      </w:pPr>
      <w:r w:rsidRPr="005848E3">
        <w:rPr>
          <w:rFonts w:ascii="Verdana" w:hAnsi="Verdana"/>
          <w:sz w:val="22"/>
          <w:szCs w:val="22"/>
        </w:rPr>
        <w:t>La Convención sobre los Derechos del Niño en el numeral primero del artículo tercero establece que </w:t>
      </w:r>
      <w:r w:rsidRPr="005848E3">
        <w:rPr>
          <w:rFonts w:ascii="Verdana" w:hAnsi="Verdana"/>
          <w:i/>
          <w:iCs/>
          <w:sz w:val="22"/>
          <w:szCs w:val="22"/>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5848E3">
        <w:rPr>
          <w:rFonts w:ascii="Verdana" w:hAnsi="Verdana"/>
          <w:sz w:val="22"/>
          <w:szCs w:val="22"/>
        </w:rPr>
        <w:t> (subrayado fuera de texto).</w:t>
      </w:r>
    </w:p>
    <w:p w14:paraId="77D73F49" w14:textId="13DAE251" w:rsidR="005848E3" w:rsidRPr="005848E3" w:rsidRDefault="005848E3" w:rsidP="005848E3">
      <w:pPr>
        <w:jc w:val="both"/>
        <w:rPr>
          <w:rFonts w:ascii="Verdana" w:hAnsi="Verdana"/>
          <w:sz w:val="22"/>
          <w:szCs w:val="22"/>
        </w:rPr>
      </w:pPr>
      <w:r w:rsidRPr="005848E3">
        <w:rPr>
          <w:rFonts w:ascii="Verdana" w:hAnsi="Verdana"/>
          <w:sz w:val="22"/>
          <w:szCs w:val="22"/>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17A3D094" w14:textId="31CAFB01" w:rsidR="005848E3" w:rsidRPr="005848E3" w:rsidRDefault="005848E3" w:rsidP="005848E3">
      <w:pPr>
        <w:jc w:val="both"/>
        <w:rPr>
          <w:rFonts w:ascii="Verdana" w:hAnsi="Verdana"/>
          <w:sz w:val="22"/>
          <w:szCs w:val="22"/>
        </w:rPr>
      </w:pPr>
      <w:r w:rsidRPr="005848E3">
        <w:rPr>
          <w:rFonts w:ascii="Verdana" w:hAnsi="Verdana"/>
          <w:sz w:val="22"/>
          <w:szCs w:val="22"/>
        </w:rPr>
        <w:t xml:space="preserve">Por su parte, en el artículo 8 del Código de la Infancia y la </w:t>
      </w:r>
      <w:proofErr w:type="gramStart"/>
      <w:r w:rsidRPr="005848E3">
        <w:rPr>
          <w:rFonts w:ascii="Verdana" w:hAnsi="Verdana"/>
          <w:sz w:val="22"/>
          <w:szCs w:val="22"/>
        </w:rPr>
        <w:t>Adolescencia</w:t>
      </w:r>
      <w:r w:rsidRPr="005848E3">
        <w:rPr>
          <w:rFonts w:ascii="Verdana" w:hAnsi="Verdana"/>
          <w:sz w:val="22"/>
          <w:szCs w:val="22"/>
          <w:vertAlign w:val="subscript"/>
        </w:rPr>
        <w:t>[</w:t>
      </w:r>
      <w:proofErr w:type="gramEnd"/>
      <w:r w:rsidRPr="005848E3">
        <w:rPr>
          <w:rFonts w:ascii="Verdana" w:hAnsi="Verdana"/>
          <w:sz w:val="22"/>
          <w:szCs w:val="22"/>
          <w:vertAlign w:val="subscript"/>
        </w:rPr>
        <w:t>1]</w:t>
      </w:r>
      <w:r w:rsidRPr="005848E3">
        <w:rPr>
          <w:rFonts w:ascii="Verdana" w:hAnsi="Verdana"/>
          <w:sz w:val="22"/>
          <w:szCs w:val="22"/>
        </w:rPr>
        <w:t> se define el interés superior de los niños, las niñas y los adolescentes como </w:t>
      </w:r>
      <w:r w:rsidRPr="005848E3">
        <w:rPr>
          <w:rFonts w:ascii="Verdana" w:hAnsi="Verdana"/>
          <w:i/>
          <w:iCs/>
          <w:sz w:val="22"/>
          <w:szCs w:val="22"/>
        </w:rPr>
        <w:t>“(...) el imperativo que obliga a todas las personas a garantizar la satisfacción integral y simultánea de todos sus derechos humanos, que son universales, prevalentes e interdependientes".</w:t>
      </w:r>
    </w:p>
    <w:p w14:paraId="02857764" w14:textId="77777777" w:rsidR="005848E3" w:rsidRPr="005848E3" w:rsidRDefault="005848E3" w:rsidP="005848E3">
      <w:pPr>
        <w:jc w:val="both"/>
        <w:rPr>
          <w:rFonts w:ascii="Verdana" w:hAnsi="Verdana"/>
          <w:sz w:val="22"/>
          <w:szCs w:val="22"/>
        </w:rPr>
      </w:pPr>
      <w:r w:rsidRPr="005848E3">
        <w:rPr>
          <w:rFonts w:ascii="Verdana" w:hAnsi="Verdana"/>
          <w:sz w:val="22"/>
          <w:szCs w:val="22"/>
        </w:rPr>
        <w:lastRenderedPageBreak/>
        <w:t xml:space="preserve">En ese sentido, la Corte Constitucional ha precisado que todas las actuaciones que realicen las </w:t>
      </w:r>
      <w:proofErr w:type="gramStart"/>
      <w:r w:rsidRPr="005848E3">
        <w:rPr>
          <w:rFonts w:ascii="Verdana" w:hAnsi="Verdana"/>
          <w:sz w:val="22"/>
          <w:szCs w:val="22"/>
        </w:rPr>
        <w:t>autoridades públicas</w:t>
      </w:r>
      <w:proofErr w:type="gramEnd"/>
      <w:r w:rsidRPr="005848E3">
        <w:rPr>
          <w:rFonts w:ascii="Verdana" w:hAnsi="Verdana"/>
          <w:sz w:val="22"/>
          <w:szCs w:val="22"/>
        </w:rPr>
        <w:t xml:space="preserve"> en las que se encuentren involucrados niños, niñas o adolescentes deben estar orientadas por el principio del interés superior.</w:t>
      </w:r>
      <w:r w:rsidRPr="005848E3">
        <w:rPr>
          <w:rFonts w:ascii="Verdana" w:hAnsi="Verdana"/>
          <w:sz w:val="22"/>
          <w:szCs w:val="22"/>
          <w:vertAlign w:val="subscript"/>
        </w:rPr>
        <w:t>[2]</w:t>
      </w:r>
    </w:p>
    <w:p w14:paraId="5541DE97" w14:textId="77777777" w:rsidR="005848E3" w:rsidRPr="005848E3" w:rsidRDefault="005848E3" w:rsidP="005848E3">
      <w:pPr>
        <w:jc w:val="both"/>
        <w:rPr>
          <w:rFonts w:ascii="Verdana" w:hAnsi="Verdana"/>
          <w:sz w:val="22"/>
          <w:szCs w:val="22"/>
        </w:rPr>
      </w:pPr>
      <w:r w:rsidRPr="005848E3">
        <w:rPr>
          <w:rFonts w:ascii="Verdana" w:hAnsi="Verdana"/>
          <w:sz w:val="22"/>
          <w:szCs w:val="22"/>
        </w:rPr>
        <w:t>En efecto, la Corte ha afirmado que </w:t>
      </w:r>
      <w:r w:rsidRPr="005848E3">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5848E3">
        <w:rPr>
          <w:rFonts w:ascii="Verdana" w:hAnsi="Verdana"/>
          <w:i/>
          <w:iCs/>
          <w:sz w:val="22"/>
          <w:szCs w:val="22"/>
        </w:rPr>
        <w:t>que</w:t>
      </w:r>
      <w:proofErr w:type="gramEnd"/>
      <w:r w:rsidRPr="005848E3">
        <w:rPr>
          <w:rFonts w:ascii="Verdana" w:hAnsi="Verdana"/>
          <w:i/>
          <w:iCs/>
          <w:sz w:val="22"/>
          <w:szCs w:val="22"/>
        </w:rPr>
        <w:t xml:space="preserve"> en tanto sujeto digno, debe ser atendido por la familia, la sociedad y el Estado con todo el cuidado que requiere su situación personal".</w:t>
      </w:r>
      <w:r w:rsidRPr="005848E3">
        <w:rPr>
          <w:rFonts w:ascii="Verdana" w:hAnsi="Verdana"/>
          <w:i/>
          <w:iCs/>
          <w:sz w:val="22"/>
          <w:szCs w:val="22"/>
          <w:vertAlign w:val="subscript"/>
        </w:rPr>
        <w:t>[3]</w:t>
      </w:r>
    </w:p>
    <w:p w14:paraId="5B052797" w14:textId="77777777" w:rsidR="005848E3" w:rsidRPr="005848E3" w:rsidRDefault="005848E3" w:rsidP="005848E3">
      <w:pPr>
        <w:jc w:val="both"/>
        <w:rPr>
          <w:rFonts w:ascii="Verdana" w:hAnsi="Verdana"/>
          <w:sz w:val="22"/>
          <w:szCs w:val="22"/>
        </w:rPr>
      </w:pPr>
      <w:r w:rsidRPr="005848E3">
        <w:rPr>
          <w:rFonts w:ascii="Verdana" w:hAnsi="Verdana"/>
          <w:sz w:val="22"/>
          <w:szCs w:val="22"/>
        </w:rPr>
        <w:t>Así mismo, sostuvo que </w:t>
      </w:r>
      <w:r w:rsidRPr="005848E3">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5848E3">
        <w:rPr>
          <w:rFonts w:ascii="Verdana" w:hAnsi="Verdana"/>
          <w:i/>
          <w:iCs/>
          <w:sz w:val="22"/>
          <w:szCs w:val="22"/>
          <w:vertAlign w:val="subscript"/>
        </w:rPr>
        <w:t>[4]</w:t>
      </w:r>
    </w:p>
    <w:p w14:paraId="6FCCA970" w14:textId="77777777" w:rsidR="005848E3" w:rsidRPr="005848E3" w:rsidRDefault="005848E3" w:rsidP="005848E3">
      <w:pPr>
        <w:jc w:val="both"/>
        <w:rPr>
          <w:rFonts w:ascii="Verdana" w:hAnsi="Verdana"/>
          <w:sz w:val="22"/>
          <w:szCs w:val="22"/>
        </w:rPr>
      </w:pPr>
      <w:r w:rsidRPr="005848E3">
        <w:rPr>
          <w:rFonts w:ascii="Verdana" w:hAnsi="Verdana"/>
          <w:sz w:val="22"/>
          <w:szCs w:val="22"/>
        </w:rPr>
        <w:t>De otra parte, en el Estatuto Integral del Defensor de Familia respecto al interés superior del niño, la niña y el adolescente se señala que </w:t>
      </w:r>
      <w:r w:rsidRPr="005848E3">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198D28DF"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2.2. LAS FUNCIONES DE LOS DEFENSORES DE FAMILIA EN LOS PROCESOS PENALES.</w:t>
      </w:r>
    </w:p>
    <w:p w14:paraId="5765BE2A" w14:textId="6F3E0036" w:rsidR="005848E3" w:rsidRPr="005848E3" w:rsidRDefault="005848E3" w:rsidP="005848E3">
      <w:pPr>
        <w:jc w:val="both"/>
        <w:rPr>
          <w:rFonts w:ascii="Verdana" w:hAnsi="Verdana"/>
          <w:sz w:val="22"/>
          <w:szCs w:val="22"/>
        </w:rPr>
      </w:pPr>
      <w:r w:rsidRPr="005848E3">
        <w:rPr>
          <w:rFonts w:ascii="Verdana" w:hAnsi="Verdana"/>
          <w:sz w:val="22"/>
          <w:szCs w:val="22"/>
        </w:rPr>
        <w:t xml:space="preserve">En cuanto a las funciones del Defensor de Familia en los procesos de toda índole, inclusive los penales, las mismas se encuentran relacionadas con la representación judicial de los niños, las niñas y los adolescentes donde se </w:t>
      </w:r>
      <w:r w:rsidRPr="005848E3">
        <w:rPr>
          <w:rFonts w:ascii="Verdana" w:hAnsi="Verdana"/>
          <w:sz w:val="22"/>
          <w:szCs w:val="22"/>
        </w:rPr>
        <w:lastRenderedPageBreak/>
        <w:t>debaten sus derechos, y tienen un fundamento de rango constitucional de acuerdo con lo dispuesto en los artículos 42 y 44 de la Constitución Política que ampara y protege los derechos fundamentales que le asisten.</w:t>
      </w:r>
    </w:p>
    <w:p w14:paraId="753D3236" w14:textId="2FF670D0" w:rsidR="005848E3" w:rsidRPr="005848E3" w:rsidRDefault="005848E3" w:rsidP="005848E3">
      <w:pPr>
        <w:jc w:val="both"/>
        <w:rPr>
          <w:rFonts w:ascii="Verdana" w:hAnsi="Verdana"/>
          <w:sz w:val="22"/>
          <w:szCs w:val="22"/>
        </w:rPr>
      </w:pPr>
      <w:r w:rsidRPr="005848E3">
        <w:rPr>
          <w:rFonts w:ascii="Verdana" w:hAnsi="Verdana"/>
          <w:sz w:val="22"/>
          <w:szCs w:val="22"/>
        </w:rPr>
        <w:t>Específicamente en la Ley 1098 de 2006, en el artículo 82, numerales 6, 11, 12, 16 y 17 se encuentran relacionadas las actuaciones del Defensor de Familia en materia penal, las cuales prevén lo siguiente:</w:t>
      </w:r>
    </w:p>
    <w:p w14:paraId="47BC4378" w14:textId="77777777" w:rsidR="005848E3" w:rsidRPr="005848E3" w:rsidRDefault="005848E3" w:rsidP="005848E3">
      <w:pPr>
        <w:jc w:val="both"/>
        <w:rPr>
          <w:rFonts w:ascii="Verdana" w:hAnsi="Verdana"/>
          <w:sz w:val="22"/>
          <w:szCs w:val="22"/>
        </w:rPr>
      </w:pPr>
      <w:r w:rsidRPr="005848E3">
        <w:rPr>
          <w:rFonts w:ascii="Verdana" w:hAnsi="Verdana"/>
          <w:sz w:val="22"/>
          <w:szCs w:val="22"/>
          <w:u w:val="single"/>
        </w:rPr>
        <w:t>FUNCIONES DEL DEFENSOR DE FAMILIA</w:t>
      </w:r>
      <w:r w:rsidRPr="005848E3">
        <w:rPr>
          <w:rFonts w:ascii="Verdana" w:hAnsi="Verdana"/>
          <w:sz w:val="22"/>
          <w:szCs w:val="22"/>
        </w:rPr>
        <w:t>. Corresponde al Defensor de Familia:</w:t>
      </w:r>
    </w:p>
    <w:p w14:paraId="1C752431" w14:textId="77777777" w:rsidR="005848E3" w:rsidRPr="005848E3" w:rsidRDefault="005848E3" w:rsidP="005848E3">
      <w:pPr>
        <w:jc w:val="both"/>
        <w:rPr>
          <w:rFonts w:ascii="Verdana" w:hAnsi="Verdana"/>
          <w:sz w:val="22"/>
          <w:szCs w:val="22"/>
        </w:rPr>
      </w:pPr>
      <w:r w:rsidRPr="005848E3">
        <w:rPr>
          <w:rFonts w:ascii="Verdana" w:hAnsi="Verdana"/>
          <w:sz w:val="22"/>
          <w:szCs w:val="22"/>
        </w:rPr>
        <w:t>6. Asumir la asistencia y protección del adolescente responsable de haber infringido la Ley penal ante el juez penal para adolescentes.</w:t>
      </w:r>
    </w:p>
    <w:p w14:paraId="54FA3E39" w14:textId="77777777" w:rsidR="005848E3" w:rsidRPr="005848E3" w:rsidRDefault="005848E3" w:rsidP="005848E3">
      <w:pPr>
        <w:jc w:val="both"/>
        <w:rPr>
          <w:rFonts w:ascii="Verdana" w:hAnsi="Verdana"/>
          <w:sz w:val="22"/>
          <w:szCs w:val="22"/>
        </w:rPr>
      </w:pPr>
      <w:r w:rsidRPr="005848E3">
        <w:rPr>
          <w:rFonts w:ascii="Verdana" w:hAnsi="Verdana"/>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1F31E30E" w14:textId="77777777" w:rsidR="005848E3" w:rsidRPr="005848E3" w:rsidRDefault="005848E3" w:rsidP="005848E3">
      <w:pPr>
        <w:jc w:val="both"/>
        <w:rPr>
          <w:rFonts w:ascii="Verdana" w:hAnsi="Verdana"/>
          <w:sz w:val="22"/>
          <w:szCs w:val="22"/>
        </w:rPr>
      </w:pPr>
      <w:r w:rsidRPr="005848E3">
        <w:rPr>
          <w:rFonts w:ascii="Verdana" w:hAnsi="Verdana"/>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57E05B76" w14:textId="77777777" w:rsidR="005848E3" w:rsidRPr="005848E3" w:rsidRDefault="005848E3" w:rsidP="005848E3">
      <w:pPr>
        <w:jc w:val="both"/>
        <w:rPr>
          <w:rFonts w:ascii="Verdana" w:hAnsi="Verdana"/>
          <w:sz w:val="22"/>
          <w:szCs w:val="22"/>
        </w:rPr>
      </w:pPr>
      <w:r w:rsidRPr="005848E3">
        <w:rPr>
          <w:rFonts w:ascii="Verdana" w:hAnsi="Verdana"/>
          <w:sz w:val="22"/>
          <w:szCs w:val="22"/>
        </w:rPr>
        <w:t>16. Formular denuncia penal cuando advierta que el niño, niña o adolescente ha sido víctima de un delito.</w:t>
      </w:r>
    </w:p>
    <w:p w14:paraId="5521B3BA" w14:textId="6C06764C" w:rsidR="005848E3" w:rsidRPr="005848E3" w:rsidRDefault="005848E3" w:rsidP="005848E3">
      <w:pPr>
        <w:jc w:val="both"/>
        <w:rPr>
          <w:rFonts w:ascii="Verdana" w:hAnsi="Verdana"/>
          <w:sz w:val="22"/>
          <w:szCs w:val="22"/>
        </w:rPr>
      </w:pPr>
      <w:r w:rsidRPr="005848E3">
        <w:rPr>
          <w:rFonts w:ascii="Verdana" w:hAnsi="Verdana"/>
          <w:sz w:val="22"/>
          <w:szCs w:val="22"/>
        </w:rPr>
        <w:t>17. Ejercer las funciones atribuidas por el artículo 71 de la Ley 906 de 2004.</w:t>
      </w:r>
    </w:p>
    <w:p w14:paraId="08F8DC10"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2.3. LA PROCEDENCIA DE ENTREVISTAS A LOS MENORES DE EDAD DENTRO DEL SISTEMA PENAL ACUSATORIO.</w:t>
      </w:r>
    </w:p>
    <w:p w14:paraId="4E1EFE18" w14:textId="77777777" w:rsidR="005848E3" w:rsidRPr="005848E3" w:rsidRDefault="005848E3" w:rsidP="005848E3">
      <w:pPr>
        <w:jc w:val="both"/>
        <w:rPr>
          <w:rFonts w:ascii="Verdana" w:hAnsi="Verdana"/>
          <w:sz w:val="22"/>
          <w:szCs w:val="22"/>
        </w:rPr>
      </w:pPr>
      <w:r w:rsidRPr="005848E3">
        <w:rPr>
          <w:rFonts w:ascii="Verdana" w:hAnsi="Verdana"/>
          <w:sz w:val="22"/>
          <w:szCs w:val="22"/>
        </w:rPr>
        <w:t xml:space="preserve">El testimonio de los niños, niñas y adolescentes hoy día es base fundamental en </w:t>
      </w:r>
      <w:proofErr w:type="gramStart"/>
      <w:r w:rsidRPr="005848E3">
        <w:rPr>
          <w:rFonts w:ascii="Verdana" w:hAnsi="Verdana"/>
          <w:sz w:val="22"/>
          <w:szCs w:val="22"/>
        </w:rPr>
        <w:t>la decisiones</w:t>
      </w:r>
      <w:proofErr w:type="gramEnd"/>
      <w:r w:rsidRPr="005848E3">
        <w:rPr>
          <w:rFonts w:ascii="Verdana" w:hAnsi="Verdana"/>
          <w:sz w:val="22"/>
          <w:szCs w:val="22"/>
        </w:rPr>
        <w:t xml:space="preserve"> que se han de tomar por parte de los funcionarios encargados de adelantar la investigación y el juzgamiento dentro del sistema penal acusatorio, toda vez que anteriormente la intervención y participación de los menores de edad en la vida jurídica era limitada, salvo algunos actos en que podía intervenir mediante representante.</w:t>
      </w:r>
    </w:p>
    <w:p w14:paraId="1606C5F9" w14:textId="77777777" w:rsidR="005848E3" w:rsidRPr="005848E3" w:rsidRDefault="005848E3" w:rsidP="005848E3">
      <w:pPr>
        <w:jc w:val="both"/>
        <w:rPr>
          <w:rFonts w:ascii="Verdana" w:hAnsi="Verdana"/>
          <w:sz w:val="22"/>
          <w:szCs w:val="22"/>
        </w:rPr>
      </w:pPr>
      <w:r w:rsidRPr="005848E3">
        <w:rPr>
          <w:rFonts w:ascii="Verdana" w:hAnsi="Verdana"/>
          <w:sz w:val="22"/>
          <w:szCs w:val="22"/>
        </w:rPr>
        <w:t>Por ello el Código de la Infancia y la Adolescencia creó el Sistema de Responsabilidad Penal para Adolescentes, así como los procedimientos especiales para cuando los niños, niñas y adolescentes son víctimas o intervienen en los procesos contra adultos, y deben ser escuchados así:</w:t>
      </w:r>
    </w:p>
    <w:p w14:paraId="1CE5A079" w14:textId="217650BF" w:rsidR="005848E3" w:rsidRPr="005848E3" w:rsidRDefault="005848E3" w:rsidP="005848E3">
      <w:pPr>
        <w:jc w:val="both"/>
        <w:rPr>
          <w:rFonts w:ascii="Verdana" w:hAnsi="Verdana"/>
          <w:sz w:val="22"/>
          <w:szCs w:val="22"/>
        </w:rPr>
      </w:pPr>
      <w:r w:rsidRPr="005848E3">
        <w:rPr>
          <w:rFonts w:ascii="Verdana" w:hAnsi="Verdana"/>
          <w:sz w:val="22"/>
          <w:szCs w:val="22"/>
        </w:rPr>
        <w:t>- El artículo 150, consagra que cuando los niños, las niñas y los adolescentes sean citados como testigos en los procesos penales que se adelanten contra adultos, sus declaraciones solo las podrá tomar el Defensor de Familia.</w:t>
      </w:r>
    </w:p>
    <w:p w14:paraId="304A1295" w14:textId="77777777" w:rsidR="005848E3" w:rsidRPr="005848E3" w:rsidRDefault="005848E3" w:rsidP="005848E3">
      <w:pPr>
        <w:jc w:val="both"/>
        <w:rPr>
          <w:rFonts w:ascii="Verdana" w:hAnsi="Verdana"/>
          <w:sz w:val="22"/>
          <w:szCs w:val="22"/>
        </w:rPr>
      </w:pPr>
      <w:r w:rsidRPr="005848E3">
        <w:rPr>
          <w:rFonts w:ascii="Verdana" w:hAnsi="Verdana"/>
          <w:sz w:val="22"/>
          <w:szCs w:val="22"/>
        </w:rPr>
        <w:lastRenderedPageBreak/>
        <w:t>- Igualmente establece que será el Fiscal o el Juez los que deben remitir el cuestionario, y de manera excepcional el Juez podrá intervenir en el interrogatorio, caso en el cual será necesaria la presencia del Defensor de Familia, este mismo procedimiento será el que se siga para las declaraciones y entrevistas que deban ser rendidas ante la Policía Judicial y la Fiscalía durante las etapas de indagación o investigación.</w:t>
      </w:r>
    </w:p>
    <w:p w14:paraId="24B7A2B1" w14:textId="15F4E0B9" w:rsidR="005848E3" w:rsidRPr="005848E3" w:rsidRDefault="005848E3" w:rsidP="005848E3">
      <w:pPr>
        <w:jc w:val="both"/>
        <w:rPr>
          <w:rFonts w:ascii="Verdana" w:hAnsi="Verdana"/>
          <w:sz w:val="22"/>
          <w:szCs w:val="22"/>
        </w:rPr>
      </w:pPr>
      <w:r w:rsidRPr="005848E3">
        <w:rPr>
          <w:rFonts w:ascii="Verdana" w:hAnsi="Verdana"/>
          <w:sz w:val="22"/>
          <w:szCs w:val="22"/>
        </w:rPr>
        <w:t>Por su parte, el numeral 12 del artículo 193, establece que en los casos en que los niños son víctimas de delitos y deban rendir testimonio deberá estar acompañado de autoridad especializada o por un psicólogo, de acuerdo con las exigencias contempladas en la Ley.</w:t>
      </w:r>
    </w:p>
    <w:p w14:paraId="33E91B7F" w14:textId="60738E0B" w:rsidR="005848E3" w:rsidRPr="005848E3" w:rsidRDefault="005848E3" w:rsidP="005848E3">
      <w:pPr>
        <w:jc w:val="both"/>
        <w:rPr>
          <w:rFonts w:ascii="Verdana" w:hAnsi="Verdana"/>
          <w:sz w:val="22"/>
          <w:szCs w:val="22"/>
        </w:rPr>
      </w:pPr>
      <w:r w:rsidRPr="005848E3">
        <w:rPr>
          <w:rFonts w:ascii="Verdana" w:hAnsi="Verdana"/>
          <w:sz w:val="22"/>
          <w:szCs w:val="22"/>
        </w:rPr>
        <w:t>- El artículo 194, dispone que en las audiencias en las que se investiguen y juzguen delitos cuyas víctimas sea una persona menor de dieciocho (18) años, no se podrá exponer a la víctima frente a su agresor, se deberá utilizar medios tecnológicos y el niño, niña o adolescente debe estar acompañado de un profesional especializado que adecúe el interrogatorio y contrainterrogatorio a un lenguaje comprensible a su edad, y solo si el Juez considera conveniente podrán estar los demás sujetos procesales.</w:t>
      </w:r>
    </w:p>
    <w:p w14:paraId="10D09DA6" w14:textId="046D4077" w:rsidR="005848E3" w:rsidRPr="005848E3" w:rsidRDefault="005848E3" w:rsidP="005848E3">
      <w:pPr>
        <w:jc w:val="both"/>
        <w:rPr>
          <w:rFonts w:ascii="Verdana" w:hAnsi="Verdana"/>
          <w:sz w:val="22"/>
          <w:szCs w:val="22"/>
        </w:rPr>
      </w:pPr>
      <w:r w:rsidRPr="005848E3">
        <w:rPr>
          <w:rFonts w:ascii="Verdana" w:hAnsi="Verdana"/>
          <w:sz w:val="22"/>
          <w:szCs w:val="22"/>
        </w:rPr>
        <w:t xml:space="preserve">En ese mismo sentido, la Circular 11 de 2010 emitida por la Dirección General del ICBF, indicó que de ser necesaria la intervención de los niños, niñas y adolescentes, como testigos en los procesos penales que se adelanten contra los adultos, su declaración debe rendirse bajo los supuestos del artículo 150 de la Ley de Infancia y Adolescencia, y su aplicación pe extiende a los Comisarios de Familia e Inspectores de Policía, en ejercicio de las funciones previstas en el citado código y la competencia señalada en los artículos 98 y 163-8 </w:t>
      </w:r>
      <w:proofErr w:type="spellStart"/>
      <w:r w:rsidRPr="005848E3">
        <w:rPr>
          <w:rFonts w:ascii="Verdana" w:hAnsi="Verdana"/>
          <w:sz w:val="22"/>
          <w:szCs w:val="22"/>
        </w:rPr>
        <w:t>ibídem</w:t>
      </w:r>
      <w:proofErr w:type="spellEnd"/>
      <w:r w:rsidRPr="005848E3">
        <w:rPr>
          <w:rFonts w:ascii="Verdana" w:hAnsi="Verdana"/>
          <w:sz w:val="22"/>
          <w:szCs w:val="22"/>
        </w:rPr>
        <w:t>, que incluyen la competencia subsidiaria.</w:t>
      </w:r>
    </w:p>
    <w:p w14:paraId="2E3C99DC" w14:textId="77777777" w:rsidR="005848E3" w:rsidRPr="005848E3" w:rsidRDefault="005848E3" w:rsidP="005848E3">
      <w:pPr>
        <w:jc w:val="both"/>
        <w:rPr>
          <w:rFonts w:ascii="Verdana" w:hAnsi="Verdana"/>
          <w:sz w:val="22"/>
          <w:szCs w:val="22"/>
        </w:rPr>
      </w:pPr>
      <w:r w:rsidRPr="005848E3">
        <w:rPr>
          <w:rFonts w:ascii="Verdana" w:hAnsi="Verdana"/>
          <w:sz w:val="22"/>
          <w:szCs w:val="22"/>
        </w:rPr>
        <w:t>En este orden de ideas y teniendo en cuenta las consideraciones de orden legal aquí consignadas, es preciso indicar que sólo el Fiscal o el Juez podrán solicitar y ordenar la entrevista o declaración de los menores de edad dentro de los juicios penales, motivo por el cual el investigador privado no puede realizar entrevistas a los menores de edad.</w:t>
      </w:r>
    </w:p>
    <w:p w14:paraId="65E75B5F" w14:textId="77777777" w:rsidR="005848E3" w:rsidRPr="005848E3" w:rsidRDefault="005848E3" w:rsidP="005848E3">
      <w:pPr>
        <w:jc w:val="both"/>
        <w:rPr>
          <w:rFonts w:ascii="Verdana" w:hAnsi="Verdana"/>
          <w:sz w:val="22"/>
          <w:szCs w:val="22"/>
        </w:rPr>
      </w:pPr>
      <w:r w:rsidRPr="005848E3">
        <w:rPr>
          <w:rFonts w:ascii="Verdana" w:hAnsi="Verdana"/>
          <w:sz w:val="22"/>
          <w:szCs w:val="22"/>
        </w:rPr>
        <w:t>En ese sentido, es claro que la actuación del Defensor de Familia tiene como fundamento esencial la protección integral de los derechos de los menores de edad, pero que así mismo en el ámbito de los procesos judiciales, cualquiera sea su naturaleza, la posibilidad y oportunidad de intervención la consagra la ley, siempre acorde con la dirección del proceso que ejerce el juez y no a solicitud de las partes.</w:t>
      </w:r>
    </w:p>
    <w:p w14:paraId="77A92C2B" w14:textId="77777777" w:rsidR="005848E3" w:rsidRPr="005848E3" w:rsidRDefault="005848E3" w:rsidP="005848E3">
      <w:pPr>
        <w:jc w:val="both"/>
        <w:rPr>
          <w:rFonts w:ascii="Verdana" w:hAnsi="Verdana"/>
          <w:sz w:val="22"/>
          <w:szCs w:val="22"/>
        </w:rPr>
      </w:pPr>
      <w:r w:rsidRPr="005848E3">
        <w:rPr>
          <w:rFonts w:ascii="Verdana" w:hAnsi="Verdana"/>
          <w:sz w:val="22"/>
          <w:szCs w:val="22"/>
        </w:rPr>
        <w:t xml:space="preserve">Para el caso de la Defensa en asuntos de responsabilidad penal, no se desconoce la existencia del principio de igualdad de </w:t>
      </w:r>
      <w:proofErr w:type="gramStart"/>
      <w:r w:rsidRPr="005848E3">
        <w:rPr>
          <w:rFonts w:ascii="Verdana" w:hAnsi="Verdana"/>
          <w:sz w:val="22"/>
          <w:szCs w:val="22"/>
        </w:rPr>
        <w:t>armas</w:t>
      </w:r>
      <w:r w:rsidRPr="005848E3">
        <w:rPr>
          <w:rFonts w:ascii="Verdana" w:hAnsi="Verdana"/>
          <w:sz w:val="22"/>
          <w:szCs w:val="22"/>
          <w:vertAlign w:val="subscript"/>
        </w:rPr>
        <w:t>[</w:t>
      </w:r>
      <w:proofErr w:type="gramEnd"/>
      <w:r w:rsidRPr="005848E3">
        <w:rPr>
          <w:rFonts w:ascii="Verdana" w:hAnsi="Verdana"/>
          <w:sz w:val="22"/>
          <w:szCs w:val="22"/>
          <w:vertAlign w:val="subscript"/>
        </w:rPr>
        <w:t>5]</w:t>
      </w:r>
      <w:r w:rsidRPr="005848E3">
        <w:rPr>
          <w:rFonts w:ascii="Verdana" w:hAnsi="Verdana"/>
          <w:sz w:val="22"/>
          <w:szCs w:val="22"/>
        </w:rPr>
        <w:t xml:space="preserve"> que se constituye en el equilibrio en materia probatoria que debe existir entre el ente acusador y la </w:t>
      </w:r>
      <w:r w:rsidRPr="005848E3">
        <w:rPr>
          <w:rFonts w:ascii="Verdana" w:hAnsi="Verdana"/>
          <w:sz w:val="22"/>
          <w:szCs w:val="22"/>
        </w:rPr>
        <w:lastRenderedPageBreak/>
        <w:t>defensa, sin embargo, ninguna norma otorga facultades autónomas ni a la Defensoría Pública, ni a los apoderados particulares de las partes, para exigir la intervención del Defensor de Familia del ICBF por fuera de lo dispuesto por la Ley y el Juez competente.</w:t>
      </w:r>
    </w:p>
    <w:p w14:paraId="3010539A" w14:textId="116A9C97" w:rsidR="005848E3" w:rsidRPr="005848E3" w:rsidRDefault="005848E3" w:rsidP="005848E3">
      <w:pPr>
        <w:jc w:val="both"/>
        <w:rPr>
          <w:rFonts w:ascii="Verdana" w:hAnsi="Verdana"/>
          <w:sz w:val="22"/>
          <w:szCs w:val="22"/>
        </w:rPr>
      </w:pPr>
      <w:r w:rsidRPr="005848E3">
        <w:rPr>
          <w:rFonts w:ascii="Verdana" w:hAnsi="Verdana"/>
          <w:sz w:val="22"/>
          <w:szCs w:val="22"/>
        </w:rPr>
        <w:t>Así las cosas, teniendo en cuenta que el Código de la Infancia y la Adolescencia es una norma especial que fue expedida con posterioridad a la Ley 906 de 2004 (Código de Procedimiento Penal), para la práctica de testimonios o entrevistas de niños, niñas y adolescentes se deberá atender lo dispuesto en la misma, razón por la cual el interesado debe solicitar ante la autoridad judicial competente el testimonio o la entrevista al menor de edad, con el fin de que el Defensor de Familia, previa orden judicial la practique con la rigurosidad y lo estipulado en la Ley para esta clase de diligencias, garantizando siempre los derechos prevalentes de la niño, niña o adolescentes.</w:t>
      </w:r>
    </w:p>
    <w:p w14:paraId="7D63F6A9"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CONCLUSIONES</w:t>
      </w:r>
    </w:p>
    <w:p w14:paraId="7EFAA8AD" w14:textId="77777777" w:rsidR="005848E3" w:rsidRPr="005848E3" w:rsidRDefault="005848E3" w:rsidP="005848E3">
      <w:pPr>
        <w:jc w:val="both"/>
        <w:rPr>
          <w:rFonts w:ascii="Verdana" w:hAnsi="Verdana"/>
          <w:sz w:val="22"/>
          <w:szCs w:val="22"/>
        </w:rPr>
      </w:pPr>
      <w:r w:rsidRPr="005848E3">
        <w:rPr>
          <w:rFonts w:ascii="Verdana" w:hAnsi="Verdana"/>
          <w:sz w:val="22"/>
          <w:szCs w:val="22"/>
        </w:rPr>
        <w:t xml:space="preserve">Teniendo en cuenta las consideraciones de orden legal analizadas, </w:t>
      </w:r>
      <w:proofErr w:type="gramStart"/>
      <w:r w:rsidRPr="005848E3">
        <w:rPr>
          <w:rFonts w:ascii="Verdana" w:hAnsi="Verdana"/>
          <w:sz w:val="22"/>
          <w:szCs w:val="22"/>
        </w:rPr>
        <w:t>ésta</w:t>
      </w:r>
      <w:proofErr w:type="gramEnd"/>
      <w:r w:rsidRPr="005848E3">
        <w:rPr>
          <w:rFonts w:ascii="Verdana" w:hAnsi="Verdana"/>
          <w:sz w:val="22"/>
          <w:szCs w:val="22"/>
        </w:rPr>
        <w:t xml:space="preserve"> Oficina Asesora Jurídica concluye que:</w:t>
      </w:r>
    </w:p>
    <w:p w14:paraId="7125FBA4"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Primero: </w:t>
      </w:r>
      <w:r w:rsidRPr="005848E3">
        <w:rPr>
          <w:rFonts w:ascii="Verdana" w:hAnsi="Verdana"/>
          <w:sz w:val="22"/>
          <w:szCs w:val="22"/>
        </w:rPr>
        <w:t>El interés superior de los niños, niñas y adolescentes es el imperativo que obliga a todas las personas a garantizar la satisfacción integral y simultánea de todos sus derechos humanos, que son universales, prevalentes e interdependientes.</w:t>
      </w:r>
    </w:p>
    <w:p w14:paraId="5933BA16"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Segundo: </w:t>
      </w:r>
      <w:r w:rsidRPr="005848E3">
        <w:rPr>
          <w:rFonts w:ascii="Verdana" w:hAnsi="Verdana"/>
          <w:sz w:val="22"/>
          <w:szCs w:val="22"/>
        </w:rPr>
        <w:t xml:space="preserve">Siempre </w:t>
      </w:r>
      <w:proofErr w:type="gramStart"/>
      <w:r w:rsidRPr="005848E3">
        <w:rPr>
          <w:rFonts w:ascii="Verdana" w:hAnsi="Verdana"/>
          <w:sz w:val="22"/>
          <w:szCs w:val="22"/>
        </w:rPr>
        <w:t>que</w:t>
      </w:r>
      <w:proofErr w:type="gramEnd"/>
      <w:r w:rsidRPr="005848E3">
        <w:rPr>
          <w:rFonts w:ascii="Verdana" w:hAnsi="Verdana"/>
          <w:sz w:val="22"/>
          <w:szCs w:val="22"/>
        </w:rPr>
        <w:t xml:space="preserve"> dentro del Sistema Penal Acusatorio, se requiera adelantar una entrevista a niños, niñas y adolescentes, sus declaraciones solo las podrá tomar el Defensor de Familia según cuestionario enviado previamente por el Fiscal o el Juez que conoce del caso, en su calidad de director del proceso, sin embargo, el Defensor de Familia sólo formulará las preguntas que no sean contrarias al interés superior del menor que rinde la entrevista.</w:t>
      </w:r>
    </w:p>
    <w:p w14:paraId="3076D368"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Tercero: </w:t>
      </w:r>
      <w:r w:rsidRPr="005848E3">
        <w:rPr>
          <w:rFonts w:ascii="Verdana" w:hAnsi="Verdana"/>
          <w:sz w:val="22"/>
          <w:szCs w:val="22"/>
        </w:rPr>
        <w:t xml:space="preserve">Si en algún momento el Defensor Público o el apoderado particular, requieren el acopio de pruebas o declaraciones adicionales en las que deban intervenir menores de edad, para obtener la práctica de dicha prueba, se deberá contar con la autorización del Juez de Control de Garantías, el Juez conocimiento o el Fiscal encargado del caso, pues la defensa no lo podrá hacer directamente ante el Defensor de Familia toda vez que esta no es una función propia de </w:t>
      </w:r>
      <w:proofErr w:type="gramStart"/>
      <w:r w:rsidRPr="005848E3">
        <w:rPr>
          <w:rFonts w:ascii="Verdana" w:hAnsi="Verdana"/>
          <w:sz w:val="22"/>
          <w:szCs w:val="22"/>
        </w:rPr>
        <w:t>éste</w:t>
      </w:r>
      <w:proofErr w:type="gramEnd"/>
      <w:r w:rsidRPr="005848E3">
        <w:rPr>
          <w:rFonts w:ascii="Verdana" w:hAnsi="Verdana"/>
          <w:sz w:val="22"/>
          <w:szCs w:val="22"/>
        </w:rPr>
        <w:t xml:space="preserve"> funcionario público.</w:t>
      </w:r>
    </w:p>
    <w:p w14:paraId="59990875" w14:textId="1F817E81" w:rsidR="005848E3" w:rsidRPr="005848E3" w:rsidRDefault="005848E3" w:rsidP="005848E3">
      <w:pPr>
        <w:jc w:val="both"/>
        <w:rPr>
          <w:rFonts w:ascii="Verdana" w:hAnsi="Verdana"/>
          <w:sz w:val="22"/>
          <w:szCs w:val="22"/>
        </w:rPr>
      </w:pPr>
      <w:r w:rsidRPr="005848E3">
        <w:rPr>
          <w:rFonts w:ascii="Verdana" w:hAnsi="Verdana"/>
          <w:sz w:val="22"/>
          <w:szCs w:val="22"/>
        </w:rPr>
        <w:t xml:space="preserve">Finalmente, es preciso indicar que el presente concepto no es de obligatorio cumplimiento o ejecución para particulares o agentes externos, de conformidad con lo establecido en </w:t>
      </w:r>
      <w:proofErr w:type="gramStart"/>
      <w:r w:rsidRPr="005848E3">
        <w:rPr>
          <w:rFonts w:ascii="Verdana" w:hAnsi="Verdana"/>
          <w:sz w:val="22"/>
          <w:szCs w:val="22"/>
        </w:rPr>
        <w:t>el la</w:t>
      </w:r>
      <w:proofErr w:type="gramEnd"/>
      <w:r w:rsidRPr="005848E3">
        <w:rPr>
          <w:rFonts w:ascii="Verdana" w:hAnsi="Verdana"/>
          <w:sz w:val="22"/>
          <w:szCs w:val="22"/>
        </w:rPr>
        <w:t xml:space="preserve"> Ley 1755 de 2015. No </w:t>
      </w:r>
      <w:proofErr w:type="gramStart"/>
      <w:r w:rsidRPr="005848E3">
        <w:rPr>
          <w:rFonts w:ascii="Verdana" w:hAnsi="Verdana"/>
          <w:sz w:val="22"/>
          <w:szCs w:val="22"/>
        </w:rPr>
        <w:t>obstante</w:t>
      </w:r>
      <w:proofErr w:type="gramEnd"/>
      <w:r w:rsidRPr="005848E3">
        <w:rPr>
          <w:rFonts w:ascii="Verdana" w:hAnsi="Verdana"/>
          <w:sz w:val="22"/>
          <w:szCs w:val="22"/>
        </w:rPr>
        <w:t xml:space="preserve"> lo anterior, tiene carácter vinculante para las dependencias internas del Instituto y terceros que colaboren en la prestación del servicio público o en el desarrollo de la función </w:t>
      </w:r>
      <w:r w:rsidRPr="005848E3">
        <w:rPr>
          <w:rFonts w:ascii="Verdana" w:hAnsi="Verdana"/>
          <w:sz w:val="22"/>
          <w:szCs w:val="22"/>
        </w:rPr>
        <w:lastRenderedPageBreak/>
        <w:t>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EE65BE0" w14:textId="77777777" w:rsidR="005848E3" w:rsidRDefault="005848E3" w:rsidP="005848E3">
      <w:pPr>
        <w:jc w:val="both"/>
        <w:rPr>
          <w:rFonts w:ascii="Verdana" w:hAnsi="Verdana"/>
          <w:sz w:val="22"/>
          <w:szCs w:val="22"/>
        </w:rPr>
      </w:pPr>
      <w:r w:rsidRPr="005848E3">
        <w:rPr>
          <w:rFonts w:ascii="Verdana" w:hAnsi="Verdana"/>
          <w:sz w:val="22"/>
          <w:szCs w:val="22"/>
        </w:rPr>
        <w:t>Atentamente,</w:t>
      </w:r>
    </w:p>
    <w:p w14:paraId="053BB08E" w14:textId="77777777" w:rsidR="005848E3" w:rsidRPr="005848E3" w:rsidRDefault="005848E3" w:rsidP="005848E3">
      <w:pPr>
        <w:jc w:val="both"/>
        <w:rPr>
          <w:rFonts w:ascii="Verdana" w:hAnsi="Verdana"/>
          <w:sz w:val="22"/>
          <w:szCs w:val="22"/>
        </w:rPr>
      </w:pPr>
    </w:p>
    <w:p w14:paraId="465F8561" w14:textId="77777777" w:rsidR="005848E3" w:rsidRPr="005848E3" w:rsidRDefault="005848E3" w:rsidP="005848E3">
      <w:pPr>
        <w:jc w:val="both"/>
        <w:rPr>
          <w:rFonts w:ascii="Verdana" w:hAnsi="Verdana"/>
          <w:sz w:val="22"/>
          <w:szCs w:val="22"/>
        </w:rPr>
      </w:pPr>
      <w:r w:rsidRPr="005848E3">
        <w:rPr>
          <w:rFonts w:ascii="Verdana" w:hAnsi="Verdana"/>
          <w:b/>
          <w:bCs/>
          <w:sz w:val="22"/>
          <w:szCs w:val="22"/>
        </w:rPr>
        <w:t>LUZ KARIME FERNANDEZ CASTILLO</w:t>
      </w:r>
    </w:p>
    <w:p w14:paraId="598CAE62" w14:textId="77777777" w:rsidR="005848E3" w:rsidRDefault="005848E3" w:rsidP="005848E3">
      <w:pPr>
        <w:jc w:val="both"/>
        <w:rPr>
          <w:rFonts w:ascii="Verdana" w:hAnsi="Verdana"/>
          <w:sz w:val="22"/>
          <w:szCs w:val="22"/>
        </w:rPr>
      </w:pPr>
      <w:r w:rsidRPr="005848E3">
        <w:rPr>
          <w:rFonts w:ascii="Verdana" w:hAnsi="Verdana"/>
          <w:sz w:val="22"/>
          <w:szCs w:val="22"/>
        </w:rPr>
        <w:t>Jefe Oficina Asesora Jurídica</w:t>
      </w:r>
    </w:p>
    <w:p w14:paraId="7C740DA1" w14:textId="77777777" w:rsidR="005848E3" w:rsidRPr="005848E3" w:rsidRDefault="005848E3" w:rsidP="005848E3">
      <w:pPr>
        <w:jc w:val="both"/>
        <w:rPr>
          <w:rFonts w:ascii="Verdana" w:hAnsi="Verdana"/>
          <w:sz w:val="22"/>
          <w:szCs w:val="22"/>
        </w:rPr>
      </w:pPr>
    </w:p>
    <w:p w14:paraId="050ABEC5" w14:textId="1C92D9EC" w:rsidR="005848E3" w:rsidRPr="005848E3" w:rsidRDefault="005848E3" w:rsidP="005848E3">
      <w:pPr>
        <w:jc w:val="both"/>
        <w:rPr>
          <w:rFonts w:ascii="Verdana" w:hAnsi="Verdana"/>
          <w:b/>
          <w:bCs/>
          <w:sz w:val="22"/>
          <w:szCs w:val="22"/>
        </w:rPr>
      </w:pPr>
      <w:r w:rsidRPr="005848E3">
        <w:rPr>
          <w:rFonts w:ascii="Verdana" w:hAnsi="Verdana"/>
          <w:b/>
          <w:bCs/>
          <w:sz w:val="22"/>
          <w:szCs w:val="22"/>
        </w:rPr>
        <w:t>Notas de pie de página:</w:t>
      </w:r>
    </w:p>
    <w:p w14:paraId="084544E4" w14:textId="20F831FD" w:rsidR="005848E3" w:rsidRPr="005848E3" w:rsidRDefault="005848E3" w:rsidP="005848E3">
      <w:pPr>
        <w:jc w:val="both"/>
        <w:rPr>
          <w:rFonts w:ascii="Verdana" w:hAnsi="Verdana"/>
          <w:sz w:val="22"/>
          <w:szCs w:val="22"/>
        </w:rPr>
      </w:pPr>
      <w:r w:rsidRPr="005848E3">
        <w:rPr>
          <w:rFonts w:ascii="Verdana" w:hAnsi="Verdana"/>
          <w:sz w:val="22"/>
          <w:szCs w:val="22"/>
        </w:rPr>
        <w:t>1. Ley 1098 de 2006.</w:t>
      </w:r>
    </w:p>
    <w:p w14:paraId="64709094" w14:textId="577DE966" w:rsidR="005848E3" w:rsidRPr="005848E3" w:rsidRDefault="005848E3" w:rsidP="005848E3">
      <w:pPr>
        <w:jc w:val="both"/>
        <w:rPr>
          <w:rFonts w:ascii="Verdana" w:hAnsi="Verdana"/>
          <w:sz w:val="22"/>
          <w:szCs w:val="22"/>
        </w:rPr>
      </w:pPr>
      <w:r w:rsidRPr="005848E3">
        <w:rPr>
          <w:rFonts w:ascii="Verdana" w:hAnsi="Verdana"/>
          <w:sz w:val="22"/>
          <w:szCs w:val="22"/>
        </w:rPr>
        <w:t xml:space="preserve">2. Corte Constitucional, sentencia T-408-95, expediente T-71149, M.P: </w:t>
      </w:r>
      <w:proofErr w:type="gramStart"/>
      <w:r w:rsidRPr="005848E3">
        <w:rPr>
          <w:rFonts w:ascii="Verdana" w:hAnsi="Verdana"/>
          <w:sz w:val="22"/>
          <w:szCs w:val="22"/>
        </w:rPr>
        <w:t>Eduardo  Cifuentes</w:t>
      </w:r>
      <w:proofErr w:type="gramEnd"/>
      <w:r w:rsidRPr="005848E3">
        <w:rPr>
          <w:rFonts w:ascii="Verdana" w:hAnsi="Verdana"/>
          <w:sz w:val="22"/>
          <w:szCs w:val="22"/>
        </w:rPr>
        <w:t xml:space="preserve"> Muñoz. T-503 de 2003 y T-397 de 2004 (MP. Manuel José Cepeda Espinosa). Cita sacada de la sentencia T-502 de 2011, expediente T-2622716, M.P: Jorge Ignacio Pretelt Chaljub. Corte Constitucional, sentencia T-587 de 1997, M.P. Dr. Eduardo Cifuentes Muñoz.</w:t>
      </w:r>
    </w:p>
    <w:p w14:paraId="4D676EFB" w14:textId="11E980A7" w:rsidR="005848E3" w:rsidRPr="005848E3" w:rsidRDefault="005848E3" w:rsidP="005848E3">
      <w:pPr>
        <w:jc w:val="both"/>
        <w:rPr>
          <w:rFonts w:ascii="Verdana" w:hAnsi="Verdana"/>
          <w:sz w:val="22"/>
          <w:szCs w:val="22"/>
        </w:rPr>
      </w:pPr>
      <w:r w:rsidRPr="005848E3">
        <w:rPr>
          <w:rFonts w:ascii="Verdana" w:hAnsi="Verdana"/>
          <w:sz w:val="22"/>
          <w:szCs w:val="22"/>
        </w:rPr>
        <w:t xml:space="preserve">Corte Constitucional, sentencia T-408-95, expediente T-71149, M.P: </w:t>
      </w:r>
      <w:proofErr w:type="gramStart"/>
      <w:r w:rsidRPr="005848E3">
        <w:rPr>
          <w:rFonts w:ascii="Verdana" w:hAnsi="Verdana"/>
          <w:sz w:val="22"/>
          <w:szCs w:val="22"/>
        </w:rPr>
        <w:t>Eduardo  Cifuentes</w:t>
      </w:r>
      <w:proofErr w:type="gramEnd"/>
      <w:r w:rsidRPr="005848E3">
        <w:rPr>
          <w:rFonts w:ascii="Verdana" w:hAnsi="Verdana"/>
          <w:sz w:val="22"/>
          <w:szCs w:val="22"/>
        </w:rPr>
        <w:t xml:space="preserve"> Muñoz.</w:t>
      </w:r>
    </w:p>
    <w:p w14:paraId="14197EA2" w14:textId="27AED1F9" w:rsidR="005848E3" w:rsidRPr="005848E3" w:rsidRDefault="005848E3" w:rsidP="005848E3">
      <w:pPr>
        <w:jc w:val="both"/>
        <w:rPr>
          <w:rFonts w:ascii="Verdana" w:hAnsi="Verdana"/>
          <w:sz w:val="22"/>
          <w:szCs w:val="22"/>
        </w:rPr>
      </w:pPr>
      <w:r w:rsidRPr="005848E3">
        <w:rPr>
          <w:rFonts w:ascii="Verdana" w:hAnsi="Verdana"/>
          <w:sz w:val="22"/>
          <w:szCs w:val="22"/>
        </w:rPr>
        <w:t>3. T-503 de 2003 y T-397 de 2004 (MP. Manuel José Cepeda Espinosa). Cita sacada de la sentencia T-502 de 2011, expediente T-2622716, M.P: Jorge Ignacio Pretelt Chaljub.</w:t>
      </w:r>
    </w:p>
    <w:p w14:paraId="311BD276" w14:textId="77777777" w:rsidR="005848E3" w:rsidRPr="005848E3" w:rsidRDefault="005848E3" w:rsidP="005848E3">
      <w:pPr>
        <w:jc w:val="both"/>
        <w:rPr>
          <w:rFonts w:ascii="Verdana" w:hAnsi="Verdana"/>
          <w:sz w:val="22"/>
          <w:szCs w:val="22"/>
        </w:rPr>
      </w:pPr>
      <w:r w:rsidRPr="005848E3">
        <w:rPr>
          <w:rFonts w:ascii="Verdana" w:hAnsi="Verdana"/>
          <w:sz w:val="22"/>
          <w:szCs w:val="22"/>
        </w:rPr>
        <w:t>4. Corte Constitucional, sentencia T-587 de 1997, M.P. Dr. Eduardo Cifuentes Muñoz.</w:t>
      </w:r>
    </w:p>
    <w:p w14:paraId="1365C8E5" w14:textId="77777777" w:rsidR="005848E3" w:rsidRPr="005848E3" w:rsidRDefault="005848E3" w:rsidP="005848E3">
      <w:pPr>
        <w:jc w:val="both"/>
        <w:rPr>
          <w:rFonts w:ascii="Verdana" w:hAnsi="Verdana"/>
          <w:sz w:val="22"/>
          <w:szCs w:val="22"/>
        </w:rPr>
      </w:pPr>
      <w:r w:rsidRPr="005848E3">
        <w:rPr>
          <w:rFonts w:ascii="Verdana" w:hAnsi="Verdana"/>
          <w:sz w:val="22"/>
          <w:szCs w:val="22"/>
        </w:rPr>
        <w:t xml:space="preserve">5. Respecto del principio de Igualdad de Armas, la Corte Constitucional en sentencia C-118 de 2008 señaló que el mismo "Constituye una de las premisas fundamentales del proceso penal acusatorio, y está dirigido a garantizar que </w:t>
      </w:r>
      <w:proofErr w:type="gramStart"/>
      <w:r w:rsidRPr="005848E3">
        <w:rPr>
          <w:rFonts w:ascii="Verdana" w:hAnsi="Verdana"/>
          <w:sz w:val="22"/>
          <w:szCs w:val="22"/>
        </w:rPr>
        <w:t>el  acusador</w:t>
      </w:r>
      <w:proofErr w:type="gramEnd"/>
      <w:r w:rsidRPr="005848E3">
        <w:rPr>
          <w:rFonts w:ascii="Verdana" w:hAnsi="Verdana"/>
          <w:sz w:val="22"/>
          <w:szCs w:val="22"/>
        </w:rPr>
        <w:t xml:space="preserve"> y el acusado tengan a su alcance posibilidades reales y ciertas para ejercer sus derechos y las herramientas necesarias para situarse en un equilibrio de poderes y hacer respetar sus intereses. Este principio supone la existencia de dos partes en disputa y se estructura como un mecanismo de paridad en la lucha, de igualdad de trato entre los sujetos procesales o de justicia en el proceso por lo que resulta evidente que la igualdad de armas entre la defensa y la Fiscalía se concreta y se hace efectiva principalmente en la etapa del juzgamiento".</w:t>
      </w:r>
    </w:p>
    <w:p w14:paraId="532BCA60" w14:textId="77777777" w:rsidR="005848E3" w:rsidRPr="005848E3" w:rsidRDefault="005848E3" w:rsidP="005848E3">
      <w:pPr>
        <w:jc w:val="both"/>
        <w:rPr>
          <w:rFonts w:ascii="Verdana" w:hAnsi="Verdana"/>
          <w:sz w:val="22"/>
          <w:szCs w:val="22"/>
        </w:rPr>
      </w:pPr>
    </w:p>
    <w:sectPr w:rsidR="005848E3" w:rsidRPr="005848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E3"/>
    <w:rsid w:val="004E0F93"/>
    <w:rsid w:val="005848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5AFB"/>
  <w15:chartTrackingRefBased/>
  <w15:docId w15:val="{7D45129E-2161-45DF-B6C8-F1745B3C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4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84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848E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848E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848E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848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48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48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48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48E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848E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848E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848E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848E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848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48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48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48E3"/>
    <w:rPr>
      <w:rFonts w:eastAsiaTheme="majorEastAsia" w:cstheme="majorBidi"/>
      <w:color w:val="272727" w:themeColor="text1" w:themeTint="D8"/>
    </w:rPr>
  </w:style>
  <w:style w:type="paragraph" w:styleId="Ttulo">
    <w:name w:val="Title"/>
    <w:basedOn w:val="Normal"/>
    <w:next w:val="Normal"/>
    <w:link w:val="TtuloCar"/>
    <w:uiPriority w:val="10"/>
    <w:qFormat/>
    <w:rsid w:val="0058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48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48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48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48E3"/>
    <w:pPr>
      <w:spacing w:before="160"/>
      <w:jc w:val="center"/>
    </w:pPr>
    <w:rPr>
      <w:i/>
      <w:iCs/>
      <w:color w:val="404040" w:themeColor="text1" w:themeTint="BF"/>
    </w:rPr>
  </w:style>
  <w:style w:type="character" w:customStyle="1" w:styleId="CitaCar">
    <w:name w:val="Cita Car"/>
    <w:basedOn w:val="Fuentedeprrafopredeter"/>
    <w:link w:val="Cita"/>
    <w:uiPriority w:val="29"/>
    <w:rsid w:val="005848E3"/>
    <w:rPr>
      <w:i/>
      <w:iCs/>
      <w:color w:val="404040" w:themeColor="text1" w:themeTint="BF"/>
    </w:rPr>
  </w:style>
  <w:style w:type="paragraph" w:styleId="Prrafodelista">
    <w:name w:val="List Paragraph"/>
    <w:basedOn w:val="Normal"/>
    <w:uiPriority w:val="34"/>
    <w:qFormat/>
    <w:rsid w:val="005848E3"/>
    <w:pPr>
      <w:ind w:left="720"/>
      <w:contextualSpacing/>
    </w:pPr>
  </w:style>
  <w:style w:type="character" w:styleId="nfasisintenso">
    <w:name w:val="Intense Emphasis"/>
    <w:basedOn w:val="Fuentedeprrafopredeter"/>
    <w:uiPriority w:val="21"/>
    <w:qFormat/>
    <w:rsid w:val="005848E3"/>
    <w:rPr>
      <w:i/>
      <w:iCs/>
      <w:color w:val="2F5496" w:themeColor="accent1" w:themeShade="BF"/>
    </w:rPr>
  </w:style>
  <w:style w:type="paragraph" w:styleId="Citadestacada">
    <w:name w:val="Intense Quote"/>
    <w:basedOn w:val="Normal"/>
    <w:next w:val="Normal"/>
    <w:link w:val="CitadestacadaCar"/>
    <w:uiPriority w:val="30"/>
    <w:qFormat/>
    <w:rsid w:val="00584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848E3"/>
    <w:rPr>
      <w:i/>
      <w:iCs/>
      <w:color w:val="2F5496" w:themeColor="accent1" w:themeShade="BF"/>
    </w:rPr>
  </w:style>
  <w:style w:type="character" w:styleId="Referenciaintensa">
    <w:name w:val="Intense Reference"/>
    <w:basedOn w:val="Fuentedeprrafopredeter"/>
    <w:uiPriority w:val="32"/>
    <w:qFormat/>
    <w:rsid w:val="005848E3"/>
    <w:rPr>
      <w:b/>
      <w:bCs/>
      <w:smallCaps/>
      <w:color w:val="2F5496" w:themeColor="accent1" w:themeShade="BF"/>
      <w:spacing w:val="5"/>
    </w:rPr>
  </w:style>
  <w:style w:type="character" w:styleId="Hipervnculo">
    <w:name w:val="Hyperlink"/>
    <w:basedOn w:val="Fuentedeprrafopredeter"/>
    <w:uiPriority w:val="99"/>
    <w:unhideWhenUsed/>
    <w:rsid w:val="005848E3"/>
    <w:rPr>
      <w:color w:val="0563C1" w:themeColor="hyperlink"/>
      <w:u w:val="single"/>
    </w:rPr>
  </w:style>
  <w:style w:type="character" w:styleId="Mencinsinresolver">
    <w:name w:val="Unresolved Mention"/>
    <w:basedOn w:val="Fuentedeprrafopredeter"/>
    <w:uiPriority w:val="99"/>
    <w:semiHidden/>
    <w:unhideWhenUsed/>
    <w:rsid w:val="0058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B0E26-9B41-49C7-8CCE-D97E166B9CC4}"/>
</file>

<file path=customXml/itemProps2.xml><?xml version="1.0" encoding="utf-8"?>
<ds:datastoreItem xmlns:ds="http://schemas.openxmlformats.org/officeDocument/2006/customXml" ds:itemID="{79370B8E-25D4-4EC3-A4AB-7A1FDA45DB5B}"/>
</file>

<file path=customXml/itemProps3.xml><?xml version="1.0" encoding="utf-8"?>
<ds:datastoreItem xmlns:ds="http://schemas.openxmlformats.org/officeDocument/2006/customXml" ds:itemID="{B9003BAC-2B3B-4C8B-8B18-15100DEFBF9F}"/>
</file>

<file path=docProps/app.xml><?xml version="1.0" encoding="utf-8"?>
<Properties xmlns="http://schemas.openxmlformats.org/officeDocument/2006/extended-properties" xmlns:vt="http://schemas.openxmlformats.org/officeDocument/2006/docPropsVTypes">
  <Template>Normal</Template>
  <TotalTime>1</TotalTime>
  <Pages>1</Pages>
  <Words>2243</Words>
  <Characters>12338</Characters>
  <Application>Microsoft Office Word</Application>
  <DocSecurity>0</DocSecurity>
  <Lines>102</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2026-05-21T15:18:00Z</dcterms:created>
  <dcterms:modified xsi:type="dcterms:W3CDTF">2026-05-21T15:19:00Z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