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C351" w14:textId="77777777" w:rsidR="00B91C1B" w:rsidRPr="00B91C1B" w:rsidRDefault="00B91C1B" w:rsidP="00B91C1B">
      <w:pPr>
        <w:jc w:val="center"/>
        <w:rPr>
          <w:rFonts w:ascii="Verdana" w:hAnsi="Verdana"/>
          <w:sz w:val="22"/>
          <w:szCs w:val="22"/>
        </w:rPr>
      </w:pPr>
      <w:r w:rsidRPr="00B91C1B">
        <w:rPr>
          <w:rFonts w:ascii="Verdana" w:hAnsi="Verdana"/>
          <w:b/>
          <w:bCs/>
          <w:sz w:val="22"/>
          <w:szCs w:val="22"/>
        </w:rPr>
        <w:t>CONCEPTO 162 DE 2016</w:t>
      </w:r>
    </w:p>
    <w:p w14:paraId="59FAB3F8" w14:textId="77777777" w:rsidR="00B91C1B" w:rsidRPr="00B91C1B" w:rsidRDefault="00B91C1B" w:rsidP="00B91C1B">
      <w:pPr>
        <w:jc w:val="center"/>
        <w:rPr>
          <w:rFonts w:ascii="Verdana" w:hAnsi="Verdana"/>
          <w:sz w:val="22"/>
          <w:szCs w:val="22"/>
        </w:rPr>
      </w:pPr>
      <w:r w:rsidRPr="00B91C1B">
        <w:rPr>
          <w:rFonts w:ascii="Verdana" w:hAnsi="Verdana"/>
          <w:sz w:val="22"/>
          <w:szCs w:val="22"/>
        </w:rPr>
        <w:t>(diciembre 21)</w:t>
      </w:r>
    </w:p>
    <w:p w14:paraId="34AB2364" w14:textId="77777777" w:rsidR="00B91C1B" w:rsidRPr="00B91C1B" w:rsidRDefault="00B91C1B" w:rsidP="00B91C1B">
      <w:pPr>
        <w:jc w:val="center"/>
        <w:rPr>
          <w:rFonts w:ascii="Verdana" w:hAnsi="Verdana"/>
          <w:sz w:val="22"/>
          <w:szCs w:val="22"/>
        </w:rPr>
      </w:pPr>
      <w:r w:rsidRPr="00B91C1B">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B91C1B" w:rsidRPr="00B91C1B" w14:paraId="1E03069C" w14:textId="77777777" w:rsidTr="00B91C1B">
        <w:trPr>
          <w:tblCellSpacing w:w="15" w:type="dxa"/>
        </w:trPr>
        <w:tc>
          <w:tcPr>
            <w:tcW w:w="739" w:type="pct"/>
            <w:tcBorders>
              <w:top w:val="nil"/>
              <w:left w:val="nil"/>
              <w:bottom w:val="nil"/>
              <w:right w:val="nil"/>
            </w:tcBorders>
            <w:tcMar>
              <w:top w:w="0" w:type="dxa"/>
              <w:left w:w="0" w:type="dxa"/>
              <w:bottom w:w="0" w:type="dxa"/>
              <w:right w:w="0" w:type="dxa"/>
            </w:tcMar>
            <w:hideMark/>
          </w:tcPr>
          <w:p w14:paraId="3F9E7CC0" w14:textId="77777777" w:rsidR="00B91C1B" w:rsidRPr="00B91C1B" w:rsidRDefault="00B91C1B" w:rsidP="00B91C1B">
            <w:pPr>
              <w:jc w:val="both"/>
              <w:rPr>
                <w:rFonts w:ascii="Verdana" w:hAnsi="Verdana"/>
                <w:sz w:val="22"/>
                <w:szCs w:val="22"/>
              </w:rPr>
            </w:pPr>
            <w:r w:rsidRPr="00B91C1B">
              <w:rPr>
                <w:rFonts w:ascii="Verdana" w:hAnsi="Verdana"/>
                <w:sz w:val="22"/>
                <w:szCs w:val="22"/>
              </w:rPr>
              <w:t>PARA:</w:t>
            </w:r>
          </w:p>
        </w:tc>
        <w:tc>
          <w:tcPr>
            <w:tcW w:w="4210" w:type="pct"/>
            <w:tcBorders>
              <w:top w:val="nil"/>
              <w:left w:val="nil"/>
              <w:bottom w:val="nil"/>
              <w:right w:val="nil"/>
            </w:tcBorders>
            <w:tcMar>
              <w:top w:w="0" w:type="dxa"/>
              <w:left w:w="0" w:type="dxa"/>
              <w:bottom w:w="0" w:type="dxa"/>
              <w:right w:w="0" w:type="dxa"/>
            </w:tcMar>
            <w:hideMark/>
          </w:tcPr>
          <w:p w14:paraId="3E249F60" w14:textId="77777777" w:rsidR="00B91C1B" w:rsidRPr="00B91C1B" w:rsidRDefault="00B91C1B" w:rsidP="00B91C1B">
            <w:pPr>
              <w:jc w:val="both"/>
              <w:rPr>
                <w:rFonts w:ascii="Verdana" w:hAnsi="Verdana"/>
                <w:sz w:val="22"/>
                <w:szCs w:val="22"/>
              </w:rPr>
            </w:pPr>
            <w:r w:rsidRPr="00B91C1B">
              <w:rPr>
                <w:rFonts w:ascii="Verdana" w:hAnsi="Verdana"/>
                <w:sz w:val="22"/>
                <w:szCs w:val="22"/>
              </w:rPr>
              <w:t>Coordinadora de Autoridades Administrativas</w:t>
            </w:r>
          </w:p>
        </w:tc>
      </w:tr>
      <w:tr w:rsidR="00B91C1B" w:rsidRPr="00B91C1B" w14:paraId="12558AB5" w14:textId="77777777" w:rsidTr="00B91C1B">
        <w:trPr>
          <w:tblCellSpacing w:w="15" w:type="dxa"/>
        </w:trPr>
        <w:tc>
          <w:tcPr>
            <w:tcW w:w="739" w:type="pct"/>
            <w:tcBorders>
              <w:top w:val="nil"/>
              <w:left w:val="nil"/>
              <w:bottom w:val="nil"/>
              <w:right w:val="nil"/>
            </w:tcBorders>
            <w:tcMar>
              <w:top w:w="0" w:type="dxa"/>
              <w:left w:w="0" w:type="dxa"/>
              <w:bottom w:w="0" w:type="dxa"/>
              <w:right w:w="0" w:type="dxa"/>
            </w:tcMar>
            <w:hideMark/>
          </w:tcPr>
          <w:p w14:paraId="4B4504E7" w14:textId="77777777" w:rsidR="00B91C1B" w:rsidRPr="00B91C1B" w:rsidRDefault="00B91C1B" w:rsidP="00B91C1B">
            <w:pPr>
              <w:jc w:val="both"/>
              <w:rPr>
                <w:rFonts w:ascii="Verdana" w:hAnsi="Verdana"/>
                <w:sz w:val="22"/>
                <w:szCs w:val="22"/>
              </w:rPr>
            </w:pPr>
            <w:r w:rsidRPr="00B91C1B">
              <w:rPr>
                <w:rFonts w:ascii="Verdana" w:hAnsi="Verdana"/>
                <w:sz w:val="22"/>
                <w:szCs w:val="22"/>
              </w:rPr>
              <w:t>ASUNTO:</w:t>
            </w:r>
          </w:p>
        </w:tc>
        <w:tc>
          <w:tcPr>
            <w:tcW w:w="4210" w:type="pct"/>
            <w:tcBorders>
              <w:top w:val="nil"/>
              <w:left w:val="nil"/>
              <w:bottom w:val="nil"/>
              <w:right w:val="nil"/>
            </w:tcBorders>
            <w:tcMar>
              <w:top w:w="0" w:type="dxa"/>
              <w:left w:w="0" w:type="dxa"/>
              <w:bottom w:w="0" w:type="dxa"/>
              <w:right w:w="0" w:type="dxa"/>
            </w:tcMar>
            <w:hideMark/>
          </w:tcPr>
          <w:p w14:paraId="31D9F9EB" w14:textId="77777777" w:rsidR="00B91C1B" w:rsidRPr="00B91C1B" w:rsidRDefault="00B91C1B" w:rsidP="00B91C1B">
            <w:pPr>
              <w:jc w:val="both"/>
              <w:rPr>
                <w:rFonts w:ascii="Verdana" w:hAnsi="Verdana"/>
                <w:sz w:val="22"/>
                <w:szCs w:val="22"/>
              </w:rPr>
            </w:pPr>
            <w:r w:rsidRPr="00B91C1B">
              <w:rPr>
                <w:rFonts w:ascii="Verdana" w:hAnsi="Verdana"/>
                <w:sz w:val="22"/>
                <w:szCs w:val="22"/>
              </w:rPr>
              <w:t>Respuesta solicitud de concepto sobre la procedencia de interponer demanda de interdicción en los casos de discapacidad mental absoluta.</w:t>
            </w:r>
          </w:p>
        </w:tc>
      </w:tr>
    </w:tbl>
    <w:p w14:paraId="76B70F87" w14:textId="116AB861" w:rsidR="00B91C1B" w:rsidRPr="00B91C1B" w:rsidRDefault="00B91C1B" w:rsidP="00B91C1B">
      <w:pPr>
        <w:jc w:val="both"/>
        <w:rPr>
          <w:rFonts w:ascii="Verdana" w:hAnsi="Verdana"/>
          <w:sz w:val="22"/>
          <w:szCs w:val="22"/>
        </w:rPr>
      </w:pPr>
      <w:r w:rsidRPr="00B91C1B">
        <w:rPr>
          <w:rFonts w:ascii="Verdana" w:hAnsi="Verdana"/>
          <w:sz w:val="22"/>
          <w:szCs w:val="22"/>
        </w:rPr>
        <w:t xml:space="preserve">Atendiendo al asunto de la referencia y de acuerdo con lo previsto en el artículo 26 del Código Civil, artículo 28 de la Ley 1755 de 2015, y numeral 4 del artículo 6 del Decreto 987 de 2012, se procede a emitir </w:t>
      </w:r>
      <w:proofErr w:type="gramStart"/>
      <w:r w:rsidRPr="00B91C1B">
        <w:rPr>
          <w:rFonts w:ascii="Verdana" w:hAnsi="Verdana"/>
          <w:sz w:val="22"/>
          <w:szCs w:val="22"/>
        </w:rPr>
        <w:t>concepto .en</w:t>
      </w:r>
      <w:proofErr w:type="gramEnd"/>
      <w:r w:rsidRPr="00B91C1B">
        <w:rPr>
          <w:rFonts w:ascii="Verdana" w:hAnsi="Verdana"/>
          <w:sz w:val="22"/>
          <w:szCs w:val="22"/>
        </w:rPr>
        <w:t xml:space="preserve"> los siguientes términos:</w:t>
      </w:r>
    </w:p>
    <w:p w14:paraId="67DB9CB6" w14:textId="77777777" w:rsidR="00B91C1B" w:rsidRPr="00B91C1B" w:rsidRDefault="00B91C1B" w:rsidP="00B91C1B">
      <w:pPr>
        <w:jc w:val="both"/>
        <w:rPr>
          <w:rFonts w:ascii="Verdana" w:hAnsi="Verdana"/>
          <w:sz w:val="22"/>
          <w:szCs w:val="22"/>
        </w:rPr>
      </w:pPr>
      <w:bookmarkStart w:id="0" w:name="bookmark16"/>
      <w:r w:rsidRPr="00B91C1B">
        <w:rPr>
          <w:rFonts w:ascii="Verdana" w:hAnsi="Verdana"/>
          <w:b/>
          <w:bCs/>
          <w:sz w:val="22"/>
          <w:szCs w:val="22"/>
        </w:rPr>
        <w:t>I. SOBRE LA SOLICITUD.</w:t>
      </w:r>
    </w:p>
    <w:p w14:paraId="6F17D6E5" w14:textId="77777777" w:rsidR="00B91C1B" w:rsidRPr="00B91C1B" w:rsidRDefault="00B91C1B" w:rsidP="00B91C1B">
      <w:pPr>
        <w:jc w:val="both"/>
        <w:rPr>
          <w:rFonts w:ascii="Verdana" w:hAnsi="Verdana"/>
          <w:sz w:val="22"/>
          <w:szCs w:val="22"/>
        </w:rPr>
      </w:pPr>
      <w:r w:rsidRPr="00B91C1B">
        <w:rPr>
          <w:rFonts w:ascii="Verdana" w:hAnsi="Verdana"/>
          <w:sz w:val="22"/>
          <w:szCs w:val="22"/>
        </w:rPr>
        <w:t>Se solicita concepto sobre la procedencia en todos los casos de interponer la demanda de interdicción cuando se trate de personas con discapacidad mental absoluta.</w:t>
      </w:r>
    </w:p>
    <w:p w14:paraId="009BF4CC" w14:textId="77777777" w:rsidR="00B91C1B" w:rsidRPr="00B91C1B" w:rsidRDefault="00B91C1B" w:rsidP="00B91C1B">
      <w:pPr>
        <w:jc w:val="both"/>
        <w:rPr>
          <w:rFonts w:ascii="Verdana" w:hAnsi="Verdana"/>
          <w:sz w:val="22"/>
          <w:szCs w:val="22"/>
        </w:rPr>
      </w:pPr>
      <w:bookmarkStart w:id="1" w:name="bookmark17"/>
      <w:r w:rsidRPr="00B91C1B">
        <w:rPr>
          <w:rFonts w:ascii="Verdana" w:hAnsi="Verdana"/>
          <w:b/>
          <w:bCs/>
          <w:sz w:val="22"/>
          <w:szCs w:val="22"/>
        </w:rPr>
        <w:t>II. PROBLEMA JURÍDICO.</w:t>
      </w:r>
      <w:bookmarkEnd w:id="1"/>
    </w:p>
    <w:p w14:paraId="7A0AF545" w14:textId="77777777" w:rsidR="00B91C1B" w:rsidRPr="00B91C1B" w:rsidRDefault="00B91C1B" w:rsidP="00B91C1B">
      <w:pPr>
        <w:jc w:val="both"/>
        <w:rPr>
          <w:rFonts w:ascii="Verdana" w:hAnsi="Verdana"/>
          <w:sz w:val="22"/>
          <w:szCs w:val="22"/>
        </w:rPr>
      </w:pPr>
      <w:r w:rsidRPr="00B91C1B">
        <w:rPr>
          <w:rFonts w:ascii="Verdana" w:hAnsi="Verdana"/>
          <w:sz w:val="22"/>
          <w:szCs w:val="22"/>
        </w:rPr>
        <w:t>Con base en los anteriores hechos y consideraciones, se identifican el siguiente problema jurídico:</w:t>
      </w:r>
    </w:p>
    <w:p w14:paraId="11705CFE" w14:textId="77777777" w:rsidR="00B91C1B" w:rsidRPr="00B91C1B" w:rsidRDefault="00B91C1B" w:rsidP="00B91C1B">
      <w:pPr>
        <w:jc w:val="both"/>
        <w:rPr>
          <w:rFonts w:ascii="Verdana" w:hAnsi="Verdana"/>
          <w:sz w:val="22"/>
          <w:szCs w:val="22"/>
        </w:rPr>
      </w:pPr>
      <w:r w:rsidRPr="00B91C1B">
        <w:rPr>
          <w:rFonts w:ascii="Verdana" w:hAnsi="Verdana"/>
          <w:sz w:val="22"/>
          <w:szCs w:val="22"/>
        </w:rPr>
        <w:t>¿La demanda de interdicción es obligatoria en todos los casos de personas con discapacidad mental absoluta?</w:t>
      </w:r>
    </w:p>
    <w:bookmarkEnd w:id="0"/>
    <w:p w14:paraId="1EAC4422" w14:textId="77777777" w:rsidR="00B91C1B" w:rsidRPr="00B91C1B" w:rsidRDefault="00B91C1B" w:rsidP="00B91C1B">
      <w:pPr>
        <w:jc w:val="both"/>
        <w:rPr>
          <w:rFonts w:ascii="Verdana" w:hAnsi="Verdana"/>
          <w:sz w:val="22"/>
          <w:szCs w:val="22"/>
        </w:rPr>
      </w:pPr>
      <w:r w:rsidRPr="00B91C1B">
        <w:rPr>
          <w:rFonts w:ascii="Verdana" w:hAnsi="Verdana"/>
          <w:b/>
          <w:bCs/>
          <w:sz w:val="22"/>
          <w:szCs w:val="22"/>
        </w:rPr>
        <w:t>III. ANÁLISIS DEL PROBLEMA JURÍDICO.</w:t>
      </w:r>
    </w:p>
    <w:p w14:paraId="51BE873F" w14:textId="77777777" w:rsidR="00B91C1B" w:rsidRPr="00B91C1B" w:rsidRDefault="00B91C1B" w:rsidP="00B91C1B">
      <w:pPr>
        <w:jc w:val="both"/>
        <w:rPr>
          <w:rFonts w:ascii="Verdana" w:hAnsi="Verdana"/>
          <w:sz w:val="22"/>
          <w:szCs w:val="22"/>
        </w:rPr>
      </w:pPr>
      <w:r w:rsidRPr="00B91C1B">
        <w:rPr>
          <w:rFonts w:ascii="Verdana" w:hAnsi="Verdana"/>
          <w:sz w:val="22"/>
          <w:szCs w:val="22"/>
        </w:rPr>
        <w:t>Para dar respuesta a los problemas jurídicos planteados, el presente concepto desarrollará la siguiente estructura: 3.1 Los derechos de las personas con discapacidad; 3.2 La protección a las personas con discapacidad y el régimen de representación legal.</w:t>
      </w:r>
    </w:p>
    <w:p w14:paraId="15574CE3" w14:textId="77777777" w:rsidR="00B91C1B" w:rsidRPr="00B91C1B" w:rsidRDefault="00B91C1B" w:rsidP="00B91C1B">
      <w:pPr>
        <w:jc w:val="both"/>
        <w:rPr>
          <w:rFonts w:ascii="Verdana" w:hAnsi="Verdana"/>
          <w:sz w:val="22"/>
          <w:szCs w:val="22"/>
        </w:rPr>
      </w:pPr>
      <w:r w:rsidRPr="00B91C1B">
        <w:rPr>
          <w:rFonts w:ascii="Verdana" w:hAnsi="Verdana"/>
          <w:b/>
          <w:bCs/>
          <w:sz w:val="22"/>
          <w:szCs w:val="22"/>
        </w:rPr>
        <w:t>3.1. Los derechos de las personas con discapacidad.</w:t>
      </w:r>
    </w:p>
    <w:p w14:paraId="512D6180" w14:textId="77777777" w:rsidR="00B91C1B" w:rsidRPr="00B91C1B" w:rsidRDefault="00B91C1B" w:rsidP="00B91C1B">
      <w:pPr>
        <w:jc w:val="both"/>
        <w:rPr>
          <w:rFonts w:ascii="Verdana" w:hAnsi="Verdana"/>
          <w:sz w:val="22"/>
          <w:szCs w:val="22"/>
        </w:rPr>
      </w:pPr>
      <w:r w:rsidRPr="00B91C1B">
        <w:rPr>
          <w:rFonts w:ascii="Verdana" w:hAnsi="Verdana"/>
          <w:sz w:val="22"/>
          <w:szCs w:val="22"/>
        </w:rPr>
        <w:t>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w:t>
      </w:r>
    </w:p>
    <w:p w14:paraId="55025ED0" w14:textId="77777777" w:rsidR="00B91C1B" w:rsidRPr="00B91C1B" w:rsidRDefault="00B91C1B" w:rsidP="00B91C1B">
      <w:pPr>
        <w:jc w:val="both"/>
        <w:rPr>
          <w:rFonts w:ascii="Verdana" w:hAnsi="Verdana"/>
          <w:sz w:val="22"/>
          <w:szCs w:val="22"/>
        </w:rPr>
      </w:pPr>
      <w:r w:rsidRPr="00B91C1B">
        <w:rPr>
          <w:rFonts w:ascii="Verdana" w:hAnsi="Verdana"/>
          <w:sz w:val="22"/>
          <w:szCs w:val="22"/>
        </w:rPr>
        <w:t>Se parte de ver a las personas con discapacidad como dotadas de capacidades especiales y sujetos de medidas afirmativas que permitan el goce efectivo de sus derechos en condiciones de igualdad.</w:t>
      </w:r>
    </w:p>
    <w:p w14:paraId="56FC404E" w14:textId="58426F34" w:rsidR="00B91C1B" w:rsidRPr="00B91C1B" w:rsidRDefault="00B91C1B" w:rsidP="00B91C1B">
      <w:pPr>
        <w:jc w:val="both"/>
        <w:rPr>
          <w:rFonts w:ascii="Verdana" w:hAnsi="Verdana"/>
          <w:sz w:val="22"/>
          <w:szCs w:val="22"/>
        </w:rPr>
      </w:pPr>
      <w:r w:rsidRPr="00B91C1B">
        <w:rPr>
          <w:rFonts w:ascii="Verdana" w:hAnsi="Verdana"/>
          <w:sz w:val="22"/>
          <w:szCs w:val="22"/>
        </w:rPr>
        <w:lastRenderedPageBreak/>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263BDC03" w14:textId="42807BFC" w:rsidR="00B91C1B" w:rsidRPr="00B91C1B" w:rsidRDefault="00B91C1B" w:rsidP="00B91C1B">
      <w:pPr>
        <w:jc w:val="both"/>
        <w:rPr>
          <w:rFonts w:ascii="Verdana" w:hAnsi="Verdana"/>
          <w:sz w:val="22"/>
          <w:szCs w:val="22"/>
        </w:rPr>
      </w:pPr>
      <w:r w:rsidRPr="00B91C1B">
        <w:rPr>
          <w:rFonts w:ascii="Verdana" w:hAnsi="Verdana"/>
          <w:sz w:val="22"/>
          <w:szCs w:val="22"/>
        </w:rPr>
        <w:t>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 Así, por ejemplo, la Convención sobre los Derechos de las personas con Discapacidad adoptada por la Asamblea General de la Naciones Unidas el 13 de diciembre de 2006 y ratificada por Colombia mediante la Ley 1346 de 2009, establece la prohibición de toda discriminación por motivos de discapacidad y un catálogo de derechos a este grupo poblacional.</w:t>
      </w:r>
    </w:p>
    <w:p w14:paraId="6174133D" w14:textId="77777777" w:rsidR="00B91C1B" w:rsidRPr="00B91C1B" w:rsidRDefault="00B91C1B" w:rsidP="00B91C1B">
      <w:pPr>
        <w:jc w:val="both"/>
        <w:rPr>
          <w:rFonts w:ascii="Verdana" w:hAnsi="Verdana"/>
          <w:sz w:val="22"/>
          <w:szCs w:val="22"/>
        </w:rPr>
      </w:pPr>
      <w:r w:rsidRPr="00B91C1B">
        <w:rPr>
          <w:rFonts w:ascii="Verdana" w:hAnsi="Verdana"/>
          <w:sz w:val="22"/>
          <w:szCs w:val="22"/>
        </w:rPr>
        <w:t>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p>
    <w:p w14:paraId="3D12F52F" w14:textId="3C41C9CC" w:rsidR="00B91C1B" w:rsidRPr="00B91C1B" w:rsidRDefault="00B91C1B" w:rsidP="00B91C1B">
      <w:pPr>
        <w:jc w:val="both"/>
        <w:rPr>
          <w:rFonts w:ascii="Verdana" w:hAnsi="Verdana"/>
          <w:sz w:val="22"/>
          <w:szCs w:val="22"/>
        </w:rPr>
      </w:pPr>
      <w:r w:rsidRPr="00B91C1B">
        <w:rPr>
          <w:rFonts w:ascii="Verdana" w:hAnsi="Verdana"/>
          <w:sz w:val="22"/>
          <w:szCs w:val="22"/>
        </w:rPr>
        <w:t>El artículo 12 de la Convención establece el derecho al igual reconocimiento como persona ante la ley en los siguientes términos:</w:t>
      </w:r>
    </w:p>
    <w:p w14:paraId="1B54E6BD"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 xml:space="preserve">“1. Los </w:t>
      </w:r>
      <w:proofErr w:type="gramStart"/>
      <w:r w:rsidRPr="00B91C1B">
        <w:rPr>
          <w:rFonts w:ascii="Verdana" w:hAnsi="Verdana"/>
          <w:i/>
          <w:iCs/>
          <w:sz w:val="22"/>
          <w:szCs w:val="22"/>
        </w:rPr>
        <w:t>Estados Partes</w:t>
      </w:r>
      <w:proofErr w:type="gramEnd"/>
      <w:r w:rsidRPr="00B91C1B">
        <w:rPr>
          <w:rFonts w:ascii="Verdana" w:hAnsi="Verdana"/>
          <w:i/>
          <w:iCs/>
          <w:sz w:val="22"/>
          <w:szCs w:val="22"/>
        </w:rPr>
        <w:t xml:space="preserve"> reafirman que las personas con discapacidad tienen derecho en todas partes al reconocimiento de su personalidad jurídica.</w:t>
      </w:r>
    </w:p>
    <w:p w14:paraId="2324B242"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 xml:space="preserve">2. Los </w:t>
      </w:r>
      <w:proofErr w:type="gramStart"/>
      <w:r w:rsidRPr="00B91C1B">
        <w:rPr>
          <w:rFonts w:ascii="Verdana" w:hAnsi="Verdana"/>
          <w:i/>
          <w:iCs/>
          <w:sz w:val="22"/>
          <w:szCs w:val="22"/>
        </w:rPr>
        <w:t>Estados Partes</w:t>
      </w:r>
      <w:proofErr w:type="gramEnd"/>
      <w:r w:rsidRPr="00B91C1B">
        <w:rPr>
          <w:rFonts w:ascii="Verdana" w:hAnsi="Verdana"/>
          <w:i/>
          <w:iCs/>
          <w:sz w:val="22"/>
          <w:szCs w:val="22"/>
        </w:rPr>
        <w:t xml:space="preserve"> reconocerán que las personas con discapacidad tienen capacidad jurídica en igualdad de condiciones con las demás en todos los aspectos de la vida.</w:t>
      </w:r>
    </w:p>
    <w:p w14:paraId="51D76066" w14:textId="77777777" w:rsidR="00B91C1B" w:rsidRPr="00B91C1B" w:rsidRDefault="00B91C1B" w:rsidP="00B91C1B">
      <w:pPr>
        <w:jc w:val="both"/>
        <w:rPr>
          <w:rFonts w:ascii="Verdana" w:hAnsi="Verdana"/>
          <w:sz w:val="22"/>
          <w:szCs w:val="22"/>
        </w:rPr>
      </w:pPr>
      <w:r w:rsidRPr="00B91C1B">
        <w:rPr>
          <w:rFonts w:ascii="Verdana" w:hAnsi="Verdana"/>
          <w:i/>
          <w:iCs/>
          <w:sz w:val="22"/>
          <w:szCs w:val="22"/>
          <w:u w:val="single"/>
        </w:rPr>
        <w:t xml:space="preserve">3. Los </w:t>
      </w:r>
      <w:proofErr w:type="gramStart"/>
      <w:r w:rsidRPr="00B91C1B">
        <w:rPr>
          <w:rFonts w:ascii="Verdana" w:hAnsi="Verdana"/>
          <w:i/>
          <w:iCs/>
          <w:sz w:val="22"/>
          <w:szCs w:val="22"/>
          <w:u w:val="single"/>
        </w:rPr>
        <w:t>Estados Partes</w:t>
      </w:r>
      <w:proofErr w:type="gramEnd"/>
      <w:r w:rsidRPr="00B91C1B">
        <w:rPr>
          <w:rFonts w:ascii="Verdana" w:hAnsi="Verdana"/>
          <w:i/>
          <w:iCs/>
          <w:sz w:val="22"/>
          <w:szCs w:val="22"/>
          <w:u w:val="single"/>
        </w:rPr>
        <w:t xml:space="preserve"> adoptarán las medidas pertinentes para proporcionar acceso a las personas con discapacidad al apoyo que puedan necesitar en el ejercicio de su capacidad jurídica</w:t>
      </w:r>
      <w:r w:rsidRPr="00B91C1B">
        <w:rPr>
          <w:rFonts w:ascii="Verdana" w:hAnsi="Verdana"/>
          <w:sz w:val="22"/>
          <w:szCs w:val="22"/>
        </w:rPr>
        <w:t>.</w:t>
      </w:r>
    </w:p>
    <w:p w14:paraId="4E99FB66" w14:textId="77777777" w:rsidR="00B91C1B" w:rsidRPr="00B91C1B" w:rsidRDefault="00B91C1B" w:rsidP="00B91C1B">
      <w:pPr>
        <w:jc w:val="both"/>
        <w:rPr>
          <w:rFonts w:ascii="Verdana" w:hAnsi="Verdana"/>
          <w:sz w:val="22"/>
          <w:szCs w:val="22"/>
        </w:rPr>
      </w:pPr>
      <w:r w:rsidRPr="00B91C1B">
        <w:rPr>
          <w:rFonts w:ascii="Verdana" w:hAnsi="Verdana"/>
          <w:i/>
          <w:iCs/>
          <w:sz w:val="22"/>
          <w:szCs w:val="22"/>
          <w:u w:val="single"/>
        </w:rPr>
        <w:t xml:space="preserve">4. Los </w:t>
      </w:r>
      <w:proofErr w:type="gramStart"/>
      <w:r w:rsidRPr="00B91C1B">
        <w:rPr>
          <w:rFonts w:ascii="Verdana" w:hAnsi="Verdana"/>
          <w:i/>
          <w:iCs/>
          <w:sz w:val="22"/>
          <w:szCs w:val="22"/>
          <w:u w:val="single"/>
        </w:rPr>
        <w:t>Estados Partes</w:t>
      </w:r>
      <w:proofErr w:type="gramEnd"/>
      <w:r w:rsidRPr="00B91C1B">
        <w:rPr>
          <w:rFonts w:ascii="Verdana" w:hAnsi="Verdana"/>
          <w:i/>
          <w:iCs/>
          <w:sz w:val="22"/>
          <w:szCs w:val="22"/>
          <w:u w:val="single"/>
        </w:rPr>
        <w:t xml:space="preserve"> asegurarán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w:t>
      </w:r>
      <w:r w:rsidRPr="00B91C1B">
        <w:rPr>
          <w:rFonts w:ascii="Verdana" w:hAnsi="Verdana"/>
          <w:sz w:val="22"/>
          <w:szCs w:val="22"/>
        </w:rPr>
        <w:t> </w:t>
      </w:r>
      <w:r w:rsidRPr="00B91C1B">
        <w:rPr>
          <w:rFonts w:ascii="Verdana" w:hAnsi="Verdana"/>
          <w:i/>
          <w:iCs/>
          <w:sz w:val="22"/>
          <w:szCs w:val="22"/>
        </w:rPr>
        <w:t xml:space="preserve">que no haya conflicto de intereses ni influencia indebida, que sean proporcionales y adaptadas a las circunstancias de la </w:t>
      </w:r>
      <w:r w:rsidRPr="00B91C1B">
        <w:rPr>
          <w:rFonts w:ascii="Verdana" w:hAnsi="Verdana"/>
          <w:i/>
          <w:iCs/>
          <w:sz w:val="22"/>
          <w:szCs w:val="22"/>
        </w:rPr>
        <w:lastRenderedPageBreak/>
        <w:t>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p w14:paraId="044E69CD"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5. 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w:t>
      </w:r>
      <w:r w:rsidRPr="00B91C1B">
        <w:rPr>
          <w:rFonts w:ascii="Verdana" w:hAnsi="Verdana"/>
          <w:sz w:val="22"/>
          <w:szCs w:val="22"/>
        </w:rPr>
        <w:t> (subrayado fuera de texto)</w:t>
      </w:r>
    </w:p>
    <w:p w14:paraId="4F3D869C" w14:textId="050A61F2" w:rsidR="00B91C1B" w:rsidRPr="00B91C1B" w:rsidRDefault="00B91C1B" w:rsidP="00B91C1B">
      <w:pPr>
        <w:jc w:val="both"/>
        <w:rPr>
          <w:rFonts w:ascii="Verdana" w:hAnsi="Verdana"/>
          <w:sz w:val="22"/>
          <w:szCs w:val="22"/>
        </w:rPr>
      </w:pPr>
      <w:r w:rsidRPr="00B91C1B">
        <w:rPr>
          <w:rFonts w:ascii="Verdana" w:hAnsi="Verdana"/>
          <w:sz w:val="22"/>
          <w:szCs w:val="22"/>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w:t>
      </w:r>
      <w:r w:rsidRPr="00B91C1B">
        <w:rPr>
          <w:rFonts w:ascii="Verdana" w:hAnsi="Verdana"/>
          <w:i/>
          <w:iCs/>
          <w:sz w:val="22"/>
          <w:szCs w:val="22"/>
        </w:rPr>
        <w:t>“una deficiencia física, mental o sensorial, ya sea de naturaleza permanente o temporal, que limita la capacidad de ejercer una o más actividades esenciales de la vida diaria, que puede ser causada o agravada por el entorno económico y social"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0661DDCD" w14:textId="08505AA5" w:rsidR="00B91C1B" w:rsidRPr="00B91C1B" w:rsidRDefault="00B91C1B" w:rsidP="00B91C1B">
      <w:pPr>
        <w:jc w:val="both"/>
        <w:rPr>
          <w:rFonts w:ascii="Verdana" w:hAnsi="Verdana"/>
          <w:sz w:val="22"/>
          <w:szCs w:val="22"/>
        </w:rPr>
      </w:pPr>
      <w:r w:rsidRPr="00B91C1B">
        <w:rPr>
          <w:rFonts w:ascii="Verdana" w:hAnsi="Verdana"/>
          <w:sz w:val="22"/>
          <w:szCs w:val="22"/>
        </w:rPr>
        <w:t>El artículo 1 de la Convención, establece en su literal b, que </w:t>
      </w:r>
      <w:r w:rsidRPr="00B91C1B">
        <w:rPr>
          <w:rFonts w:ascii="Verdana" w:hAnsi="Verdana"/>
          <w:i/>
          <w:iCs/>
          <w:sz w:val="22"/>
          <w:szCs w:val="22"/>
        </w:rPr>
        <w:t>“No 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w:t>
      </w:r>
      <w:r w:rsidRPr="00B91C1B">
        <w:rPr>
          <w:rFonts w:ascii="Verdana" w:hAnsi="Verdana"/>
          <w:sz w:val="22"/>
          <w:szCs w:val="22"/>
        </w:rPr>
        <w:t> </w:t>
      </w:r>
      <w:r w:rsidRPr="00B91C1B">
        <w:rPr>
          <w:rFonts w:ascii="Verdana" w:hAnsi="Verdana"/>
          <w:i/>
          <w:iCs/>
          <w:sz w:val="22"/>
          <w:szCs w:val="22"/>
          <w:u w:val="single"/>
        </w:rPr>
        <w:t>En los casos en que la legislación interna prevea la figura de la declaratoria de interdicción, cuando sea</w:t>
      </w:r>
      <w:r w:rsidRPr="00B91C1B">
        <w:rPr>
          <w:rFonts w:ascii="Verdana" w:hAnsi="Verdana"/>
          <w:sz w:val="22"/>
          <w:szCs w:val="22"/>
        </w:rPr>
        <w:t> </w:t>
      </w:r>
      <w:r w:rsidRPr="00B91C1B">
        <w:rPr>
          <w:rFonts w:ascii="Verdana" w:hAnsi="Verdana"/>
          <w:i/>
          <w:iCs/>
          <w:sz w:val="22"/>
          <w:szCs w:val="22"/>
          <w:u w:val="single"/>
        </w:rPr>
        <w:t>necesaria y apropiada para su bienestar, ésta no constituirá discriminación</w:t>
      </w:r>
      <w:r w:rsidRPr="00B91C1B">
        <w:rPr>
          <w:rFonts w:ascii="Verdana" w:hAnsi="Verdana"/>
          <w:sz w:val="22"/>
          <w:szCs w:val="22"/>
        </w:rPr>
        <w:t>'', (subrayado fuera de texto)</w:t>
      </w:r>
    </w:p>
    <w:p w14:paraId="7386ADC1" w14:textId="77777777" w:rsidR="00B91C1B" w:rsidRPr="00B91C1B" w:rsidRDefault="00B91C1B" w:rsidP="00B91C1B">
      <w:pPr>
        <w:jc w:val="both"/>
        <w:rPr>
          <w:rFonts w:ascii="Verdana" w:hAnsi="Verdana"/>
          <w:sz w:val="22"/>
          <w:szCs w:val="22"/>
        </w:rPr>
      </w:pPr>
      <w:r w:rsidRPr="00B91C1B">
        <w:rPr>
          <w:rFonts w:ascii="Verdana" w:hAnsi="Verdana"/>
          <w:sz w:val="22"/>
          <w:szCs w:val="22"/>
        </w:rPr>
        <w:t>Como puede verse los tratados internacionales de derechos humanos en la materia que forman parte del bloque de constitucionalidad, establecen una variedad derechos de las personas con discapacidad no solo física sino mental, que refuerzan la perspectiva de igualdad material y de inclusión de estas personas con capacidades especiales.</w:t>
      </w:r>
    </w:p>
    <w:p w14:paraId="10C4AC5E" w14:textId="77777777" w:rsidR="00B91C1B" w:rsidRPr="00B91C1B" w:rsidRDefault="00B91C1B" w:rsidP="00B91C1B">
      <w:pPr>
        <w:jc w:val="both"/>
        <w:rPr>
          <w:rFonts w:ascii="Verdana" w:hAnsi="Verdana"/>
          <w:sz w:val="22"/>
          <w:szCs w:val="22"/>
        </w:rPr>
      </w:pPr>
      <w:r w:rsidRPr="00B91C1B">
        <w:rPr>
          <w:rFonts w:ascii="Verdana" w:hAnsi="Verdana"/>
          <w:sz w:val="22"/>
          <w:szCs w:val="22"/>
        </w:rPr>
        <w:lastRenderedPageBreak/>
        <w:t>En el marco legal la regulación del ejercicio de los derechos de las personas con discapacidad también ha tenido una evolución considerable, dado que bajo la perspectiva eminentemente civilista el Código Civil hablaba de mentecatos, idiotas, dementes o disminuidos, mientras que las nuevas normas sobre la materia notoriamente influenciadas por la normativa internacional, reconocen a las personas con discapacidad, el ejercicio de sus derechos y establece medidas a cargo del Estado para promover la igualdad y eliminar las discriminaciones de las cuales han sido víctimas por su condición.</w:t>
      </w:r>
    </w:p>
    <w:p w14:paraId="64155150" w14:textId="472ACE86" w:rsidR="00B91C1B" w:rsidRPr="00B91C1B" w:rsidRDefault="00B91C1B" w:rsidP="00B91C1B">
      <w:pPr>
        <w:jc w:val="both"/>
        <w:rPr>
          <w:rFonts w:ascii="Verdana" w:hAnsi="Verdana"/>
          <w:sz w:val="22"/>
          <w:szCs w:val="22"/>
        </w:rPr>
      </w:pPr>
      <w:r w:rsidRPr="00B91C1B">
        <w:rPr>
          <w:rFonts w:ascii="Verdana" w:hAnsi="Verdana"/>
          <w:sz w:val="22"/>
          <w:szCs w:val="22"/>
        </w:rPr>
        <w:t>Así, por ejemplo,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20DD48A0" w14:textId="77777777" w:rsidR="00B91C1B" w:rsidRPr="00B91C1B" w:rsidRDefault="00B91C1B" w:rsidP="00B91C1B">
      <w:pPr>
        <w:jc w:val="both"/>
        <w:rPr>
          <w:rFonts w:ascii="Verdana" w:hAnsi="Verdana"/>
          <w:sz w:val="22"/>
          <w:szCs w:val="22"/>
        </w:rPr>
      </w:pPr>
      <w:r w:rsidRPr="00B91C1B">
        <w:rPr>
          <w:rFonts w:ascii="Verdana" w:hAnsi="Verdana"/>
          <w:b/>
          <w:bCs/>
          <w:sz w:val="22"/>
          <w:szCs w:val="22"/>
        </w:rPr>
        <w:t>3.2. La protección a las personas con discapacidad y el régimen de representación legal.</w:t>
      </w:r>
    </w:p>
    <w:p w14:paraId="6437DE71" w14:textId="3BA50493" w:rsidR="00B91C1B" w:rsidRPr="00B91C1B" w:rsidRDefault="00B91C1B" w:rsidP="00B91C1B">
      <w:pPr>
        <w:jc w:val="both"/>
        <w:rPr>
          <w:rFonts w:ascii="Verdana" w:hAnsi="Verdana"/>
          <w:sz w:val="22"/>
          <w:szCs w:val="22"/>
        </w:rPr>
      </w:pPr>
      <w:r w:rsidRPr="00B91C1B">
        <w:rPr>
          <w:rFonts w:ascii="Verdana" w:hAnsi="Verdana"/>
          <w:sz w:val="22"/>
          <w:szCs w:val="22"/>
        </w:rPr>
        <w:t>Dispone la Ley 1306 de 2009, por la cual se dictan normas para la Protección de Personas con Discapacidad Mental y se establece el Régimen de la Representación Legal de Incapaces Emancipados, en su artículo 8 que, las personas con discapacidad mental: </w:t>
      </w:r>
      <w:r w:rsidRPr="00B91C1B">
        <w:rPr>
          <w:rFonts w:ascii="Verdana" w:hAnsi="Verdana"/>
          <w:i/>
          <w:iCs/>
          <w:sz w:val="22"/>
          <w:szCs w:val="22"/>
        </w:rPr>
        <w:t>“Tendrán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4E5D775B" w14:textId="1B3A324E" w:rsidR="00B91C1B" w:rsidRPr="00B91C1B" w:rsidRDefault="00B91C1B" w:rsidP="00B91C1B">
      <w:pPr>
        <w:jc w:val="both"/>
        <w:rPr>
          <w:rFonts w:ascii="Verdana" w:hAnsi="Verdana"/>
          <w:sz w:val="22"/>
          <w:szCs w:val="22"/>
        </w:rPr>
      </w:pPr>
      <w:r w:rsidRPr="00B91C1B">
        <w:rPr>
          <w:rFonts w:ascii="Verdana" w:hAnsi="Verdana"/>
          <w:sz w:val="22"/>
          <w:szCs w:val="22"/>
        </w:rPr>
        <w:t>Sobre la protección de las personas con discapacidad mental el artículo 6 establece:</w:t>
      </w:r>
    </w:p>
    <w:p w14:paraId="72B8C3E2"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“La protección del sujeto con discapacidad mental corresponde y grava a toda la sociedad, pero se ejercerá de manera preferencial por:</w:t>
      </w:r>
    </w:p>
    <w:p w14:paraId="353FAF89"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a) Los padres y las personas designadas por estos, por acto entre vivos o por causa de muerte.</w:t>
      </w:r>
    </w:p>
    <w:p w14:paraId="673DED1D"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b) El cónyuge o compañero o compañera permanente y los demás familiares en orden de proximidad, prefiriendo los ascendientes y colaterales mayores y los parientes consanguíneos a los civiles.</w:t>
      </w:r>
    </w:p>
    <w:p w14:paraId="4DBE6347"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c) Las personas designadas por el juez.</w:t>
      </w:r>
    </w:p>
    <w:p w14:paraId="1BF36A4B"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lastRenderedPageBreak/>
        <w:t>d) El Estado por intermedio de los funcionarios e instituciones legítimamente habilitadas</w:t>
      </w:r>
    </w:p>
    <w:p w14:paraId="64418E5E"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41FFA528"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076FD6C9" w14:textId="63388476" w:rsidR="00B91C1B" w:rsidRPr="00B91C1B" w:rsidRDefault="00B91C1B" w:rsidP="00B91C1B">
      <w:pPr>
        <w:jc w:val="both"/>
        <w:rPr>
          <w:rFonts w:ascii="Verdana" w:hAnsi="Verdana"/>
          <w:sz w:val="22"/>
          <w:szCs w:val="22"/>
        </w:rPr>
      </w:pPr>
      <w:r w:rsidRPr="00B91C1B">
        <w:rPr>
          <w:rFonts w:ascii="Verdana" w:hAnsi="Verdana"/>
          <w:sz w:val="22"/>
          <w:szCs w:val="22"/>
        </w:rPr>
        <w:t>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inobservancia, amenaza o vulneración de los derechos de los niños, niñas y adolescentes. Atendiendo a lo anterior, la Ley 1098 de 2006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688F9C08" w14:textId="77777777" w:rsidR="00B91C1B" w:rsidRPr="00B91C1B" w:rsidRDefault="00B91C1B" w:rsidP="00B91C1B">
      <w:pPr>
        <w:jc w:val="both"/>
        <w:rPr>
          <w:rFonts w:ascii="Verdana" w:hAnsi="Verdana"/>
          <w:sz w:val="22"/>
          <w:szCs w:val="22"/>
        </w:rPr>
      </w:pPr>
      <w:r w:rsidRPr="00B91C1B">
        <w:rPr>
          <w:rFonts w:ascii="Verdana" w:hAnsi="Verdana"/>
          <w:sz w:val="22"/>
          <w:szCs w:val="22"/>
        </w:rPr>
        <w:t xml:space="preserve">Como parte de este proceso, la misma ley estableció una serie de medidas tendientes a garantizar la protección integral de la niñez y la adolescencia, las cuales deben ser adoptadas en el curso </w:t>
      </w:r>
      <w:proofErr w:type="gramStart"/>
      <w:r w:rsidRPr="00B91C1B">
        <w:rPr>
          <w:rFonts w:ascii="Verdana" w:hAnsi="Verdana"/>
          <w:sz w:val="22"/>
          <w:szCs w:val="22"/>
        </w:rPr>
        <w:t>del mismo</w:t>
      </w:r>
      <w:proofErr w:type="gramEnd"/>
      <w:r w:rsidRPr="00B91C1B">
        <w:rPr>
          <w:rFonts w:ascii="Verdana" w:hAnsi="Verdana"/>
          <w:sz w:val="22"/>
          <w:szCs w:val="22"/>
        </w:rPr>
        <w:t xml:space="preserve"> por las autoridades administrativas a partir de la valoración de la situación en la que se encuentre el niño y de la verificación de la garantía de sus derechos, siguiendo el procedimiento descrito en la citada ley y en los lineamientos técnicos aprobados por el ICBF.</w:t>
      </w:r>
    </w:p>
    <w:p w14:paraId="6861D5E4" w14:textId="75E4FBCF" w:rsidR="00B91C1B" w:rsidRPr="00B91C1B" w:rsidRDefault="00B91C1B" w:rsidP="00B91C1B">
      <w:pPr>
        <w:jc w:val="both"/>
        <w:rPr>
          <w:rFonts w:ascii="Verdana" w:hAnsi="Verdana"/>
          <w:sz w:val="22"/>
          <w:szCs w:val="22"/>
        </w:rPr>
      </w:pPr>
      <w:r w:rsidRPr="00B91C1B">
        <w:rPr>
          <w:rFonts w:ascii="Verdana" w:hAnsi="Verdana"/>
          <w:sz w:val="22"/>
          <w:szCs w:val="22"/>
        </w:rPr>
        <w:t>Ahora bien, el artículo 18 de la Ley 1306 de 2009, le </w:t>
      </w:r>
      <w:r w:rsidRPr="00B91C1B">
        <w:rPr>
          <w:rFonts w:ascii="Verdana" w:hAnsi="Verdana"/>
          <w:i/>
          <w:iCs/>
          <w:sz w:val="22"/>
          <w:szCs w:val="22"/>
          <w:u w:val="single"/>
        </w:rPr>
        <w:t>"Corresponde al Instituto Colombiano de Bienestar</w:t>
      </w:r>
      <w:r w:rsidRPr="00B91C1B">
        <w:rPr>
          <w:rFonts w:ascii="Verdana" w:hAnsi="Verdana"/>
          <w:sz w:val="22"/>
          <w:szCs w:val="22"/>
        </w:rPr>
        <w:t> </w:t>
      </w:r>
      <w:r w:rsidRPr="00B91C1B">
        <w:rPr>
          <w:rFonts w:ascii="Verdana" w:hAnsi="Verdana"/>
          <w:i/>
          <w:iCs/>
          <w:sz w:val="22"/>
          <w:szCs w:val="22"/>
          <w:u w:val="single"/>
        </w:rPr>
        <w:t>Familiar, por intermedio del Defensor de Familia, prestar asistencia personal y jurídica a los sujetos con discapacidad mental absoluta de cualquier edad, de oficio o por denuncia que cualquier</w:t>
      </w:r>
      <w:r w:rsidRPr="00B91C1B">
        <w:rPr>
          <w:rFonts w:ascii="Verdana" w:hAnsi="Verdana"/>
          <w:i/>
          <w:iCs/>
          <w:sz w:val="22"/>
          <w:szCs w:val="22"/>
        </w:rPr>
        <w:t> persona haga ante la entidad</w:t>
      </w:r>
      <w:r w:rsidRPr="00B91C1B">
        <w:rPr>
          <w:rFonts w:ascii="Verdana" w:hAnsi="Verdana"/>
          <w:sz w:val="22"/>
          <w:szCs w:val="22"/>
        </w:rPr>
        <w:t> </w:t>
      </w:r>
      <w:r w:rsidRPr="00B91C1B">
        <w:rPr>
          <w:rFonts w:ascii="Verdana" w:hAnsi="Verdana"/>
          <w:sz w:val="22"/>
          <w:szCs w:val="22"/>
          <w:u w:val="single"/>
        </w:rPr>
        <w:t>para lo cual deberá </w:t>
      </w:r>
      <w:r w:rsidRPr="00B91C1B">
        <w:rPr>
          <w:rFonts w:ascii="Verdana" w:hAnsi="Verdana"/>
          <w:i/>
          <w:iCs/>
          <w:sz w:val="22"/>
          <w:szCs w:val="22"/>
          <w:u w:val="single"/>
        </w:rPr>
        <w:t>“tomarlas medidas administrativas de restablecimiento de derecho o interponer las acciones judiciales</w:t>
      </w:r>
      <w:r w:rsidRPr="00B91C1B">
        <w:rPr>
          <w:rFonts w:ascii="Verdana" w:hAnsi="Verdana"/>
          <w:sz w:val="22"/>
          <w:szCs w:val="22"/>
        </w:rPr>
        <w:t> </w:t>
      </w:r>
      <w:r w:rsidRPr="00B91C1B">
        <w:rPr>
          <w:rFonts w:ascii="Verdana" w:hAnsi="Verdana"/>
          <w:i/>
          <w:iCs/>
          <w:sz w:val="22"/>
          <w:szCs w:val="22"/>
          <w:u w:val="single"/>
        </w:rPr>
        <w:t>pertinentes";</w:t>
      </w:r>
      <w:r w:rsidRPr="00B91C1B">
        <w:rPr>
          <w:rFonts w:ascii="Verdana" w:hAnsi="Verdana"/>
          <w:sz w:val="22"/>
          <w:szCs w:val="22"/>
        </w:rPr>
        <w:t> teniendo en cuenta que </w:t>
      </w:r>
      <w:r w:rsidRPr="00B91C1B">
        <w:rPr>
          <w:rFonts w:ascii="Verdana" w:hAnsi="Verdana"/>
          <w:i/>
          <w:iCs/>
          <w:sz w:val="22"/>
          <w:szCs w:val="22"/>
        </w:rPr>
        <w:t>“Las normas sobre vulneración de los derechos, procedimientos y medidas de restablecimiento de los derechos contenidos en el Código de Infancia y adolescencia,</w:t>
      </w:r>
      <w:r w:rsidRPr="00B91C1B">
        <w:rPr>
          <w:rFonts w:ascii="Verdana" w:hAnsi="Verdana"/>
          <w:sz w:val="22"/>
          <w:szCs w:val="22"/>
        </w:rPr>
        <w:t> </w:t>
      </w:r>
      <w:r w:rsidRPr="00B91C1B">
        <w:rPr>
          <w:rFonts w:ascii="Verdana" w:hAnsi="Verdana"/>
          <w:i/>
          <w:iCs/>
          <w:sz w:val="22"/>
          <w:szCs w:val="22"/>
          <w:u w:val="single"/>
        </w:rPr>
        <w:t xml:space="preserve">serán aplicables a </w:t>
      </w:r>
      <w:r w:rsidRPr="00B91C1B">
        <w:rPr>
          <w:rFonts w:ascii="Verdana" w:hAnsi="Verdana"/>
          <w:i/>
          <w:iCs/>
          <w:sz w:val="22"/>
          <w:szCs w:val="22"/>
          <w:u w:val="single"/>
        </w:rPr>
        <w:lastRenderedPageBreak/>
        <w:t>las</w:t>
      </w:r>
      <w:r w:rsidRPr="00B91C1B">
        <w:rPr>
          <w:rFonts w:ascii="Verdana" w:hAnsi="Verdana"/>
          <w:sz w:val="22"/>
          <w:szCs w:val="22"/>
        </w:rPr>
        <w:t> </w:t>
      </w:r>
      <w:r w:rsidRPr="00B91C1B">
        <w:rPr>
          <w:rFonts w:ascii="Verdana" w:hAnsi="Verdana"/>
          <w:i/>
          <w:iCs/>
          <w:sz w:val="22"/>
          <w:szCs w:val="22"/>
          <w:u w:val="single"/>
        </w:rPr>
        <w:t>personas con discapacidad mental absoluta,</w:t>
      </w:r>
      <w:r w:rsidRPr="00B91C1B">
        <w:rPr>
          <w:rFonts w:ascii="Verdana" w:hAnsi="Verdana"/>
          <w:sz w:val="22"/>
          <w:szCs w:val="22"/>
        </w:rPr>
        <w:t> </w:t>
      </w:r>
      <w:r w:rsidRPr="00B91C1B">
        <w:rPr>
          <w:rFonts w:ascii="Verdana" w:hAnsi="Verdana"/>
          <w:i/>
          <w:iCs/>
          <w:sz w:val="22"/>
          <w:szCs w:val="22"/>
        </w:rPr>
        <w:t>en cuanto sea pertinente y adecuado a la situación de éstas".</w:t>
      </w:r>
    </w:p>
    <w:p w14:paraId="0C5776C1" w14:textId="58949C41" w:rsidR="00B91C1B" w:rsidRPr="00B91C1B" w:rsidRDefault="00B91C1B" w:rsidP="00B91C1B">
      <w:pPr>
        <w:jc w:val="both"/>
        <w:rPr>
          <w:rFonts w:ascii="Verdana" w:hAnsi="Verdana"/>
          <w:sz w:val="22"/>
          <w:szCs w:val="22"/>
        </w:rPr>
      </w:pPr>
      <w:r w:rsidRPr="00B91C1B">
        <w:rPr>
          <w:rFonts w:ascii="Verdana" w:hAnsi="Verdana"/>
          <w:sz w:val="22"/>
          <w:szCs w:val="22"/>
        </w:rPr>
        <w:t>Así las cosas, cuando una autoridad administrativa conoce del caso de una persona con discapacidad mental absoluta e identifica la vulneración de cualquiera de sus derechos, deberá acudir a los procedimientos y medidas de restablecimiento contempladas en la Ley 1098 de 2006, así como a las contempladas en la Ley 1306 de 2009, para garantizar el restablecimiento de los derechos. De este modo, si en la verificación de derechos se identifica que la persona con discapacidad no tiene sus padres o carece de representantes legales, el Defensor de Familia debe proceder a dar apertura a un proceso administrativo de restablecimiento de derechos y asumir la representación de la persona con discapacidad conforme con lo dispuesto en el artículo 82 del Código de la Infancia y la Adolescencia</w:t>
      </w:r>
      <w:r w:rsidRPr="00B91C1B">
        <w:rPr>
          <w:rFonts w:ascii="Verdana" w:hAnsi="Verdana"/>
          <w:sz w:val="22"/>
          <w:szCs w:val="22"/>
          <w:vertAlign w:val="superscript"/>
        </w:rPr>
        <w:t>[1]</w:t>
      </w:r>
      <w:r w:rsidRPr="00B91C1B">
        <w:rPr>
          <w:rFonts w:ascii="Verdana" w:hAnsi="Verdana"/>
          <w:sz w:val="22"/>
          <w:szCs w:val="22"/>
        </w:rPr>
        <w:t> y adoptar las medidas administrativas y judiciales más idóneas para el restablecimiento de sus derechos.</w:t>
      </w:r>
    </w:p>
    <w:p w14:paraId="1273854F" w14:textId="30D10583" w:rsidR="00B91C1B" w:rsidRPr="00B91C1B" w:rsidRDefault="00B91C1B" w:rsidP="00B91C1B">
      <w:pPr>
        <w:jc w:val="both"/>
        <w:rPr>
          <w:rFonts w:ascii="Verdana" w:hAnsi="Verdana"/>
          <w:sz w:val="22"/>
          <w:szCs w:val="22"/>
        </w:rPr>
      </w:pPr>
      <w:r w:rsidRPr="00B91C1B">
        <w:rPr>
          <w:rFonts w:ascii="Verdana" w:hAnsi="Verdana"/>
          <w:sz w:val="22"/>
          <w:szCs w:val="22"/>
        </w:rPr>
        <w:t>Ahora, de acuerdo con lo establecido en el parágrafo primero del artículo 36 del Código de la Infancia y la Adolescencia, </w:t>
      </w:r>
      <w:r w:rsidRPr="00B91C1B">
        <w:rPr>
          <w:rFonts w:ascii="Verdana" w:hAnsi="Verdana"/>
          <w:i/>
          <w:iCs/>
          <w:sz w:val="22"/>
          <w:szCs w:val="22"/>
        </w:rPr>
        <w:t>"en el caso de los adolescentes que sufren severa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ley".</w:t>
      </w:r>
      <w:r w:rsidRPr="00B91C1B">
        <w:rPr>
          <w:rFonts w:ascii="Verdana" w:hAnsi="Verdana"/>
          <w:sz w:val="22"/>
          <w:szCs w:val="22"/>
        </w:rPr>
        <w:t> Es claro que cuando el adolescente se encuentre bajo la protección del ICBF, corresponde al ICBF iniciar dicho proceso ante el Juez de Familia con el fin de prorrogar y garantizar su protección integral.</w:t>
      </w:r>
    </w:p>
    <w:p w14:paraId="74CDEE34" w14:textId="77777777" w:rsidR="00B91C1B" w:rsidRPr="00B91C1B" w:rsidRDefault="00B91C1B" w:rsidP="00B91C1B">
      <w:pPr>
        <w:jc w:val="both"/>
        <w:rPr>
          <w:rFonts w:ascii="Verdana" w:hAnsi="Verdana"/>
          <w:sz w:val="22"/>
          <w:szCs w:val="22"/>
        </w:rPr>
      </w:pPr>
      <w:r w:rsidRPr="00B91C1B">
        <w:rPr>
          <w:rFonts w:ascii="Verdana" w:hAnsi="Verdana"/>
          <w:sz w:val="22"/>
          <w:szCs w:val="22"/>
        </w:rPr>
        <w:t>Respecto a los mayores de edad con discapacidad mental absoluta, que han ingresado a protección siendo ya mayores de edad, y que por su grado de discapacidad requieran de una atención especializada, corresponde al Defensor de Familia adoptar las medidas pertinentes para su protección integral y promover ante las instituciones que integran el Sistema Nacional de Bienestar Familiar, su atención; entre los cuales está el Sistema General de Salud a quien le compete prestar la atención médica, internamiento, rehabilitación especializada.</w:t>
      </w:r>
    </w:p>
    <w:p w14:paraId="1B383E2C" w14:textId="77777777" w:rsidR="00B91C1B" w:rsidRPr="00B91C1B" w:rsidRDefault="00B91C1B" w:rsidP="00B91C1B">
      <w:pPr>
        <w:jc w:val="both"/>
        <w:rPr>
          <w:rFonts w:ascii="Verdana" w:hAnsi="Verdana"/>
          <w:sz w:val="22"/>
          <w:szCs w:val="22"/>
        </w:rPr>
      </w:pPr>
      <w:r w:rsidRPr="00B91C1B">
        <w:rPr>
          <w:rFonts w:ascii="Verdana" w:hAnsi="Verdana"/>
          <w:sz w:val="22"/>
          <w:szCs w:val="22"/>
        </w:rPr>
        <w:t xml:space="preserve">Ahora respecto del proceso de interdicción tal como lo ha manifestado esta Oficina es un proceso de jurisdicción voluntaria, que no busca resolver un litigio, ni controvertir un derecho, sino que busca </w:t>
      </w:r>
      <w:proofErr w:type="gramStart"/>
      <w:r w:rsidRPr="00B91C1B">
        <w:rPr>
          <w:rFonts w:ascii="Verdana" w:hAnsi="Verdana"/>
          <w:sz w:val="22"/>
          <w:szCs w:val="22"/>
        </w:rPr>
        <w:t>que</w:t>
      </w:r>
      <w:proofErr w:type="gramEnd"/>
      <w:r w:rsidRPr="00B91C1B">
        <w:rPr>
          <w:rFonts w:ascii="Verdana" w:hAnsi="Verdana"/>
          <w:sz w:val="22"/>
          <w:szCs w:val="22"/>
        </w:rPr>
        <w:t xml:space="preserve"> mediante declaración judicial, se declare que una persona no está en capacidad mental para ejercer su capacidad de ejercicio.</w:t>
      </w:r>
    </w:p>
    <w:p w14:paraId="57B5EC6F" w14:textId="5AEE8548" w:rsidR="00B91C1B" w:rsidRPr="00B91C1B" w:rsidRDefault="00B91C1B" w:rsidP="00B91C1B">
      <w:pPr>
        <w:jc w:val="both"/>
        <w:rPr>
          <w:rFonts w:ascii="Verdana" w:hAnsi="Verdana"/>
          <w:sz w:val="22"/>
          <w:szCs w:val="22"/>
        </w:rPr>
      </w:pPr>
      <w:r w:rsidRPr="00B91C1B">
        <w:rPr>
          <w:rFonts w:ascii="Verdana" w:hAnsi="Verdana"/>
          <w:sz w:val="22"/>
          <w:szCs w:val="22"/>
        </w:rPr>
        <w:t xml:space="preserve">El artículo 586 del Código General del Proceso, señala que estos procesos deben acompañarse de un certificado de un médico psiquiatra o neurólogo, sobre el estado del presunto interdicto, que establezca las características del paciente, el </w:t>
      </w:r>
      <w:r w:rsidRPr="00B91C1B">
        <w:rPr>
          <w:rFonts w:ascii="Verdana" w:hAnsi="Verdana"/>
          <w:sz w:val="22"/>
          <w:szCs w:val="22"/>
        </w:rPr>
        <w:lastRenderedPageBreak/>
        <w:t xml:space="preserve">diagnóstico de la enfermedad y con las consecuencias de la capacidad del paciente para administrar sus bienes, y el tratamiento </w:t>
      </w:r>
      <w:proofErr w:type="gramStart"/>
      <w:r w:rsidRPr="00B91C1B">
        <w:rPr>
          <w:rFonts w:ascii="Verdana" w:hAnsi="Verdana"/>
          <w:sz w:val="22"/>
          <w:szCs w:val="22"/>
        </w:rPr>
        <w:t>del mismo</w:t>
      </w:r>
      <w:proofErr w:type="gramEnd"/>
      <w:r w:rsidRPr="00B91C1B">
        <w:rPr>
          <w:rFonts w:ascii="Verdana" w:hAnsi="Verdana"/>
          <w:sz w:val="22"/>
          <w:szCs w:val="22"/>
        </w:rPr>
        <w:t>.</w:t>
      </w:r>
    </w:p>
    <w:p w14:paraId="793C3EFB" w14:textId="77777777" w:rsidR="00B91C1B" w:rsidRPr="00B91C1B" w:rsidRDefault="00B91C1B" w:rsidP="00B91C1B">
      <w:pPr>
        <w:jc w:val="both"/>
        <w:rPr>
          <w:rFonts w:ascii="Verdana" w:hAnsi="Verdana"/>
          <w:sz w:val="22"/>
          <w:szCs w:val="22"/>
        </w:rPr>
      </w:pPr>
      <w:r w:rsidRPr="00B91C1B">
        <w:rPr>
          <w:rFonts w:ascii="Verdana" w:hAnsi="Verdana"/>
          <w:sz w:val="22"/>
          <w:szCs w:val="22"/>
        </w:rPr>
        <w:t>Quiere decir lo anterior que, para iniciar la demanda de interdicción, solo es necesario un certificado médico de un psiquiatra o un neurólogo, en el que se señale el estado del paciente, y es en el curso del proceso se determinará a través de un dictamen médico neurológico o psiquiátrico la condición de discapacidad de la persona.</w:t>
      </w:r>
    </w:p>
    <w:p w14:paraId="1749092A" w14:textId="77777777" w:rsidR="00B91C1B" w:rsidRPr="00B91C1B" w:rsidRDefault="00B91C1B" w:rsidP="00B91C1B">
      <w:pPr>
        <w:jc w:val="both"/>
        <w:rPr>
          <w:rFonts w:ascii="Verdana" w:hAnsi="Verdana"/>
          <w:sz w:val="22"/>
          <w:szCs w:val="22"/>
        </w:rPr>
      </w:pPr>
      <w:r w:rsidRPr="00B91C1B">
        <w:rPr>
          <w:rFonts w:ascii="Verdana" w:hAnsi="Verdana"/>
          <w:sz w:val="22"/>
          <w:szCs w:val="22"/>
        </w:rPr>
        <w:t>También se podrá decretar la interdicción provisional del discapacitado mental absoluto, teniendo como fundamento el certificado médico acompañado a la demanda. Los decretos de interdicción provisoria y definitiva deben ser inscritos en el registro civil de nacimiento de la persona con discapacidad y deben ser notificados al público por aviso en un diario de amplia circulación nacional.</w:t>
      </w:r>
    </w:p>
    <w:p w14:paraId="67F14BF9" w14:textId="77777777" w:rsidR="00B91C1B" w:rsidRPr="00B91C1B" w:rsidRDefault="00B91C1B" w:rsidP="00B91C1B">
      <w:pPr>
        <w:jc w:val="both"/>
        <w:rPr>
          <w:rFonts w:ascii="Verdana" w:hAnsi="Verdana"/>
          <w:sz w:val="22"/>
          <w:szCs w:val="22"/>
        </w:rPr>
      </w:pPr>
      <w:r w:rsidRPr="00B91C1B">
        <w:rPr>
          <w:rFonts w:ascii="Verdana" w:hAnsi="Verdana"/>
          <w:sz w:val="22"/>
          <w:szCs w:val="22"/>
        </w:rPr>
        <w:t>En el auto admisorio se ordenará el emplazamiento de todas las personas que se crean con derechos, una vez realizada la citación se decretarán las pruebas necesarias y se convocará a una audiencia para interrogar al perito. Posteriormente el juez dictará sentencia, en la que dispone lo relativo al inventario de bienes y avalúos de la persona con discapacidad.</w:t>
      </w:r>
    </w:p>
    <w:p w14:paraId="2EFC86BF" w14:textId="77777777" w:rsidR="00B91C1B" w:rsidRPr="00B91C1B" w:rsidRDefault="00B91C1B" w:rsidP="00B91C1B">
      <w:pPr>
        <w:jc w:val="both"/>
        <w:rPr>
          <w:rFonts w:ascii="Verdana" w:hAnsi="Verdana"/>
          <w:sz w:val="22"/>
          <w:szCs w:val="22"/>
        </w:rPr>
      </w:pPr>
      <w:r w:rsidRPr="00B91C1B">
        <w:rPr>
          <w:rFonts w:ascii="Verdana" w:hAnsi="Verdana"/>
          <w:sz w:val="22"/>
          <w:szCs w:val="22"/>
        </w:rPr>
        <w:t>En la sentencia que declare la interdicción de una persona con discapacidad, el juez competente podrá decretar las medidas de protección personal necesarias y las terapéuticas que considere pertinentes, designará el guardador principal y los suplentes que estime necesarios, podrá decretar las medidas de protección personal que estime necesarias y las terapéuticas en aras de cumplir con sus dos finalidades, una primera como lo es la declaración de interdicción, y una segunda, tal como la rehabilitación de la persona.</w:t>
      </w:r>
    </w:p>
    <w:p w14:paraId="28CA0775" w14:textId="77777777" w:rsidR="00B91C1B" w:rsidRPr="00B91C1B" w:rsidRDefault="00B91C1B" w:rsidP="00B91C1B">
      <w:pPr>
        <w:jc w:val="both"/>
        <w:rPr>
          <w:rFonts w:ascii="Verdana" w:hAnsi="Verdana"/>
          <w:sz w:val="22"/>
          <w:szCs w:val="22"/>
        </w:rPr>
      </w:pPr>
      <w:r w:rsidRPr="00B91C1B">
        <w:rPr>
          <w:rFonts w:ascii="Verdana" w:hAnsi="Verdana"/>
          <w:b/>
          <w:bCs/>
          <w:sz w:val="22"/>
          <w:szCs w:val="22"/>
        </w:rPr>
        <w:t>3.3. Caso Concreto.</w:t>
      </w:r>
    </w:p>
    <w:p w14:paraId="698CE493" w14:textId="77777777" w:rsidR="00B91C1B" w:rsidRPr="00B91C1B" w:rsidRDefault="00B91C1B" w:rsidP="00B91C1B">
      <w:pPr>
        <w:jc w:val="both"/>
        <w:rPr>
          <w:rFonts w:ascii="Verdana" w:hAnsi="Verdana"/>
          <w:sz w:val="22"/>
          <w:szCs w:val="22"/>
        </w:rPr>
      </w:pPr>
      <w:r w:rsidRPr="00B91C1B">
        <w:rPr>
          <w:rFonts w:ascii="Verdana" w:hAnsi="Verdana"/>
          <w:sz w:val="22"/>
          <w:szCs w:val="22"/>
        </w:rPr>
        <w:t>La Coordinadora de Autoridades Administrativas presenta el siguiente interrogante, el cual, de acuerdo con el marco jurídico expuesto, se entra a resolver, así:</w:t>
      </w:r>
    </w:p>
    <w:p w14:paraId="5D29C9C5" w14:textId="77777777" w:rsidR="00B91C1B" w:rsidRPr="00B91C1B" w:rsidRDefault="00B91C1B" w:rsidP="00B91C1B">
      <w:pPr>
        <w:jc w:val="both"/>
        <w:rPr>
          <w:rFonts w:ascii="Verdana" w:hAnsi="Verdana"/>
          <w:sz w:val="22"/>
          <w:szCs w:val="22"/>
        </w:rPr>
      </w:pPr>
      <w:r w:rsidRPr="00B91C1B">
        <w:rPr>
          <w:rFonts w:ascii="Verdana" w:hAnsi="Verdana"/>
          <w:i/>
          <w:iCs/>
          <w:sz w:val="22"/>
          <w:szCs w:val="22"/>
        </w:rPr>
        <w:t>“¿Es deber del Defensor de Familia promover la demanda de interdicción en todos los casos en donde una persona con discapacidad mental absoluta se encuentre con sus derechos en riesgo?”</w:t>
      </w:r>
    </w:p>
    <w:p w14:paraId="272E79C3" w14:textId="45C6B64D" w:rsidR="00B91C1B" w:rsidRPr="00B91C1B" w:rsidRDefault="00B91C1B" w:rsidP="00B91C1B">
      <w:pPr>
        <w:jc w:val="both"/>
        <w:rPr>
          <w:rFonts w:ascii="Verdana" w:hAnsi="Verdana"/>
          <w:sz w:val="22"/>
          <w:szCs w:val="22"/>
        </w:rPr>
      </w:pPr>
      <w:r w:rsidRPr="00B91C1B">
        <w:rPr>
          <w:rFonts w:ascii="Verdana" w:hAnsi="Verdana"/>
          <w:sz w:val="22"/>
          <w:szCs w:val="22"/>
        </w:rPr>
        <w:t xml:space="preserve">De acuerdo con lo establecido en el artículo 36 del Código de la Infancia y la Adolescencia, se considera </w:t>
      </w:r>
      <w:proofErr w:type="gramStart"/>
      <w:r w:rsidRPr="00B91C1B">
        <w:rPr>
          <w:rFonts w:ascii="Verdana" w:hAnsi="Verdana"/>
          <w:sz w:val="22"/>
          <w:szCs w:val="22"/>
        </w:rPr>
        <w:t>que</w:t>
      </w:r>
      <w:proofErr w:type="gramEnd"/>
      <w:r w:rsidRPr="00B91C1B">
        <w:rPr>
          <w:rFonts w:ascii="Verdana" w:hAnsi="Verdana"/>
          <w:sz w:val="22"/>
          <w:szCs w:val="22"/>
        </w:rPr>
        <w:t xml:space="preserve"> si una persona con discapacidad mental absoluta que ha estado bajo la protección del ICBF desde antes de cumplir la mayoría de </w:t>
      </w:r>
      <w:proofErr w:type="gramStart"/>
      <w:r w:rsidRPr="00B91C1B">
        <w:rPr>
          <w:rFonts w:ascii="Verdana" w:hAnsi="Verdana"/>
          <w:sz w:val="22"/>
          <w:szCs w:val="22"/>
        </w:rPr>
        <w:t>edad,</w:t>
      </w:r>
      <w:proofErr w:type="gramEnd"/>
      <w:r w:rsidRPr="00B91C1B">
        <w:rPr>
          <w:rFonts w:ascii="Verdana" w:hAnsi="Verdana"/>
          <w:sz w:val="22"/>
          <w:szCs w:val="22"/>
        </w:rPr>
        <w:t xml:space="preserve"> corresponde al Defensor de Familia, interponer la demanda de interdicción ante el Juez de Familia, con el fin de prorrogar y garantizar su protección, así como, si es del caso, la designación de un curador. Lo anterior, siempre y cuando </w:t>
      </w:r>
      <w:r w:rsidRPr="00B91C1B">
        <w:rPr>
          <w:rFonts w:ascii="Verdana" w:hAnsi="Verdana"/>
          <w:sz w:val="22"/>
          <w:szCs w:val="22"/>
        </w:rPr>
        <w:lastRenderedPageBreak/>
        <w:t>sufra de una severa discapacidad cognitiva permanente que le impida ejercer su capacidad plena en la mayoría de edad.</w:t>
      </w:r>
    </w:p>
    <w:p w14:paraId="3D01F699" w14:textId="77777777" w:rsidR="00B91C1B" w:rsidRPr="00B91C1B" w:rsidRDefault="00B91C1B" w:rsidP="00B91C1B">
      <w:pPr>
        <w:jc w:val="both"/>
        <w:rPr>
          <w:rFonts w:ascii="Verdana" w:hAnsi="Verdana"/>
          <w:sz w:val="22"/>
          <w:szCs w:val="22"/>
        </w:rPr>
      </w:pPr>
      <w:r w:rsidRPr="00B91C1B">
        <w:rPr>
          <w:rFonts w:ascii="Verdana" w:hAnsi="Verdana"/>
          <w:sz w:val="22"/>
          <w:szCs w:val="22"/>
        </w:rPr>
        <w:t>Ahora respecto de las personas con discapacidad mayores de edad, es también el Defensor de Familia, quien debe adoptar las medidas de restablecimiento establecidas en el Código de la Infancia y la Adolescencia en cuanto sean pertinentes, por lo cual, la demanda de interdicción puede ser una de esas medidas siempre y cuando se considere necesaria e idónea para proteger y garantizar los derechos de la persona con discapacidad. Ahora, en todo caso, se debe tener en cuenta que dicha demanda debe estar precedida y fundamentada en un dictamen médico que certifique que la discapacidad le impide al individuo ejercer de manera autónoma su capacidad plena, esto es, ejercer sus derechos y contraer obligaciones, y la decisión final sobre la interdicción estará a cargo del Juez, quien de acuerdo con el dictamen y las pruebas que obren en el proceso, determinará la necesidad de declararla y los alcances de la misma, así como los apoyos que requerirá la persona con discapacidad para desarrollar plenamente sus competencias.</w:t>
      </w:r>
    </w:p>
    <w:p w14:paraId="0F5E0D5F" w14:textId="00542341" w:rsidR="00B91C1B" w:rsidRPr="00B91C1B" w:rsidRDefault="00B91C1B" w:rsidP="00B91C1B">
      <w:pPr>
        <w:jc w:val="both"/>
        <w:rPr>
          <w:rFonts w:ascii="Verdana" w:hAnsi="Verdana"/>
          <w:sz w:val="22"/>
          <w:szCs w:val="22"/>
        </w:rPr>
      </w:pPr>
      <w:r w:rsidRPr="00B91C1B">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633BB6C" w14:textId="77777777" w:rsidR="00B91C1B" w:rsidRDefault="00B91C1B" w:rsidP="00B91C1B">
      <w:pPr>
        <w:jc w:val="both"/>
        <w:rPr>
          <w:rFonts w:ascii="Verdana" w:hAnsi="Verdana"/>
          <w:sz w:val="22"/>
          <w:szCs w:val="22"/>
        </w:rPr>
      </w:pPr>
      <w:r w:rsidRPr="00B91C1B">
        <w:rPr>
          <w:rFonts w:ascii="Verdana" w:hAnsi="Verdana"/>
          <w:sz w:val="22"/>
          <w:szCs w:val="22"/>
        </w:rPr>
        <w:t>Cordialmente,</w:t>
      </w:r>
    </w:p>
    <w:p w14:paraId="7D022F95" w14:textId="77777777" w:rsidR="00B91C1B" w:rsidRPr="00B91C1B" w:rsidRDefault="00B91C1B" w:rsidP="00B91C1B">
      <w:pPr>
        <w:jc w:val="both"/>
        <w:rPr>
          <w:rFonts w:ascii="Verdana" w:hAnsi="Verdana"/>
          <w:sz w:val="22"/>
          <w:szCs w:val="22"/>
        </w:rPr>
      </w:pPr>
    </w:p>
    <w:p w14:paraId="29A9E3C5" w14:textId="77777777" w:rsidR="00B91C1B" w:rsidRPr="00B91C1B" w:rsidRDefault="00B91C1B" w:rsidP="00B91C1B">
      <w:pPr>
        <w:jc w:val="both"/>
        <w:rPr>
          <w:rFonts w:ascii="Verdana" w:hAnsi="Verdana"/>
          <w:sz w:val="22"/>
          <w:szCs w:val="22"/>
        </w:rPr>
      </w:pPr>
      <w:r w:rsidRPr="00B91C1B">
        <w:rPr>
          <w:rFonts w:ascii="Verdana" w:hAnsi="Verdana"/>
          <w:b/>
          <w:bCs/>
          <w:sz w:val="22"/>
          <w:szCs w:val="22"/>
        </w:rPr>
        <w:t>LUZ KARIME FERNANDEZ CASTILLO</w:t>
      </w:r>
    </w:p>
    <w:p w14:paraId="7593C59E" w14:textId="77777777" w:rsidR="00B91C1B" w:rsidRPr="00B91C1B" w:rsidRDefault="00B91C1B" w:rsidP="00B91C1B">
      <w:pPr>
        <w:jc w:val="both"/>
        <w:rPr>
          <w:rFonts w:ascii="Verdana" w:hAnsi="Verdana"/>
          <w:sz w:val="22"/>
          <w:szCs w:val="22"/>
        </w:rPr>
      </w:pPr>
      <w:r w:rsidRPr="00B91C1B">
        <w:rPr>
          <w:rFonts w:ascii="Verdana" w:hAnsi="Verdana"/>
          <w:sz w:val="22"/>
          <w:szCs w:val="22"/>
        </w:rPr>
        <w:t>Jefe Oficina Asesora Jurídica</w:t>
      </w:r>
    </w:p>
    <w:p w14:paraId="08416B88" w14:textId="77777777" w:rsidR="00B91C1B" w:rsidRDefault="00B91C1B" w:rsidP="00B91C1B">
      <w:pPr>
        <w:jc w:val="both"/>
        <w:rPr>
          <w:rFonts w:ascii="Verdana" w:hAnsi="Verdana"/>
          <w:sz w:val="22"/>
          <w:szCs w:val="22"/>
        </w:rPr>
      </w:pPr>
    </w:p>
    <w:p w14:paraId="7B111C13" w14:textId="61D141BE" w:rsidR="00B91C1B" w:rsidRPr="00B91C1B" w:rsidRDefault="00B91C1B" w:rsidP="00B91C1B">
      <w:pPr>
        <w:jc w:val="both"/>
        <w:rPr>
          <w:rFonts w:ascii="Verdana" w:hAnsi="Verdana"/>
          <w:b/>
          <w:bCs/>
          <w:sz w:val="22"/>
          <w:szCs w:val="22"/>
        </w:rPr>
      </w:pPr>
      <w:r w:rsidRPr="00B91C1B">
        <w:rPr>
          <w:rFonts w:ascii="Verdana" w:hAnsi="Verdana"/>
          <w:b/>
          <w:bCs/>
          <w:sz w:val="22"/>
          <w:szCs w:val="22"/>
        </w:rPr>
        <w:t>Notas de pie de página:</w:t>
      </w:r>
    </w:p>
    <w:p w14:paraId="4E2E052C" w14:textId="50C6F0CF" w:rsidR="00B91C1B" w:rsidRPr="00B91C1B" w:rsidRDefault="00B91C1B" w:rsidP="00B91C1B">
      <w:pPr>
        <w:jc w:val="both"/>
        <w:rPr>
          <w:rFonts w:ascii="Verdana" w:hAnsi="Verdana"/>
          <w:sz w:val="22"/>
          <w:szCs w:val="22"/>
        </w:rPr>
      </w:pPr>
      <w:r w:rsidRPr="00B91C1B">
        <w:rPr>
          <w:rFonts w:ascii="Verdana" w:hAnsi="Verdana"/>
          <w:sz w:val="22"/>
          <w:szCs w:val="22"/>
        </w:rPr>
        <w:t>1. Código de Infancia y Adolescencia, Articulo 82. "Funciones del Defensor de Familia. Corresponde al Defensor de Familia: (...) 12. Representar a los niños, las niñas o los adolescentes en las actuaciones Judiciales o administrativas, cuando carezcan de representante, o este se halle ausente o incapacitado, o sea el agente de la amenaza o vulneración de derechos.</w:t>
      </w:r>
    </w:p>
    <w:p w14:paraId="64CFF5B2" w14:textId="77777777" w:rsidR="00B91C1B" w:rsidRPr="00B91C1B" w:rsidRDefault="00B91C1B" w:rsidP="00B91C1B">
      <w:pPr>
        <w:jc w:val="both"/>
        <w:rPr>
          <w:rFonts w:ascii="Verdana" w:hAnsi="Verdana"/>
          <w:sz w:val="22"/>
          <w:szCs w:val="22"/>
        </w:rPr>
      </w:pPr>
    </w:p>
    <w:sectPr w:rsidR="00B91C1B" w:rsidRPr="00B91C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1B"/>
    <w:rsid w:val="00607040"/>
    <w:rsid w:val="00B91C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90E6"/>
  <w15:chartTrackingRefBased/>
  <w15:docId w15:val="{E11BB024-4EB2-453F-ABF5-6EF0C464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1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1C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C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C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C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C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C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C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C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C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1C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C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C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C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C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C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C1B"/>
    <w:rPr>
      <w:rFonts w:eastAsiaTheme="majorEastAsia" w:cstheme="majorBidi"/>
      <w:color w:val="272727" w:themeColor="text1" w:themeTint="D8"/>
    </w:rPr>
  </w:style>
  <w:style w:type="paragraph" w:styleId="Ttulo">
    <w:name w:val="Title"/>
    <w:basedOn w:val="Normal"/>
    <w:next w:val="Normal"/>
    <w:link w:val="TtuloCar"/>
    <w:uiPriority w:val="10"/>
    <w:qFormat/>
    <w:rsid w:val="00B91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C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C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C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C1B"/>
    <w:pPr>
      <w:spacing w:before="160"/>
      <w:jc w:val="center"/>
    </w:pPr>
    <w:rPr>
      <w:i/>
      <w:iCs/>
      <w:color w:val="404040" w:themeColor="text1" w:themeTint="BF"/>
    </w:rPr>
  </w:style>
  <w:style w:type="character" w:customStyle="1" w:styleId="CitaCar">
    <w:name w:val="Cita Car"/>
    <w:basedOn w:val="Fuentedeprrafopredeter"/>
    <w:link w:val="Cita"/>
    <w:uiPriority w:val="29"/>
    <w:rsid w:val="00B91C1B"/>
    <w:rPr>
      <w:i/>
      <w:iCs/>
      <w:color w:val="404040" w:themeColor="text1" w:themeTint="BF"/>
    </w:rPr>
  </w:style>
  <w:style w:type="paragraph" w:styleId="Prrafodelista">
    <w:name w:val="List Paragraph"/>
    <w:basedOn w:val="Normal"/>
    <w:uiPriority w:val="34"/>
    <w:qFormat/>
    <w:rsid w:val="00B91C1B"/>
    <w:pPr>
      <w:ind w:left="720"/>
      <w:contextualSpacing/>
    </w:pPr>
  </w:style>
  <w:style w:type="character" w:styleId="nfasisintenso">
    <w:name w:val="Intense Emphasis"/>
    <w:basedOn w:val="Fuentedeprrafopredeter"/>
    <w:uiPriority w:val="21"/>
    <w:qFormat/>
    <w:rsid w:val="00B91C1B"/>
    <w:rPr>
      <w:i/>
      <w:iCs/>
      <w:color w:val="0F4761" w:themeColor="accent1" w:themeShade="BF"/>
    </w:rPr>
  </w:style>
  <w:style w:type="paragraph" w:styleId="Citadestacada">
    <w:name w:val="Intense Quote"/>
    <w:basedOn w:val="Normal"/>
    <w:next w:val="Normal"/>
    <w:link w:val="CitadestacadaCar"/>
    <w:uiPriority w:val="30"/>
    <w:qFormat/>
    <w:rsid w:val="00B91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C1B"/>
    <w:rPr>
      <w:i/>
      <w:iCs/>
      <w:color w:val="0F4761" w:themeColor="accent1" w:themeShade="BF"/>
    </w:rPr>
  </w:style>
  <w:style w:type="character" w:styleId="Referenciaintensa">
    <w:name w:val="Intense Reference"/>
    <w:basedOn w:val="Fuentedeprrafopredeter"/>
    <w:uiPriority w:val="32"/>
    <w:qFormat/>
    <w:rsid w:val="00B91C1B"/>
    <w:rPr>
      <w:b/>
      <w:bCs/>
      <w:smallCaps/>
      <w:color w:val="0F4761" w:themeColor="accent1" w:themeShade="BF"/>
      <w:spacing w:val="5"/>
    </w:rPr>
  </w:style>
  <w:style w:type="character" w:styleId="Hipervnculo">
    <w:name w:val="Hyperlink"/>
    <w:basedOn w:val="Fuentedeprrafopredeter"/>
    <w:uiPriority w:val="99"/>
    <w:unhideWhenUsed/>
    <w:rsid w:val="00B91C1B"/>
    <w:rPr>
      <w:color w:val="467886" w:themeColor="hyperlink"/>
      <w:u w:val="single"/>
    </w:rPr>
  </w:style>
  <w:style w:type="character" w:styleId="Mencinsinresolver">
    <w:name w:val="Unresolved Mention"/>
    <w:basedOn w:val="Fuentedeprrafopredeter"/>
    <w:uiPriority w:val="99"/>
    <w:semiHidden/>
    <w:unhideWhenUsed/>
    <w:rsid w:val="00B91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EC8E1-4D5F-4A50-BCB7-EDE8D8BAAA6A}"/>
</file>

<file path=customXml/itemProps2.xml><?xml version="1.0" encoding="utf-8"?>
<ds:datastoreItem xmlns:ds="http://schemas.openxmlformats.org/officeDocument/2006/customXml" ds:itemID="{8526606F-EADA-4D90-A8DC-4AF182BB7679}"/>
</file>

<file path=customXml/itemProps3.xml><?xml version="1.0" encoding="utf-8"?>
<ds:datastoreItem xmlns:ds="http://schemas.openxmlformats.org/officeDocument/2006/customXml" ds:itemID="{F6A72B6E-5F24-48A9-994E-643838527900}"/>
</file>

<file path=docProps/app.xml><?xml version="1.0" encoding="utf-8"?>
<Properties xmlns="http://schemas.openxmlformats.org/officeDocument/2006/extended-properties" xmlns:vt="http://schemas.openxmlformats.org/officeDocument/2006/docPropsVTypes">
  <Template>Normal</Template>
  <TotalTime>1</TotalTime>
  <Pages>9</Pages>
  <Words>3099</Words>
  <Characters>17046</Characters>
  <Application>Microsoft Office Word</Application>
  <DocSecurity>0</DocSecurity>
  <Lines>142</Lines>
  <Paragraphs>40</Paragraphs>
  <ScaleCrop>false</ScaleCrop>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2026-05-12T20:23:00Z</dcterms:created>
  <dcterms:modified xsi:type="dcterms:W3CDTF">2026-05-12T20:24:00Z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