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A4B6" w14:textId="77777777" w:rsidR="00B16951" w:rsidRPr="00B16951" w:rsidRDefault="00B16951" w:rsidP="00B16951">
      <w:pPr>
        <w:jc w:val="center"/>
        <w:rPr>
          <w:rFonts w:ascii="Verdana" w:hAnsi="Verdana"/>
          <w:sz w:val="22"/>
          <w:szCs w:val="22"/>
        </w:rPr>
      </w:pPr>
      <w:r w:rsidRPr="00B16951">
        <w:rPr>
          <w:rFonts w:ascii="Verdana" w:hAnsi="Verdana"/>
          <w:b/>
          <w:bCs/>
          <w:sz w:val="22"/>
          <w:szCs w:val="22"/>
        </w:rPr>
        <w:t>CONCEPTO 162 DE 2015</w:t>
      </w:r>
    </w:p>
    <w:p w14:paraId="4159C4BE" w14:textId="77777777" w:rsidR="00B16951" w:rsidRPr="00B16951" w:rsidRDefault="00B16951" w:rsidP="00B16951">
      <w:pPr>
        <w:jc w:val="center"/>
        <w:rPr>
          <w:rFonts w:ascii="Verdana" w:hAnsi="Verdana"/>
          <w:sz w:val="22"/>
          <w:szCs w:val="22"/>
        </w:rPr>
      </w:pPr>
      <w:r w:rsidRPr="00B16951">
        <w:rPr>
          <w:rFonts w:ascii="Verdana" w:hAnsi="Verdana"/>
          <w:sz w:val="22"/>
          <w:szCs w:val="22"/>
        </w:rPr>
        <w:t>(diciembre 30)</w:t>
      </w:r>
    </w:p>
    <w:p w14:paraId="6989409D" w14:textId="77777777" w:rsidR="00B16951" w:rsidRPr="00B16951" w:rsidRDefault="00B16951" w:rsidP="00B16951">
      <w:pPr>
        <w:jc w:val="center"/>
        <w:rPr>
          <w:rFonts w:ascii="Verdana" w:hAnsi="Verdana"/>
          <w:sz w:val="22"/>
          <w:szCs w:val="22"/>
        </w:rPr>
      </w:pPr>
      <w:r w:rsidRPr="00B16951">
        <w:rPr>
          <w:rFonts w:ascii="Verdana" w:hAnsi="Verdana"/>
          <w:b/>
          <w:bCs/>
          <w:sz w:val="22"/>
          <w:szCs w:val="22"/>
        </w:rPr>
        <w:t>INSTITUTO COLOMBIANO DE BIENESTAR FAMILIAR – ICBF</w:t>
      </w:r>
    </w:p>
    <w:p w14:paraId="45209A6F" w14:textId="77777777" w:rsidR="00B16951" w:rsidRPr="00B16951" w:rsidRDefault="00B16951" w:rsidP="00B16951">
      <w:pPr>
        <w:jc w:val="both"/>
        <w:rPr>
          <w:rFonts w:ascii="Verdana" w:hAnsi="Verdana"/>
          <w:sz w:val="22"/>
          <w:szCs w:val="22"/>
        </w:rPr>
      </w:pPr>
      <w:r w:rsidRPr="00B16951">
        <w:rPr>
          <w:rFonts w:ascii="Verdana" w:hAnsi="Verdana"/>
          <w:b/>
          <w:bCs/>
          <w:sz w:val="22"/>
          <w:szCs w:val="22"/>
        </w:rPr>
        <w:t>ASUNTO: </w:t>
      </w:r>
      <w:r w:rsidRPr="00B16951">
        <w:rPr>
          <w:rFonts w:ascii="Verdana" w:hAnsi="Verdana"/>
          <w:sz w:val="22"/>
          <w:szCs w:val="22"/>
        </w:rPr>
        <w:t>Solicitud de concepto de acuerdo ha radicado No. 100129 del 14 de diciembre de 2015.</w:t>
      </w:r>
    </w:p>
    <w:p w14:paraId="0ED16925" w14:textId="529D42B6" w:rsidR="00B16951" w:rsidRPr="00B16951" w:rsidRDefault="00B16951" w:rsidP="00B16951">
      <w:pPr>
        <w:jc w:val="both"/>
        <w:rPr>
          <w:rFonts w:ascii="Verdana" w:hAnsi="Verdana"/>
          <w:sz w:val="22"/>
          <w:szCs w:val="22"/>
        </w:rPr>
      </w:pPr>
      <w:r w:rsidRPr="00B16951">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12BB7B99" w14:textId="77777777" w:rsidR="00B16951" w:rsidRPr="00B16951" w:rsidRDefault="00B16951" w:rsidP="00B16951">
      <w:pPr>
        <w:jc w:val="both"/>
        <w:rPr>
          <w:rFonts w:ascii="Verdana" w:hAnsi="Verdana"/>
          <w:sz w:val="22"/>
          <w:szCs w:val="22"/>
        </w:rPr>
      </w:pPr>
      <w:r w:rsidRPr="00B16951">
        <w:rPr>
          <w:rFonts w:ascii="Verdana" w:hAnsi="Verdana"/>
          <w:b/>
          <w:bCs/>
          <w:sz w:val="22"/>
          <w:szCs w:val="22"/>
        </w:rPr>
        <w:t>1. PROBLEMA JURIDICO</w:t>
      </w:r>
    </w:p>
    <w:p w14:paraId="3D81572D" w14:textId="77777777" w:rsidR="00B16951" w:rsidRPr="00B16951" w:rsidRDefault="00B16951" w:rsidP="00B16951">
      <w:pPr>
        <w:jc w:val="both"/>
        <w:rPr>
          <w:rFonts w:ascii="Verdana" w:hAnsi="Verdana"/>
          <w:sz w:val="22"/>
          <w:szCs w:val="22"/>
        </w:rPr>
      </w:pPr>
      <w:r w:rsidRPr="00B16951">
        <w:rPr>
          <w:rFonts w:ascii="Verdana" w:hAnsi="Verdana"/>
          <w:sz w:val="22"/>
          <w:szCs w:val="22"/>
        </w:rPr>
        <w:t>¿Es obligación de las entidades promotoras de Salud del régimen Subsidiado, autorizar las órdenes generadas por el médico general para definir el estado de salud actual de un niño que se encuentra en trámite de adopción?</w:t>
      </w:r>
    </w:p>
    <w:p w14:paraId="25FA34D6" w14:textId="77777777" w:rsidR="00B16951" w:rsidRPr="00B16951" w:rsidRDefault="00B16951" w:rsidP="00B16951">
      <w:pPr>
        <w:jc w:val="both"/>
        <w:rPr>
          <w:rFonts w:ascii="Verdana" w:hAnsi="Verdana"/>
          <w:sz w:val="22"/>
          <w:szCs w:val="22"/>
        </w:rPr>
      </w:pPr>
      <w:r w:rsidRPr="00B16951">
        <w:rPr>
          <w:rFonts w:ascii="Verdana" w:hAnsi="Verdana"/>
          <w:b/>
          <w:bCs/>
          <w:sz w:val="22"/>
          <w:szCs w:val="22"/>
        </w:rPr>
        <w:t>2. ANALISIS DEL PROBLEMA JURIDICO</w:t>
      </w:r>
    </w:p>
    <w:p w14:paraId="0AC9C745" w14:textId="77777777" w:rsidR="00B16951" w:rsidRPr="00B16951" w:rsidRDefault="00B16951" w:rsidP="00B16951">
      <w:pPr>
        <w:jc w:val="both"/>
        <w:rPr>
          <w:rFonts w:ascii="Verdana" w:hAnsi="Verdana"/>
          <w:sz w:val="22"/>
          <w:szCs w:val="22"/>
        </w:rPr>
      </w:pPr>
      <w:r w:rsidRPr="00B16951">
        <w:rPr>
          <w:rFonts w:ascii="Verdana" w:hAnsi="Verdana"/>
          <w:sz w:val="22"/>
          <w:szCs w:val="22"/>
        </w:rPr>
        <w:t>Se abordara el tema analizando: (2.1) Alcance de la Protección integral de los niños, niñas y adolescentes y (2.2) Normatividad relacionada con el servicio de salud.</w:t>
      </w:r>
    </w:p>
    <w:p w14:paraId="79EE4727" w14:textId="77777777" w:rsidR="00B16951" w:rsidRPr="00B16951" w:rsidRDefault="00B16951" w:rsidP="00B16951">
      <w:pPr>
        <w:jc w:val="both"/>
        <w:rPr>
          <w:rFonts w:ascii="Verdana" w:hAnsi="Verdana"/>
          <w:sz w:val="22"/>
          <w:szCs w:val="22"/>
        </w:rPr>
      </w:pPr>
      <w:r w:rsidRPr="00B16951">
        <w:rPr>
          <w:rFonts w:ascii="Verdana" w:hAnsi="Verdana"/>
          <w:b/>
          <w:bCs/>
          <w:sz w:val="22"/>
          <w:szCs w:val="22"/>
          <w:u w:val="single"/>
        </w:rPr>
        <w:t>(2.1) Alcance de la Protección integral de los niños, niñas y adolescentes</w:t>
      </w:r>
    </w:p>
    <w:p w14:paraId="452CA000" w14:textId="77777777" w:rsidR="00B16951" w:rsidRPr="00B16951" w:rsidRDefault="00B16951" w:rsidP="00B16951">
      <w:pPr>
        <w:jc w:val="both"/>
        <w:rPr>
          <w:rFonts w:ascii="Verdana" w:hAnsi="Verdana"/>
          <w:sz w:val="22"/>
          <w:szCs w:val="22"/>
        </w:rPr>
      </w:pPr>
      <w:r w:rsidRPr="00B16951">
        <w:rPr>
          <w:rFonts w:ascii="Verdana" w:hAnsi="Verdana"/>
          <w:sz w:val="22"/>
          <w:szCs w:val="22"/>
        </w:rPr>
        <w:t>La teoría de la protección integral de los niños, niñas y adolescentes tienen su origen en la convención de los Derechos del niño y fue aplicada en nuestro ordenamiento jurídico con la finalidad de adecuar nuestra legislación de infancia y adolescencia a los postulados constitucionales del estado social de derecho y los convenios internacionales ratificados por Colombia en la materia, el principio reconoce a los niños, niñas y adolescentes como personas autónomas y titulares de derechos y deberes, debiendo ser protegidos de manera integral y no solo cuando sus derechos son vulnerados. En una responsabilidad solidaria, conjunta y simultánea en cabeza de la familia, de la sociedad y del Estado de cumplir con obligaciones básicas y de general políticas públicas para garantizar los derechos de la niñez y la adolescencia, así como prevenir su amenaza y su vulneración.</w:t>
      </w:r>
    </w:p>
    <w:p w14:paraId="5C02EB27" w14:textId="767ED553" w:rsidR="00B16951" w:rsidRPr="00B16951" w:rsidRDefault="00B16951" w:rsidP="00B16951">
      <w:pPr>
        <w:jc w:val="both"/>
        <w:rPr>
          <w:rFonts w:ascii="Verdana" w:hAnsi="Verdana"/>
          <w:sz w:val="22"/>
          <w:szCs w:val="22"/>
        </w:rPr>
      </w:pPr>
      <w:r w:rsidRPr="00B16951">
        <w:rPr>
          <w:rFonts w:ascii="Verdana" w:hAnsi="Verdana"/>
          <w:sz w:val="22"/>
          <w:szCs w:val="22"/>
        </w:rPr>
        <w:t>El artículo 7 del Código de la Infancia y la Adolescencia consagra el principio en mención en los siguientes términos: “Se </w:t>
      </w:r>
      <w:r w:rsidRPr="00B16951">
        <w:rPr>
          <w:rFonts w:ascii="Verdana" w:hAnsi="Verdana"/>
          <w:i/>
          <w:iCs/>
          <w:sz w:val="22"/>
          <w:szCs w:val="22"/>
        </w:rPr>
        <w:t xml:space="preserve">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 La protección integral se materializa en el conjunto de políticas, planes, programas y acciones que se ejecuten en los ámbitos </w:t>
      </w:r>
      <w:r w:rsidRPr="00B16951">
        <w:rPr>
          <w:rFonts w:ascii="Verdana" w:hAnsi="Verdana"/>
          <w:i/>
          <w:iCs/>
          <w:sz w:val="22"/>
          <w:szCs w:val="22"/>
        </w:rPr>
        <w:lastRenderedPageBreak/>
        <w:t>nacional, departamental, distrital y municipal con la correspondiente asignación de recursos financieros, físicos y humanos”.</w:t>
      </w:r>
    </w:p>
    <w:p w14:paraId="7704181F" w14:textId="77777777" w:rsidR="00B16951" w:rsidRPr="00B16951" w:rsidRDefault="00B16951" w:rsidP="00B16951">
      <w:pPr>
        <w:jc w:val="both"/>
        <w:rPr>
          <w:rFonts w:ascii="Verdana" w:hAnsi="Verdana"/>
          <w:sz w:val="22"/>
          <w:szCs w:val="22"/>
        </w:rPr>
      </w:pPr>
      <w:r w:rsidRPr="00B16951">
        <w:rPr>
          <w:rFonts w:ascii="Verdana" w:hAnsi="Verdana"/>
          <w:sz w:val="22"/>
          <w:szCs w:val="22"/>
        </w:rPr>
        <w:t>En este sentido la Corte Constitucional</w:t>
      </w:r>
      <w:r w:rsidRPr="00B16951">
        <w:rPr>
          <w:rFonts w:ascii="Verdana" w:hAnsi="Verdana"/>
          <w:sz w:val="22"/>
          <w:szCs w:val="22"/>
          <w:vertAlign w:val="subscript"/>
        </w:rPr>
        <w:t>[1]</w:t>
      </w:r>
      <w:r w:rsidRPr="00B16951">
        <w:rPr>
          <w:rFonts w:ascii="Verdana" w:hAnsi="Verdana"/>
          <w:sz w:val="22"/>
          <w:szCs w:val="22"/>
        </w:rPr>
        <w:t> ha afirmado que: </w:t>
      </w:r>
      <w:r w:rsidRPr="00B16951">
        <w:rPr>
          <w:rFonts w:ascii="Verdana" w:hAnsi="Verdana"/>
          <w:i/>
          <w:iCs/>
          <w:sz w:val="22"/>
          <w:szCs w:val="22"/>
        </w:rPr>
        <w:t>"la jurisprudencia de esta Corporación ha establecido que los niños, niñas y adolescentes son sujetos de especial protección constitucional, lo que implica que la satisfacción de sus derechos e intereses constituyen un objetivo esencial para la sociedad y las autoridades estatales, por lo que la adecuada protección de los niños, niñas y adolescentes debe ser perseguida en toda actuación estatal que involucre a los menores”.</w:t>
      </w:r>
    </w:p>
    <w:p w14:paraId="731E5F1C" w14:textId="77777777" w:rsidR="00B16951" w:rsidRPr="00B16951" w:rsidRDefault="00B16951" w:rsidP="00B16951">
      <w:pPr>
        <w:jc w:val="both"/>
        <w:rPr>
          <w:rFonts w:ascii="Verdana" w:hAnsi="Verdana"/>
          <w:sz w:val="22"/>
          <w:szCs w:val="22"/>
        </w:rPr>
      </w:pPr>
      <w:r w:rsidRPr="00B16951">
        <w:rPr>
          <w:rFonts w:ascii="Verdana" w:hAnsi="Verdana"/>
          <w:sz w:val="22"/>
          <w:szCs w:val="22"/>
        </w:rPr>
        <w:t>Así, las cosas la protección integral de los niños, niñas y adolescentes debe garantizar la protección de sus derechos desde la prevención de los mismos y en el evento de existir alguna amenaza, inobservancia o vulneración, la familia, la sociedad y el Estado deben garantizar su efectivo restablecimiento.</w:t>
      </w:r>
    </w:p>
    <w:p w14:paraId="6F33AD21" w14:textId="77777777" w:rsidR="00B16951" w:rsidRPr="00B16951" w:rsidRDefault="00B16951" w:rsidP="00B16951">
      <w:pPr>
        <w:jc w:val="both"/>
        <w:rPr>
          <w:rFonts w:ascii="Verdana" w:hAnsi="Verdana"/>
          <w:sz w:val="22"/>
          <w:szCs w:val="22"/>
        </w:rPr>
      </w:pPr>
      <w:r w:rsidRPr="00B16951">
        <w:rPr>
          <w:rFonts w:ascii="Verdana" w:hAnsi="Verdana"/>
          <w:b/>
          <w:bCs/>
          <w:sz w:val="22"/>
          <w:szCs w:val="22"/>
          <w:u w:val="single"/>
        </w:rPr>
        <w:t>(2.2) Normatividad relacionada con el servicio de salud</w:t>
      </w:r>
    </w:p>
    <w:p w14:paraId="2C85C3D9" w14:textId="77777777" w:rsidR="00B16951" w:rsidRPr="00B16951" w:rsidRDefault="00B16951" w:rsidP="00B16951">
      <w:pPr>
        <w:jc w:val="both"/>
        <w:rPr>
          <w:rFonts w:ascii="Verdana" w:hAnsi="Verdana"/>
          <w:sz w:val="22"/>
          <w:szCs w:val="22"/>
        </w:rPr>
      </w:pPr>
      <w:r w:rsidRPr="00B16951">
        <w:rPr>
          <w:rFonts w:ascii="Verdana" w:hAnsi="Verdana"/>
          <w:sz w:val="22"/>
          <w:szCs w:val="22"/>
        </w:rPr>
        <w:t>La ley 100 de 1993 establece:</w:t>
      </w:r>
    </w:p>
    <w:p w14:paraId="22B73539" w14:textId="5F8FA329" w:rsidR="00B16951" w:rsidRPr="00B16951" w:rsidRDefault="00B16951" w:rsidP="00B16951">
      <w:pPr>
        <w:jc w:val="both"/>
        <w:rPr>
          <w:rFonts w:ascii="Verdana" w:hAnsi="Verdana"/>
          <w:sz w:val="22"/>
          <w:szCs w:val="22"/>
        </w:rPr>
      </w:pPr>
      <w:r w:rsidRPr="00B16951">
        <w:rPr>
          <w:rFonts w:ascii="Verdana" w:hAnsi="Verdana"/>
          <w:i/>
          <w:iCs/>
          <w:sz w:val="22"/>
          <w:szCs w:val="22"/>
        </w:rPr>
        <w:t>"ARTICULO 153. FUNDAMENTOS DEL SERVICIO PÚBLICO. Además de los principios generales consagrados en la Constitución Política, son reglas del servicio público de salud, rectoras del Sistema General de Seguridad Social en Salud las siguientes:</w:t>
      </w:r>
    </w:p>
    <w:p w14:paraId="698199EE"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2BFB3194"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3. Protección integral. El Sistema General de Seguridad</w:t>
      </w:r>
      <w:r w:rsidRPr="00B16951">
        <w:rPr>
          <w:rFonts w:ascii="Verdana" w:hAnsi="Verdana"/>
          <w:sz w:val="22"/>
          <w:szCs w:val="22"/>
        </w:rPr>
        <w:t> </w:t>
      </w:r>
      <w:r w:rsidRPr="00B16951">
        <w:rPr>
          <w:rFonts w:ascii="Verdana" w:hAnsi="Verdana"/>
          <w:i/>
          <w:iCs/>
          <w:sz w:val="22"/>
          <w:szCs w:val="22"/>
        </w:rPr>
        <w:t>Social en Salud brindará atención en salud integral a la población en sus fases de educación, información y fomento de la salud y la prevención, diagnóstico, tratamiento y rehabilitación, en cantidad, oportunidad, calidad y eficiencia de conformidad con lo previsto en el artículo 1623110 respecto del Plan Obligatorio de Salud.</w:t>
      </w:r>
    </w:p>
    <w:p w14:paraId="5EA9C6BE"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323A47E8"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9. Calidad. El sistema establecerá mecanismos de control a los servicios para garantizar a los usuarios la calidad en la atención oportuna, personalizada, humanizada, integral, continua y de acuerdo con estándares aceptados en procedimientos y práctica profesional.</w:t>
      </w:r>
    </w:p>
    <w:p w14:paraId="00E563CE"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De acuerdo con la reglamentación que expida el gobierno, las Instituciones Prestadoras deberán estar acreditadas ante las entidades de vigilancia.</w:t>
      </w:r>
    </w:p>
    <w:p w14:paraId="7B32851D"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5C299AFA" w14:textId="05E169D1" w:rsidR="00B16951" w:rsidRPr="00B16951" w:rsidRDefault="00B16951" w:rsidP="00B16951">
      <w:pPr>
        <w:jc w:val="both"/>
        <w:rPr>
          <w:rFonts w:ascii="Verdana" w:hAnsi="Verdana"/>
          <w:sz w:val="22"/>
          <w:szCs w:val="22"/>
        </w:rPr>
      </w:pPr>
      <w:r w:rsidRPr="00B16951">
        <w:rPr>
          <w:rFonts w:ascii="Verdana" w:hAnsi="Verdana"/>
          <w:i/>
          <w:iCs/>
          <w:sz w:val="22"/>
          <w:szCs w:val="22"/>
        </w:rPr>
        <w:t>ARTÍCULO 178. FUNCIONES DE LAS ENTIDADES PROMOTORAS DE SALUD. Las Entidades Promotoras de Salud tendrán las siguientes funciones:</w:t>
      </w:r>
    </w:p>
    <w:p w14:paraId="432B4E59"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lastRenderedPageBreak/>
        <w:t>(...)</w:t>
      </w:r>
    </w:p>
    <w:p w14:paraId="6F698AE4"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3. Organizar la forma y mecanismos a través de los cuales los afiliados y sus familias puedan acceder a los servicios de salud en todo el territorio nacional. Las Empresas Promotoras de Salud tienen la obligación de aceptar a toda persona que solicite afiliación y cumpla con los requisitos de Ley.</w:t>
      </w:r>
    </w:p>
    <w:p w14:paraId="3F022F82"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51E5709B"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Establecer procedimientos para controlar la atención integral, eficiente, oportuna y de calidad en los servicios prestados por las Instituciones Prestadoras de Servicios de Salud.</w:t>
      </w:r>
    </w:p>
    <w:p w14:paraId="6A1DD71A"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15D1F6C3" w14:textId="35F7497C" w:rsidR="00B16951" w:rsidRPr="00B16951" w:rsidRDefault="00B16951" w:rsidP="00B16951">
      <w:pPr>
        <w:jc w:val="both"/>
        <w:rPr>
          <w:rFonts w:ascii="Verdana" w:hAnsi="Verdana"/>
          <w:sz w:val="22"/>
          <w:szCs w:val="22"/>
        </w:rPr>
      </w:pPr>
      <w:r w:rsidRPr="00B16951">
        <w:rPr>
          <w:rFonts w:ascii="Verdana" w:hAnsi="Verdana"/>
          <w:i/>
          <w:iCs/>
          <w:sz w:val="22"/>
          <w:szCs w:val="22"/>
        </w:rPr>
        <w:t>"ARTICULO. 179.-Campo de acción de las entidades promotoras de salud. Para garantizar el plan de salud obligatorio a sus afiliados, las entidades promotoras de salud prestarán directamente o contratarán los servicios de salud con las instituciones prestadoras y los profesionales. Para racionalizar la demanda por servicios, las entidades promotoras de salud podrán adoptar modalidades de contratación y pago tales como capitación, protocolos o presupuestos globales fijos, de tal manera que incentiven las actividades de promoción y prevención y el control de costos. Cada entidad promotora deberá ofrecer a sus afiliados varias alternativas de instituciones prestadoras de salud, salvo cuando la restricción de oferta lo impida, de conformidad con el reglamento que para el efecto expida el consejo nacional de seguridad social en salud.</w:t>
      </w:r>
    </w:p>
    <w:p w14:paraId="32F4430C"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PARAGRAFO.-Las entidades promotoras de salud buscarán mecanismos de agrupamiento de riesgo entre sus afiliados, entre empresas, agremiaciones o asociaciones, o por asentamientos geográficos, de acuerdo con la reglamentación que expida el Gobierno Nacional.</w:t>
      </w:r>
    </w:p>
    <w:p w14:paraId="5FBD03A4"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71419413" w14:textId="504D750F" w:rsidR="00B16951" w:rsidRPr="00B16951" w:rsidRDefault="00B16951" w:rsidP="00B16951">
      <w:pPr>
        <w:jc w:val="both"/>
        <w:rPr>
          <w:rFonts w:ascii="Verdana" w:hAnsi="Verdana"/>
          <w:sz w:val="22"/>
          <w:szCs w:val="22"/>
        </w:rPr>
      </w:pPr>
      <w:r w:rsidRPr="00B16951">
        <w:rPr>
          <w:rFonts w:ascii="Verdana" w:hAnsi="Verdana"/>
          <w:i/>
          <w:iCs/>
          <w:sz w:val="22"/>
          <w:szCs w:val="22"/>
        </w:rPr>
        <w:t>"ARTICULO. 227.-Control y evaluación de la calidad del servicio de salud. Es facultad del Gobierno Nacional expedir las normas relativas a la organización de un sistema obligatorio  de garantía de calidad de la atención de salud, incluyendo la auditoría médica, de obligatorio desarrollo en las entidades promotoras de salud, con el objeto de garantizar la adecuada calidad en la prestación de los servicios. La información producida será de conocimiento público.</w:t>
      </w:r>
    </w:p>
    <w:p w14:paraId="7BDA9383"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0B59F71D" w14:textId="4E92A9C4" w:rsidR="00B16951" w:rsidRPr="00B16951" w:rsidRDefault="00B16951" w:rsidP="00B16951">
      <w:pPr>
        <w:jc w:val="both"/>
        <w:rPr>
          <w:rFonts w:ascii="Verdana" w:hAnsi="Verdana"/>
          <w:sz w:val="22"/>
          <w:szCs w:val="22"/>
        </w:rPr>
      </w:pPr>
      <w:r w:rsidRPr="00B16951">
        <w:rPr>
          <w:rFonts w:ascii="Verdana" w:hAnsi="Verdana"/>
          <w:sz w:val="22"/>
          <w:szCs w:val="22"/>
        </w:rPr>
        <w:t>Por su parte, el Decreto 1011 de 2006, el cual establece el Sistema Obligatorio de Garantía de calidad de Atención en Salud del Sistema General de Seguridad Social en Salud SOGCS), dispuso lo siguiente:</w:t>
      </w:r>
    </w:p>
    <w:p w14:paraId="1569C404"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lastRenderedPageBreak/>
        <w:t>“(…)</w:t>
      </w:r>
    </w:p>
    <w:p w14:paraId="159194F0" w14:textId="2E080161" w:rsidR="00B16951" w:rsidRPr="00B16951" w:rsidRDefault="00B16951" w:rsidP="00B16951">
      <w:pPr>
        <w:jc w:val="both"/>
        <w:rPr>
          <w:rFonts w:ascii="Verdana" w:hAnsi="Verdana"/>
          <w:sz w:val="22"/>
          <w:szCs w:val="22"/>
        </w:rPr>
      </w:pPr>
      <w:r w:rsidRPr="00B16951">
        <w:rPr>
          <w:rFonts w:ascii="Verdana" w:hAnsi="Verdana"/>
          <w:i/>
          <w:iCs/>
          <w:sz w:val="22"/>
          <w:szCs w:val="22"/>
        </w:rPr>
        <w:t>ARTICULO 2o. DEFINICIONES. Para efectos de la aplicación del presente decreto se establecen las siguientes definiciones:</w:t>
      </w:r>
    </w:p>
    <w:p w14:paraId="0D0B799B"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Atención de salud. Se define como el conjunto de servicios que se prestan al usuario en el marco de los procesos propios del aseguramiento, así como de las actividades, procedimientos e intervenciones asistenciales en las fases de promoción y prevención, diagnóstico, tratamiento y rehabilitación que se prestan a toda la población.</w:t>
      </w:r>
    </w:p>
    <w:p w14:paraId="0C44EE8D"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4B805663"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Calidad de la atención de salud. Se entiende como la provisión de servicios de salud a los usuarios individuales y colectivos de manera accesible y equitativa, a través de un nivel profesional óptimo, teniendo en cuenta el balance entre beneficios, riesgos y costos, con el propósito de lograr la adhesión y satisfacción de dichos usuarios.</w:t>
      </w:r>
    </w:p>
    <w:p w14:paraId="157EF287"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422AE15C"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Empresas Administradoras de Planes de Beneficios, EAPB. Se consideran como tales, las Entidades Promotoras de Salud del Régimen Contributivo y del Régimen Subsidiado, (Administradoras del Régimen Subsidiado), Entidades Adaptadas y Empresas de Medicina Prepagada.</w:t>
      </w:r>
    </w:p>
    <w:p w14:paraId="021468BB"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64028D65"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Sistema Obligatorio de Garantía de Calidad de Atención en Salud del Sistema General de Seguridad Social en Salud, SOGCS. Es el conjunto de instituciones, normas, requisitos, mecanismos y procesos deliberados y sistemáticos que desarrolla el sector salud para generar, mantener y mejorar la calidad de los servicios de salud en el país.</w:t>
      </w:r>
    </w:p>
    <w:p w14:paraId="50F75620"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3BAFF2D3" w14:textId="356F8AE2" w:rsidR="00B16951" w:rsidRPr="00B16951" w:rsidRDefault="00B16951" w:rsidP="00B16951">
      <w:pPr>
        <w:jc w:val="both"/>
        <w:rPr>
          <w:rFonts w:ascii="Verdana" w:hAnsi="Verdana"/>
          <w:sz w:val="22"/>
          <w:szCs w:val="22"/>
        </w:rPr>
      </w:pPr>
      <w:r w:rsidRPr="00B16951">
        <w:rPr>
          <w:rFonts w:ascii="Verdana" w:hAnsi="Verdana"/>
          <w:i/>
          <w:iCs/>
          <w:sz w:val="22"/>
          <w:szCs w:val="22"/>
        </w:rPr>
        <w:t>"ARTÍCULO 3o. CARACTERÍSTICAS DEL SOGCS. Las acciones que desarrolle el SOGCS se orientarán a la mejora de los resultados de la atención en salud, centrados en el usuario, que van más allá de la verificación de la existencia de estructura o de la documentación de procesos los cuales solo constituyen prerrequisito para alcanzar los mencionados resultados.</w:t>
      </w:r>
    </w:p>
    <w:p w14:paraId="68036363"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Para efectos de evaluar y mejorar la Calidad de la Atención de Salud, el SOGCS deberá cumplir con las siguientes características:</w:t>
      </w:r>
    </w:p>
    <w:p w14:paraId="6508CBE4"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1. Accesibilidad. Es la posibilidad que tiene el usuario de utilizar los servicios de salud que le garantiza el Sistema General de Seguridad Social en Salud.</w:t>
      </w:r>
    </w:p>
    <w:p w14:paraId="1D82DE7E" w14:textId="77777777" w:rsidR="00B16951" w:rsidRPr="00B16951" w:rsidRDefault="00B16951" w:rsidP="00B16951">
      <w:pPr>
        <w:jc w:val="both"/>
        <w:rPr>
          <w:rFonts w:ascii="Verdana" w:hAnsi="Verdana"/>
          <w:sz w:val="22"/>
          <w:szCs w:val="22"/>
        </w:rPr>
      </w:pPr>
      <w:r w:rsidRPr="00B16951">
        <w:rPr>
          <w:rFonts w:ascii="Verdana" w:hAnsi="Verdana"/>
          <w:i/>
          <w:iCs/>
          <w:sz w:val="22"/>
          <w:szCs w:val="22"/>
          <w:u w:val="single"/>
        </w:rPr>
        <w:lastRenderedPageBreak/>
        <w:t>2. Oportunidad. Es la posibilidad que tiene el usuario de obtener los servicios que requiere, sin que se presenten retrasos que pongan en riesgo su vida o su salud. Esta característica se relaciona con la organización de la oferta de servicios en relación con la demanda y  con el nivel de coordinación institucional para gestionar el acceso a los servicios.</w:t>
      </w:r>
    </w:p>
    <w:p w14:paraId="409E5A7F"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160281FF"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5. Continuidad. Es el grado en el cual los usuarios reciben las intervenciones requeridas, mediante una secuencia lógica y racional de actividades, basada en el conocimiento científico.</w:t>
      </w:r>
    </w:p>
    <w:p w14:paraId="7941CE87" w14:textId="77777777" w:rsidR="00B16951" w:rsidRPr="00B16951" w:rsidRDefault="00B16951" w:rsidP="00B16951">
      <w:pPr>
        <w:jc w:val="both"/>
        <w:rPr>
          <w:rFonts w:ascii="Verdana" w:hAnsi="Verdana"/>
          <w:sz w:val="22"/>
          <w:szCs w:val="22"/>
        </w:rPr>
      </w:pPr>
      <w:r w:rsidRPr="00B16951">
        <w:rPr>
          <w:rFonts w:ascii="Verdana" w:hAnsi="Verdana"/>
          <w:i/>
          <w:iCs/>
          <w:sz w:val="22"/>
          <w:szCs w:val="22"/>
        </w:rPr>
        <w:t>(…)”.</w:t>
      </w:r>
    </w:p>
    <w:p w14:paraId="6C9D0867" w14:textId="77777777" w:rsidR="00B16951" w:rsidRPr="00B16951" w:rsidRDefault="00B16951" w:rsidP="00B16951">
      <w:pPr>
        <w:jc w:val="both"/>
        <w:rPr>
          <w:rFonts w:ascii="Verdana" w:hAnsi="Verdana"/>
          <w:sz w:val="22"/>
          <w:szCs w:val="22"/>
        </w:rPr>
      </w:pPr>
      <w:r w:rsidRPr="00B16951">
        <w:rPr>
          <w:rFonts w:ascii="Verdana" w:hAnsi="Verdana"/>
          <w:b/>
          <w:bCs/>
          <w:sz w:val="22"/>
          <w:szCs w:val="22"/>
        </w:rPr>
        <w:t>3. CONCLUSION</w:t>
      </w:r>
    </w:p>
    <w:p w14:paraId="5F583EE4" w14:textId="77777777" w:rsidR="00B16951" w:rsidRPr="00B16951" w:rsidRDefault="00B16951" w:rsidP="00B16951">
      <w:pPr>
        <w:jc w:val="both"/>
        <w:rPr>
          <w:rFonts w:ascii="Verdana" w:hAnsi="Verdana"/>
          <w:sz w:val="22"/>
          <w:szCs w:val="22"/>
        </w:rPr>
      </w:pPr>
      <w:r w:rsidRPr="00B16951">
        <w:rPr>
          <w:rFonts w:ascii="Verdana" w:hAnsi="Verdana"/>
          <w:sz w:val="22"/>
          <w:szCs w:val="22"/>
        </w:rPr>
        <w:t>En este orden de ideas, y teniendo en cuenta las consideraciones de orden legal expuestas, podemos concluir, que es obligación de las Entidades Promotoras de salud del régimen Subsidiado, autorizar las órdenes generadas por el médico general para definir el estado actual de salud de los niños, niñas o adolescentes que se encuentran en trámite de adopción.</w:t>
      </w:r>
    </w:p>
    <w:p w14:paraId="5771AB2F" w14:textId="77777777" w:rsidR="00B16951" w:rsidRPr="00B16951" w:rsidRDefault="00B16951" w:rsidP="00B16951">
      <w:pPr>
        <w:jc w:val="both"/>
        <w:rPr>
          <w:rFonts w:ascii="Verdana" w:hAnsi="Verdana"/>
          <w:sz w:val="22"/>
          <w:szCs w:val="22"/>
        </w:rPr>
      </w:pPr>
      <w:r w:rsidRPr="00B16951">
        <w:rPr>
          <w:rFonts w:ascii="Verdana" w:hAnsi="Verdana"/>
          <w:sz w:val="22"/>
          <w:szCs w:val="22"/>
        </w:rPr>
        <w:t>Ahora bien, si los servicios ordenados por el médico tratante se encuentran incluidos en el Plan Obligatorio de salud estos deben ser suministrados por parte de la EPS-S, sin dilación alguna; en caso contrario esto es cuando los servicios requeridos por el médico tratante no se encuentran en el Plan Obligatorio de Salud, la EPS deberá someterlos al Comité Técnico Científico de conformidad con la normatividad vigente.</w:t>
      </w:r>
    </w:p>
    <w:p w14:paraId="3EC11BAA" w14:textId="3111283C" w:rsidR="00B16951" w:rsidRPr="00B16951" w:rsidRDefault="00B16951" w:rsidP="00B16951">
      <w:pPr>
        <w:jc w:val="both"/>
        <w:rPr>
          <w:rFonts w:ascii="Verdana" w:hAnsi="Verdana"/>
          <w:sz w:val="22"/>
          <w:szCs w:val="22"/>
        </w:rPr>
      </w:pPr>
      <w:r w:rsidRPr="00B16951">
        <w:rPr>
          <w:rFonts w:ascii="Verdana" w:hAnsi="Verdana"/>
          <w:sz w:val="22"/>
          <w:szCs w:val="22"/>
        </w:rPr>
        <w:t>El presente concepto</w:t>
      </w:r>
      <w:r w:rsidRPr="00B16951">
        <w:rPr>
          <w:rFonts w:ascii="Verdana" w:hAnsi="Verdana"/>
          <w:sz w:val="22"/>
          <w:szCs w:val="22"/>
          <w:vertAlign w:val="subscript"/>
        </w:rPr>
        <w:t>[2]</w:t>
      </w:r>
      <w:r w:rsidRPr="00B16951">
        <w:rPr>
          <w:rFonts w:ascii="Verdana" w:hAnsi="Verdana"/>
          <w:sz w:val="22"/>
          <w:szCs w:val="22"/>
          <w:vertAlign w:val="superscript"/>
        </w:rPr>
        <w:t> </w:t>
      </w:r>
      <w:r w:rsidRPr="00B16951">
        <w:rPr>
          <w:rFonts w:ascii="Verdana" w:hAnsi="Verdana"/>
          <w:sz w:val="22"/>
          <w:szCs w:val="22"/>
        </w:rPr>
        <w:t>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14F30B0" w14:textId="77777777" w:rsidR="00B16951" w:rsidRDefault="00B16951" w:rsidP="00B16951">
      <w:pPr>
        <w:jc w:val="both"/>
        <w:rPr>
          <w:rFonts w:ascii="Verdana" w:hAnsi="Verdana"/>
          <w:sz w:val="22"/>
          <w:szCs w:val="22"/>
        </w:rPr>
      </w:pPr>
      <w:r w:rsidRPr="00B16951">
        <w:rPr>
          <w:rFonts w:ascii="Verdana" w:hAnsi="Verdana"/>
          <w:sz w:val="22"/>
          <w:szCs w:val="22"/>
        </w:rPr>
        <w:t>Atentamente,</w:t>
      </w:r>
    </w:p>
    <w:p w14:paraId="59A2E268" w14:textId="77777777" w:rsidR="00B16951" w:rsidRPr="00B16951" w:rsidRDefault="00B16951" w:rsidP="00B16951">
      <w:pPr>
        <w:jc w:val="both"/>
        <w:rPr>
          <w:rFonts w:ascii="Verdana" w:hAnsi="Verdana"/>
          <w:sz w:val="22"/>
          <w:szCs w:val="22"/>
        </w:rPr>
      </w:pPr>
    </w:p>
    <w:p w14:paraId="260B80F1" w14:textId="77777777" w:rsidR="00B16951" w:rsidRPr="00B16951" w:rsidRDefault="00B16951" w:rsidP="00B16951">
      <w:pPr>
        <w:jc w:val="both"/>
        <w:rPr>
          <w:rFonts w:ascii="Verdana" w:hAnsi="Verdana"/>
          <w:sz w:val="22"/>
          <w:szCs w:val="22"/>
        </w:rPr>
      </w:pPr>
      <w:r w:rsidRPr="00B16951">
        <w:rPr>
          <w:rFonts w:ascii="Verdana" w:hAnsi="Verdana"/>
          <w:b/>
          <w:bCs/>
          <w:sz w:val="22"/>
          <w:szCs w:val="22"/>
        </w:rPr>
        <w:t>LUZ KARIME FERNANDEZ CASTILLO</w:t>
      </w:r>
    </w:p>
    <w:p w14:paraId="225E6F73" w14:textId="77777777" w:rsidR="00B16951" w:rsidRDefault="00B16951" w:rsidP="00B16951">
      <w:pPr>
        <w:jc w:val="both"/>
        <w:rPr>
          <w:rFonts w:ascii="Verdana" w:hAnsi="Verdana"/>
          <w:sz w:val="22"/>
          <w:szCs w:val="22"/>
        </w:rPr>
      </w:pPr>
      <w:r w:rsidRPr="00B16951">
        <w:rPr>
          <w:rFonts w:ascii="Verdana" w:hAnsi="Verdana"/>
          <w:sz w:val="22"/>
          <w:szCs w:val="22"/>
        </w:rPr>
        <w:t>Jefe Oficina Asesora Jurídica</w:t>
      </w:r>
    </w:p>
    <w:p w14:paraId="2693CF82" w14:textId="77777777" w:rsidR="00B16951" w:rsidRPr="00B16951" w:rsidRDefault="00B16951" w:rsidP="00B16951">
      <w:pPr>
        <w:jc w:val="both"/>
        <w:rPr>
          <w:rFonts w:ascii="Verdana" w:hAnsi="Verdana"/>
          <w:sz w:val="22"/>
          <w:szCs w:val="22"/>
        </w:rPr>
      </w:pPr>
    </w:p>
    <w:p w14:paraId="1BE656B6" w14:textId="6676662E" w:rsidR="00B16951" w:rsidRPr="00B16951" w:rsidRDefault="00B16951" w:rsidP="00B16951">
      <w:pPr>
        <w:jc w:val="both"/>
        <w:rPr>
          <w:rFonts w:ascii="Verdana" w:hAnsi="Verdana"/>
          <w:b/>
          <w:bCs/>
          <w:sz w:val="22"/>
          <w:szCs w:val="22"/>
        </w:rPr>
      </w:pPr>
      <w:r w:rsidRPr="00B16951">
        <w:rPr>
          <w:rFonts w:ascii="Verdana" w:hAnsi="Verdana"/>
          <w:b/>
          <w:bCs/>
          <w:sz w:val="22"/>
          <w:szCs w:val="22"/>
        </w:rPr>
        <w:t>Notas de pie de página:</w:t>
      </w:r>
    </w:p>
    <w:p w14:paraId="6E9945FA" w14:textId="72FAFD4A" w:rsidR="00B16951" w:rsidRPr="00B16951" w:rsidRDefault="00B16951" w:rsidP="00B16951">
      <w:pPr>
        <w:jc w:val="both"/>
        <w:rPr>
          <w:rFonts w:ascii="Verdana" w:hAnsi="Verdana"/>
          <w:sz w:val="22"/>
          <w:szCs w:val="22"/>
        </w:rPr>
      </w:pPr>
      <w:r w:rsidRPr="00B16951">
        <w:rPr>
          <w:rFonts w:ascii="Verdana" w:hAnsi="Verdana"/>
          <w:sz w:val="22"/>
          <w:szCs w:val="22"/>
        </w:rPr>
        <w:t>1. Sentencia T. 1015 de 2010.</w:t>
      </w:r>
    </w:p>
    <w:p w14:paraId="091E7B10" w14:textId="03020DB5" w:rsidR="00B16951" w:rsidRPr="00B16951" w:rsidRDefault="00B16951" w:rsidP="00B16951">
      <w:pPr>
        <w:jc w:val="both"/>
        <w:rPr>
          <w:rFonts w:ascii="Verdana" w:hAnsi="Verdana"/>
          <w:sz w:val="22"/>
          <w:szCs w:val="22"/>
        </w:rPr>
      </w:pPr>
      <w:r w:rsidRPr="00B16951">
        <w:rPr>
          <w:rFonts w:ascii="Verdana" w:hAnsi="Verdana"/>
          <w:sz w:val="22"/>
          <w:szCs w:val="22"/>
        </w:rPr>
        <w:t>2.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339DF863" w14:textId="77777777" w:rsidR="00B16951" w:rsidRPr="00B16951" w:rsidRDefault="00B16951" w:rsidP="00B16951">
      <w:pPr>
        <w:jc w:val="both"/>
        <w:rPr>
          <w:rFonts w:ascii="Verdana" w:hAnsi="Verdana"/>
          <w:sz w:val="22"/>
          <w:szCs w:val="22"/>
        </w:rPr>
      </w:pPr>
    </w:p>
    <w:sectPr w:rsidR="00B16951" w:rsidRPr="00B169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51"/>
    <w:rsid w:val="003315DC"/>
    <w:rsid w:val="00B16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C66B"/>
  <w15:chartTrackingRefBased/>
  <w15:docId w15:val="{E3C18919-CE47-4BD4-AE4A-DD106537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6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16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169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169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169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169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69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69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69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69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169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169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169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169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169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69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69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6951"/>
    <w:rPr>
      <w:rFonts w:eastAsiaTheme="majorEastAsia" w:cstheme="majorBidi"/>
      <w:color w:val="272727" w:themeColor="text1" w:themeTint="D8"/>
    </w:rPr>
  </w:style>
  <w:style w:type="paragraph" w:styleId="Ttulo">
    <w:name w:val="Title"/>
    <w:basedOn w:val="Normal"/>
    <w:next w:val="Normal"/>
    <w:link w:val="TtuloCar"/>
    <w:uiPriority w:val="10"/>
    <w:qFormat/>
    <w:rsid w:val="00B16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9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69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69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6951"/>
    <w:pPr>
      <w:spacing w:before="160"/>
      <w:jc w:val="center"/>
    </w:pPr>
    <w:rPr>
      <w:i/>
      <w:iCs/>
      <w:color w:val="404040" w:themeColor="text1" w:themeTint="BF"/>
    </w:rPr>
  </w:style>
  <w:style w:type="character" w:customStyle="1" w:styleId="CitaCar">
    <w:name w:val="Cita Car"/>
    <w:basedOn w:val="Fuentedeprrafopredeter"/>
    <w:link w:val="Cita"/>
    <w:uiPriority w:val="29"/>
    <w:rsid w:val="00B16951"/>
    <w:rPr>
      <w:i/>
      <w:iCs/>
      <w:color w:val="404040" w:themeColor="text1" w:themeTint="BF"/>
    </w:rPr>
  </w:style>
  <w:style w:type="paragraph" w:styleId="Prrafodelista">
    <w:name w:val="List Paragraph"/>
    <w:basedOn w:val="Normal"/>
    <w:uiPriority w:val="34"/>
    <w:qFormat/>
    <w:rsid w:val="00B16951"/>
    <w:pPr>
      <w:ind w:left="720"/>
      <w:contextualSpacing/>
    </w:pPr>
  </w:style>
  <w:style w:type="character" w:styleId="nfasisintenso">
    <w:name w:val="Intense Emphasis"/>
    <w:basedOn w:val="Fuentedeprrafopredeter"/>
    <w:uiPriority w:val="21"/>
    <w:qFormat/>
    <w:rsid w:val="00B16951"/>
    <w:rPr>
      <w:i/>
      <w:iCs/>
      <w:color w:val="2F5496" w:themeColor="accent1" w:themeShade="BF"/>
    </w:rPr>
  </w:style>
  <w:style w:type="paragraph" w:styleId="Citadestacada">
    <w:name w:val="Intense Quote"/>
    <w:basedOn w:val="Normal"/>
    <w:next w:val="Normal"/>
    <w:link w:val="CitadestacadaCar"/>
    <w:uiPriority w:val="30"/>
    <w:qFormat/>
    <w:rsid w:val="00B16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16951"/>
    <w:rPr>
      <w:i/>
      <w:iCs/>
      <w:color w:val="2F5496" w:themeColor="accent1" w:themeShade="BF"/>
    </w:rPr>
  </w:style>
  <w:style w:type="character" w:styleId="Referenciaintensa">
    <w:name w:val="Intense Reference"/>
    <w:basedOn w:val="Fuentedeprrafopredeter"/>
    <w:uiPriority w:val="32"/>
    <w:qFormat/>
    <w:rsid w:val="00B16951"/>
    <w:rPr>
      <w:b/>
      <w:bCs/>
      <w:smallCaps/>
      <w:color w:val="2F5496" w:themeColor="accent1" w:themeShade="BF"/>
      <w:spacing w:val="5"/>
    </w:rPr>
  </w:style>
  <w:style w:type="character" w:styleId="Hipervnculo">
    <w:name w:val="Hyperlink"/>
    <w:basedOn w:val="Fuentedeprrafopredeter"/>
    <w:uiPriority w:val="99"/>
    <w:unhideWhenUsed/>
    <w:rsid w:val="00B16951"/>
    <w:rPr>
      <w:color w:val="0563C1" w:themeColor="hyperlink"/>
      <w:u w:val="single"/>
    </w:rPr>
  </w:style>
  <w:style w:type="character" w:styleId="Mencinsinresolver">
    <w:name w:val="Unresolved Mention"/>
    <w:basedOn w:val="Fuentedeprrafopredeter"/>
    <w:uiPriority w:val="99"/>
    <w:semiHidden/>
    <w:unhideWhenUsed/>
    <w:rsid w:val="00B16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0438A-1715-46E8-AB34-FFBACDEBE250}"/>
</file>

<file path=customXml/itemProps2.xml><?xml version="1.0" encoding="utf-8"?>
<ds:datastoreItem xmlns:ds="http://schemas.openxmlformats.org/officeDocument/2006/customXml" ds:itemID="{CA497A90-CC8C-4A62-BD2C-F58417D827E7}"/>
</file>

<file path=customXml/itemProps3.xml><?xml version="1.0" encoding="utf-8"?>
<ds:datastoreItem xmlns:ds="http://schemas.openxmlformats.org/officeDocument/2006/customXml" ds:itemID="{FCB01314-2840-4BC9-91CF-16306C7C0A1D}"/>
</file>

<file path=docProps/app.xml><?xml version="1.0" encoding="utf-8"?>
<Properties xmlns="http://schemas.openxmlformats.org/officeDocument/2006/extended-properties" xmlns:vt="http://schemas.openxmlformats.org/officeDocument/2006/docPropsVTypes">
  <Template>Normal</Template>
  <TotalTime>1</TotalTime>
  <Pages>1</Pages>
  <Words>1946</Words>
  <Characters>10703</Characters>
  <Application>Microsoft Office Word</Application>
  <DocSecurity>0</DocSecurity>
  <Lines>89</Lines>
  <Paragraphs>25</Paragraphs>
  <ScaleCrop>false</ScaleCrop>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2026-05-21T15:19:00Z</dcterms:created>
  <dcterms:modified xsi:type="dcterms:W3CDTF">2026-05-21T15:20:00Z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