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9CF6" w14:textId="77777777" w:rsidR="00B76C1A" w:rsidRPr="001B2E7D" w:rsidRDefault="00B76C1A" w:rsidP="001B2E7D">
      <w:pPr>
        <w:spacing w:line="276" w:lineRule="auto"/>
        <w:jc w:val="center"/>
        <w:rPr>
          <w:rFonts w:ascii="Verdana" w:hAnsi="Verdana"/>
          <w:sz w:val="22"/>
          <w:szCs w:val="22"/>
        </w:rPr>
      </w:pPr>
      <w:r w:rsidRPr="001B2E7D">
        <w:rPr>
          <w:rFonts w:ascii="Verdana" w:hAnsi="Verdana"/>
          <w:b/>
          <w:bCs/>
          <w:sz w:val="22"/>
          <w:szCs w:val="22"/>
        </w:rPr>
        <w:t>CONCEPTO 161 DE 2014</w:t>
      </w:r>
    </w:p>
    <w:p w14:paraId="595E6321" w14:textId="77777777" w:rsidR="00B76C1A" w:rsidRPr="001B2E7D" w:rsidRDefault="00B76C1A" w:rsidP="001B2E7D">
      <w:pPr>
        <w:spacing w:line="276" w:lineRule="auto"/>
        <w:jc w:val="center"/>
        <w:rPr>
          <w:rFonts w:ascii="Verdana" w:hAnsi="Verdana"/>
          <w:sz w:val="22"/>
          <w:szCs w:val="22"/>
        </w:rPr>
      </w:pPr>
      <w:r w:rsidRPr="001B2E7D">
        <w:rPr>
          <w:rFonts w:ascii="Verdana" w:hAnsi="Verdana"/>
          <w:sz w:val="22"/>
          <w:szCs w:val="22"/>
        </w:rPr>
        <w:t>(noviembre 14)</w:t>
      </w:r>
    </w:p>
    <w:p w14:paraId="4F732899" w14:textId="77777777" w:rsidR="00B76C1A" w:rsidRPr="001B2E7D" w:rsidRDefault="00B76C1A" w:rsidP="001B2E7D">
      <w:pPr>
        <w:spacing w:line="276" w:lineRule="auto"/>
        <w:jc w:val="center"/>
        <w:rPr>
          <w:rFonts w:ascii="Verdana" w:hAnsi="Verdana"/>
          <w:sz w:val="22"/>
          <w:szCs w:val="22"/>
        </w:rPr>
      </w:pPr>
      <w:r w:rsidRPr="001B2E7D">
        <w:rPr>
          <w:rFonts w:ascii="Verdana" w:hAnsi="Verdana"/>
          <w:b/>
          <w:bCs/>
          <w:sz w:val="22"/>
          <w:szCs w:val="22"/>
        </w:rPr>
        <w:t>INSTITUTO COLOMBIANO DE BIENESTAR FAMILIAR – ICBF</w:t>
      </w:r>
    </w:p>
    <w:p w14:paraId="4867E3EA" w14:textId="77777777" w:rsidR="001B2E7D" w:rsidRDefault="001B2E7D" w:rsidP="00B76C1A">
      <w:pPr>
        <w:spacing w:line="276" w:lineRule="auto"/>
        <w:jc w:val="both"/>
        <w:rPr>
          <w:rFonts w:ascii="Verdana" w:hAnsi="Verdana"/>
          <w:sz w:val="22"/>
          <w:szCs w:val="22"/>
        </w:rPr>
      </w:pPr>
    </w:p>
    <w:p w14:paraId="6AF5A3A9" w14:textId="5299F70B" w:rsidR="001B2E7D" w:rsidRPr="001B2E7D" w:rsidRDefault="001B2E7D" w:rsidP="001B2E7D">
      <w:pPr>
        <w:spacing w:line="276" w:lineRule="auto"/>
        <w:jc w:val="both"/>
        <w:rPr>
          <w:rFonts w:ascii="Verdana" w:hAnsi="Verdana"/>
          <w:sz w:val="22"/>
          <w:szCs w:val="22"/>
        </w:rPr>
      </w:pPr>
      <w:r w:rsidRPr="001B2E7D">
        <w:rPr>
          <w:rFonts w:ascii="Verdana" w:hAnsi="Verdana"/>
          <w:b/>
          <w:bCs/>
          <w:sz w:val="22"/>
          <w:szCs w:val="22"/>
        </w:rPr>
        <w:t>PARA:</w:t>
      </w:r>
      <w:r>
        <w:rPr>
          <w:rFonts w:ascii="Verdana" w:hAnsi="Verdana"/>
          <w:b/>
          <w:bCs/>
          <w:sz w:val="22"/>
          <w:szCs w:val="22"/>
        </w:rPr>
        <w:t xml:space="preserve"> </w:t>
      </w:r>
      <w:r w:rsidRPr="001B2E7D">
        <w:rPr>
          <w:rFonts w:ascii="Verdana" w:hAnsi="Verdana"/>
          <w:sz w:val="22"/>
          <w:szCs w:val="22"/>
        </w:rPr>
        <w:t>Coordinadora Jurídica Regional ICBF Valle</w:t>
      </w:r>
    </w:p>
    <w:p w14:paraId="2520EEFB" w14:textId="641BE5D6" w:rsidR="001B2E7D" w:rsidRDefault="001B2E7D" w:rsidP="001B2E7D">
      <w:pPr>
        <w:spacing w:line="276" w:lineRule="auto"/>
        <w:jc w:val="both"/>
        <w:rPr>
          <w:rFonts w:ascii="Verdana" w:hAnsi="Verdana"/>
          <w:sz w:val="22"/>
          <w:szCs w:val="22"/>
        </w:rPr>
      </w:pPr>
      <w:r w:rsidRPr="001B2E7D">
        <w:rPr>
          <w:rFonts w:ascii="Verdana" w:hAnsi="Verdana"/>
          <w:b/>
          <w:bCs/>
          <w:sz w:val="22"/>
          <w:szCs w:val="22"/>
        </w:rPr>
        <w:t>ASUNTO:</w:t>
      </w:r>
      <w:r>
        <w:rPr>
          <w:rFonts w:ascii="Verdana" w:hAnsi="Verdana"/>
          <w:b/>
          <w:bCs/>
          <w:sz w:val="22"/>
          <w:szCs w:val="22"/>
        </w:rPr>
        <w:t xml:space="preserve"> </w:t>
      </w:r>
      <w:r w:rsidRPr="001B2E7D">
        <w:rPr>
          <w:rFonts w:ascii="Verdana" w:hAnsi="Verdana"/>
          <w:sz w:val="22"/>
          <w:szCs w:val="22"/>
        </w:rPr>
        <w:t>Solicitud de concepto sobre la autorización para la venta de inmuebles propiedad de menores de edad ante Notarías.</w:t>
      </w:r>
    </w:p>
    <w:p w14:paraId="6216C4FA" w14:textId="238535A6"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De manera atenta, en atención a la consulta remitida por correo electrónico por la Dra. Leonor Escobar Arboleda, Defensora de Familia y en relación con el asunto de la referencia, en los términos previstos en los artículos 26 del Código Civil, </w:t>
      </w:r>
      <w:proofErr w:type="gramStart"/>
      <w:r w:rsidRPr="001B2E7D">
        <w:rPr>
          <w:rFonts w:ascii="Verdana" w:hAnsi="Verdana"/>
          <w:sz w:val="22"/>
          <w:szCs w:val="22"/>
        </w:rPr>
        <w:t>13  y</w:t>
      </w:r>
      <w:proofErr w:type="gramEnd"/>
      <w:r w:rsidRPr="001B2E7D">
        <w:rPr>
          <w:rFonts w:ascii="Verdana" w:hAnsi="Verdana"/>
          <w:sz w:val="22"/>
          <w:szCs w:val="22"/>
        </w:rPr>
        <w:t xml:space="preserve"> </w:t>
      </w:r>
      <w:proofErr w:type="spellStart"/>
      <w:r w:rsidRPr="001B2E7D">
        <w:rPr>
          <w:rFonts w:ascii="Verdana" w:hAnsi="Verdana"/>
          <w:sz w:val="22"/>
          <w:szCs w:val="22"/>
        </w:rPr>
        <w:t>ss</w:t>
      </w:r>
      <w:proofErr w:type="spellEnd"/>
      <w:r w:rsidRPr="001B2E7D">
        <w:rPr>
          <w:rFonts w:ascii="Verdana" w:hAnsi="Verdana"/>
          <w:sz w:val="22"/>
          <w:szCs w:val="22"/>
        </w:rPr>
        <w:t xml:space="preserve"> de Código de Procedimiento Administrativo y de lo Contencioso Administrativo y 6o, numeral 4, del Decreto 987 de 2012, se responde la solicitud de concepto definitivo sobre el caso en cuestión, en los siguientes términos:</w:t>
      </w:r>
    </w:p>
    <w:p w14:paraId="1E8F937F"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rPr>
        <w:t>1. PROBLEMA JURÍDICO</w:t>
      </w:r>
    </w:p>
    <w:p w14:paraId="051A3F77"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w:t>
      </w:r>
      <w:proofErr w:type="gramStart"/>
      <w:r w:rsidRPr="001B2E7D">
        <w:rPr>
          <w:rFonts w:ascii="Verdana" w:hAnsi="Verdana"/>
          <w:sz w:val="22"/>
          <w:szCs w:val="22"/>
        </w:rPr>
        <w:t>Tiene  el</w:t>
      </w:r>
      <w:proofErr w:type="gramEnd"/>
      <w:r w:rsidRPr="001B2E7D">
        <w:rPr>
          <w:rFonts w:ascii="Verdana" w:hAnsi="Verdana"/>
          <w:sz w:val="22"/>
          <w:szCs w:val="22"/>
        </w:rPr>
        <w:t xml:space="preserve"> Defensor de Familia la función de intervenir ante las Notarías en los trámites de licencias para la enajenación de bienes de propiedad de menores de edad?</w:t>
      </w:r>
    </w:p>
    <w:p w14:paraId="5B0160EA"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rPr>
        <w:t>2. ANÁLISIS DEL PROBLEMA JURÍDICO</w:t>
      </w:r>
    </w:p>
    <w:p w14:paraId="5EEFE30C"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Se abordará el tema analizando: 2.1 El interés superior de los niños, las niñas y los adolescentes. 2.2 Autorización del Juez de Familia para la venta de bienes inmuebles de propiedad de niños, niñas o adolescentes. 2.3 Vigencia del Código General del Proceso sobre el trámite de las licencias judiciales para enajenar bienes de menores de edad, 2.4 El caso en concreto.</w:t>
      </w:r>
    </w:p>
    <w:p w14:paraId="33E62EBC"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u w:val="single"/>
        </w:rPr>
        <w:t>2.1 El Interés Superior de los niños, las niñas y los adolescentes</w:t>
      </w:r>
    </w:p>
    <w:p w14:paraId="209BA0F0"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La Convención sobre los Derechos del Niño en el numeral primero del artículo tercero establece que </w:t>
      </w:r>
      <w:r w:rsidRPr="001B2E7D">
        <w:rPr>
          <w:rFonts w:ascii="Verdana" w:hAnsi="Verdana"/>
          <w:i/>
          <w:iCs/>
          <w:sz w:val="22"/>
          <w:szCs w:val="22"/>
        </w:rPr>
        <w:t>"(...) todas las medidas concernientes a los niños que tomen las instituciones públicas o privadas pe bienestar social, los tribunales, las autoridades administrativas o los órganos legislativos,</w:t>
      </w:r>
      <w:r w:rsidRPr="001B2E7D">
        <w:rPr>
          <w:rFonts w:ascii="Verdana" w:hAnsi="Verdana"/>
          <w:sz w:val="22"/>
          <w:szCs w:val="22"/>
        </w:rPr>
        <w:t> </w:t>
      </w:r>
      <w:r w:rsidRPr="001B2E7D">
        <w:rPr>
          <w:rFonts w:ascii="Verdana" w:hAnsi="Verdana"/>
          <w:i/>
          <w:iCs/>
          <w:sz w:val="22"/>
          <w:szCs w:val="22"/>
          <w:u w:val="single"/>
        </w:rPr>
        <w:t>una consideración primordial a que se </w:t>
      </w:r>
      <w:r w:rsidRPr="001B2E7D">
        <w:rPr>
          <w:rFonts w:ascii="Verdana" w:hAnsi="Verdana"/>
          <w:sz w:val="22"/>
          <w:szCs w:val="22"/>
          <w:u w:val="single"/>
        </w:rPr>
        <w:t>a</w:t>
      </w:r>
      <w:r w:rsidRPr="001B2E7D">
        <w:rPr>
          <w:rFonts w:ascii="Verdana" w:hAnsi="Verdana"/>
          <w:i/>
          <w:iCs/>
          <w:sz w:val="22"/>
          <w:szCs w:val="22"/>
          <w:u w:val="single"/>
        </w:rPr>
        <w:t>tenderá</w:t>
      </w:r>
      <w:r w:rsidRPr="001B2E7D">
        <w:rPr>
          <w:rFonts w:ascii="Verdana" w:hAnsi="Verdana"/>
          <w:sz w:val="22"/>
          <w:szCs w:val="22"/>
          <w:u w:val="single"/>
        </w:rPr>
        <w:t> ser</w:t>
      </w:r>
      <w:r w:rsidRPr="001B2E7D">
        <w:rPr>
          <w:rFonts w:ascii="Verdana" w:hAnsi="Verdana"/>
          <w:i/>
          <w:iCs/>
          <w:sz w:val="22"/>
          <w:szCs w:val="22"/>
          <w:u w:val="single"/>
        </w:rPr>
        <w:t>á el interés superior del niño</w:t>
      </w:r>
      <w:r w:rsidRPr="001B2E7D">
        <w:rPr>
          <w:rFonts w:ascii="Verdana" w:hAnsi="Verdana"/>
          <w:sz w:val="22"/>
          <w:szCs w:val="22"/>
        </w:rPr>
        <w:t>" (subrayado fuera de texto).</w:t>
      </w:r>
    </w:p>
    <w:p w14:paraId="0D79EB56" w14:textId="1492142C"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La Constitución Política en el artículo 44 enuncia cuáles son los derechos fundamentales de los niños y estipula que la familia, la sociedad y el Estado tienen la obligación de asistirlos y protegerlos, para garantizarles su desarrollo </w:t>
      </w:r>
      <w:r w:rsidRPr="001B2E7D">
        <w:rPr>
          <w:rFonts w:ascii="Verdana" w:hAnsi="Verdana"/>
          <w:sz w:val="22"/>
          <w:szCs w:val="22"/>
        </w:rPr>
        <w:lastRenderedPageBreak/>
        <w:t>armónico e integral y el ejercicio pleno de sus derechos. Así mismo contempla que los derechos de los niños prevalecen sobre los derechos de los demás.</w:t>
      </w:r>
    </w:p>
    <w:p w14:paraId="1945F50C" w14:textId="5078CD13"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Por su parte, en el artículo 8 del Código de la Infancia y la </w:t>
      </w:r>
      <w:proofErr w:type="gramStart"/>
      <w:r w:rsidRPr="001B2E7D">
        <w:rPr>
          <w:rFonts w:ascii="Verdana" w:hAnsi="Verdana"/>
          <w:sz w:val="22"/>
          <w:szCs w:val="22"/>
        </w:rPr>
        <w:t>Adolescencia</w:t>
      </w:r>
      <w:r w:rsidRPr="001B2E7D">
        <w:rPr>
          <w:rFonts w:ascii="Verdana" w:hAnsi="Verdana"/>
          <w:sz w:val="22"/>
          <w:szCs w:val="22"/>
          <w:vertAlign w:val="subscript"/>
        </w:rPr>
        <w:t>[</w:t>
      </w:r>
      <w:proofErr w:type="gramEnd"/>
      <w:r w:rsidRPr="001B2E7D">
        <w:rPr>
          <w:rFonts w:ascii="Verdana" w:hAnsi="Verdana"/>
          <w:sz w:val="22"/>
          <w:szCs w:val="22"/>
          <w:vertAlign w:val="subscript"/>
        </w:rPr>
        <w:t>1]</w:t>
      </w:r>
      <w:r w:rsidRPr="001B2E7D">
        <w:rPr>
          <w:rFonts w:ascii="Verdana" w:hAnsi="Verdana"/>
          <w:sz w:val="22"/>
          <w:szCs w:val="22"/>
        </w:rPr>
        <w:t> se define el interés superior de los niños, las niñas y los adolescentes como </w:t>
      </w:r>
      <w:r w:rsidRPr="001B2E7D">
        <w:rPr>
          <w:rFonts w:ascii="Verdana" w:hAnsi="Verdana"/>
          <w:i/>
          <w:iCs/>
          <w:sz w:val="22"/>
          <w:szCs w:val="22"/>
        </w:rPr>
        <w:t>“(…) el imperativo que obliga a todas las personas a garantizar la satisfacción integral y simultánea de todos sus derechos humanos que son universales, prevalentes e interdependientes”.</w:t>
      </w:r>
    </w:p>
    <w:p w14:paraId="2BD686AE"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En ese sentido, la Corte Constitucional ha precisado que todas las actuaciones que realicen las </w:t>
      </w:r>
      <w:proofErr w:type="gramStart"/>
      <w:r w:rsidRPr="001B2E7D">
        <w:rPr>
          <w:rFonts w:ascii="Verdana" w:hAnsi="Verdana"/>
          <w:sz w:val="22"/>
          <w:szCs w:val="22"/>
        </w:rPr>
        <w:t>autoridades públicas</w:t>
      </w:r>
      <w:proofErr w:type="gramEnd"/>
      <w:r w:rsidRPr="001B2E7D">
        <w:rPr>
          <w:rFonts w:ascii="Verdana" w:hAnsi="Verdana"/>
          <w:sz w:val="22"/>
          <w:szCs w:val="22"/>
        </w:rPr>
        <w:t xml:space="preserve"> en las que se encuentren involucrados niños, niñas o adolescentes deben estar orientadas por el principio del interés superior.</w:t>
      </w:r>
      <w:r w:rsidRPr="001B2E7D">
        <w:rPr>
          <w:rFonts w:ascii="Verdana" w:hAnsi="Verdana"/>
          <w:sz w:val="22"/>
          <w:szCs w:val="22"/>
          <w:vertAlign w:val="subscript"/>
        </w:rPr>
        <w:t>[2]</w:t>
      </w:r>
    </w:p>
    <w:p w14:paraId="5FF99953"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En efecto, la Corte ha afirmado que </w:t>
      </w:r>
      <w:r w:rsidRPr="001B2E7D">
        <w:rPr>
          <w:rFonts w:ascii="Verdana" w:hAnsi="Verdana"/>
          <w:i/>
          <w:iCs/>
          <w:sz w:val="22"/>
          <w:szCs w:val="22"/>
        </w:rPr>
        <w:t>“el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que es tanto sujeto digno de be ser atendido por la familia, la sociedad y el Estado con todo el cuidado que requiere su situación personal.</w:t>
      </w:r>
      <w:r w:rsidRPr="001B2E7D">
        <w:rPr>
          <w:rFonts w:ascii="Verdana" w:hAnsi="Verdana"/>
          <w:i/>
          <w:iCs/>
          <w:sz w:val="22"/>
          <w:szCs w:val="22"/>
          <w:vertAlign w:val="subscript"/>
        </w:rPr>
        <w:t>[3]</w:t>
      </w:r>
    </w:p>
    <w:p w14:paraId="057BF65F"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Así mismo, sostuvo que: </w:t>
      </w:r>
      <w:r w:rsidRPr="001B2E7D">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1B2E7D">
        <w:rPr>
          <w:rFonts w:ascii="Verdana" w:hAnsi="Verdana"/>
          <w:i/>
          <w:iCs/>
          <w:sz w:val="22"/>
          <w:szCs w:val="22"/>
          <w:vertAlign w:val="subscript"/>
        </w:rPr>
        <w:t>[4]</w:t>
      </w:r>
    </w:p>
    <w:p w14:paraId="7FA75F98"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De otra parte, en el estatuto Integral del Defensor de Familia respecto al interés superior del niño, la niña y el adolescente se señala que </w:t>
      </w:r>
      <w:r w:rsidRPr="001B2E7D">
        <w:rPr>
          <w:rFonts w:ascii="Verdana" w:hAnsi="Verdana"/>
          <w:i/>
          <w:iCs/>
          <w:sz w:val="22"/>
          <w:szCs w:val="22"/>
        </w:rPr>
        <w:t xml:space="preserve">“(…) se ve reflejado en una norma ampliamente aceptada por el derecho internacional, consistente en que a los menores de edad se les debe otorgar un trato preferente, acorde con su caracterización jurídica en tanto sujeto de especial protección, de forma tal </w:t>
      </w:r>
      <w:r w:rsidRPr="001B2E7D">
        <w:rPr>
          <w:rFonts w:ascii="Verdana" w:hAnsi="Verdana"/>
          <w:i/>
          <w:iCs/>
          <w:sz w:val="22"/>
          <w:szCs w:val="22"/>
        </w:rPr>
        <w:lastRenderedPageBreak/>
        <w:t>que se garantice su desarrollo integral y armónico como miembro de la sociedad (…)”.</w:t>
      </w:r>
    </w:p>
    <w:p w14:paraId="530B3631"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u w:val="single"/>
        </w:rPr>
        <w:t>2.2 Autorización del juez de familia para la venta de bienes inmuebles de propiedad de niños, niñas o adolescentes.</w:t>
      </w:r>
    </w:p>
    <w:p w14:paraId="702AC5E6"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Es importante iniciar este estudio mencionando: que los representantes legales de niñas y adolescentes que administran sus </w:t>
      </w:r>
      <w:proofErr w:type="gramStart"/>
      <w:r w:rsidRPr="001B2E7D">
        <w:rPr>
          <w:rFonts w:ascii="Verdana" w:hAnsi="Verdana"/>
          <w:sz w:val="22"/>
          <w:szCs w:val="22"/>
        </w:rPr>
        <w:t>bienes,</w:t>
      </w:r>
      <w:proofErr w:type="gramEnd"/>
      <w:r w:rsidRPr="001B2E7D">
        <w:rPr>
          <w:rFonts w:ascii="Verdana" w:hAnsi="Verdana"/>
          <w:sz w:val="22"/>
          <w:szCs w:val="22"/>
        </w:rPr>
        <w:t xml:space="preserve"> no gozan de la misma autonomía de la que disponen con sus propios bienes, como quiera que el derecho de administración se otorga esencialmente en beneficio de los menores de edad, por lo que su rol debe ir encaminado a proteger el patrimonio de los incapaces.</w:t>
      </w:r>
    </w:p>
    <w:p w14:paraId="33F6E910" w14:textId="19C64049"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En efecto, siempre que se pretenda enajenar o gravar bienes raíces del incapaz, se debe obtener autorización del Juez de Familia, quien con conocimiento de causa, por los trámites del proceso de jurisdicción voluntaria contemplado en los artículos 649</w:t>
      </w:r>
      <w:r w:rsidRPr="001B2E7D">
        <w:rPr>
          <w:rFonts w:ascii="Verdana" w:hAnsi="Verdana"/>
          <w:sz w:val="22"/>
          <w:szCs w:val="22"/>
          <w:vertAlign w:val="subscript"/>
        </w:rPr>
        <w:t>[5]</w:t>
      </w:r>
      <w:r w:rsidRPr="001B2E7D">
        <w:rPr>
          <w:rFonts w:ascii="Verdana" w:hAnsi="Verdana"/>
          <w:sz w:val="22"/>
          <w:szCs w:val="22"/>
        </w:rPr>
        <w:t> y siguientes del Código de Procedimiento Civil, evaluará la conveniencia del acto dispositivo para los intereses del menor de edad; luego la actuación ante el juzgador debe dirigirse a demostrar la utilidad o necesidad de la enajenación o el gravamen del bien para el incapaz.</w:t>
      </w:r>
    </w:p>
    <w:p w14:paraId="2257E2DB" w14:textId="324D3CDE"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El Art. 303 del Código Civil, prescribe en torno a la licencia judicial para enajenar bienes de menores de edad que: </w:t>
      </w:r>
      <w:r w:rsidRPr="001B2E7D">
        <w:rPr>
          <w:rFonts w:ascii="Verdana" w:hAnsi="Verdana"/>
          <w:i/>
          <w:iCs/>
          <w:sz w:val="22"/>
          <w:szCs w:val="22"/>
        </w:rPr>
        <w:t>"(...) no se podrán enajenar ni hipotecar en caso alguno</w:t>
      </w:r>
      <w:r w:rsidRPr="001B2E7D">
        <w:rPr>
          <w:rFonts w:ascii="Verdana" w:hAnsi="Verdana"/>
          <w:sz w:val="22"/>
          <w:szCs w:val="22"/>
        </w:rPr>
        <w:t> </w:t>
      </w:r>
      <w:r w:rsidRPr="001B2E7D">
        <w:rPr>
          <w:rFonts w:ascii="Verdana" w:hAnsi="Verdana"/>
          <w:i/>
          <w:iCs/>
          <w:sz w:val="22"/>
          <w:szCs w:val="22"/>
        </w:rPr>
        <w:t>los</w:t>
      </w:r>
      <w:r w:rsidRPr="001B2E7D">
        <w:rPr>
          <w:rFonts w:ascii="Verdana" w:hAnsi="Verdana"/>
          <w:sz w:val="22"/>
          <w:szCs w:val="22"/>
        </w:rPr>
        <w:t> </w:t>
      </w:r>
      <w:r w:rsidRPr="001B2E7D">
        <w:rPr>
          <w:rFonts w:ascii="Verdana" w:hAnsi="Verdana"/>
          <w:i/>
          <w:iCs/>
          <w:sz w:val="22"/>
          <w:szCs w:val="22"/>
        </w:rPr>
        <w:t>bienes raíces del hijo, aun pertenecientes a su peculio profesional, sin autorización del juez, con conocimiento de causa (...)”.</w:t>
      </w:r>
    </w:p>
    <w:p w14:paraId="20A6AF72" w14:textId="77777777" w:rsidR="00B76C1A" w:rsidRPr="001B2E7D" w:rsidRDefault="00B76C1A" w:rsidP="00B76C1A">
      <w:pPr>
        <w:spacing w:line="276" w:lineRule="auto"/>
        <w:jc w:val="both"/>
        <w:rPr>
          <w:rFonts w:ascii="Verdana" w:hAnsi="Verdana"/>
          <w:sz w:val="22"/>
          <w:szCs w:val="22"/>
        </w:rPr>
      </w:pPr>
      <w:proofErr w:type="gramStart"/>
      <w:r w:rsidRPr="001B2E7D">
        <w:rPr>
          <w:rFonts w:ascii="Verdana" w:hAnsi="Verdana"/>
          <w:sz w:val="22"/>
          <w:szCs w:val="22"/>
        </w:rPr>
        <w:t>De acuerdo a</w:t>
      </w:r>
      <w:proofErr w:type="gramEnd"/>
      <w:r w:rsidRPr="001B2E7D">
        <w:rPr>
          <w:rFonts w:ascii="Verdana" w:hAnsi="Verdana"/>
          <w:sz w:val="22"/>
          <w:szCs w:val="22"/>
        </w:rPr>
        <w:t xml:space="preserve"> lo anterior, el representante legal de un niño, niña o adolescente debe acreditar mediante prueba legalmente aducida al proceso de jurisdicción voluntaria, la necesidad o utilidad manifiesta de la venta o la hipoteca, para poder deducir, con base en el soporte básico relevante, la conveniencia de autorizarla, o, en su defecto, la inconveniencia de hacerlo.</w:t>
      </w:r>
    </w:p>
    <w:p w14:paraId="35A5719F" w14:textId="61A37F3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Además, para que se abra paso la autorización judicial de la enajenación de bienes pertenecientes a un menor de edad, deben satisfacerse los requisitos previstos en el artículo 483 del Estatuto Civil, que dispone: </w:t>
      </w:r>
      <w:r w:rsidRPr="001B2E7D">
        <w:rPr>
          <w:rFonts w:ascii="Verdana" w:hAnsi="Verdana"/>
          <w:i/>
          <w:iCs/>
          <w:sz w:val="22"/>
          <w:szCs w:val="22"/>
        </w:rPr>
        <w:t>“No será lícito al tutor o curador, sin previo decreto judicial enajenar los bienes raíces del pupilo ni gravarlos con hipoteca o servidumbre, y enajenar o empeñar los muebles preciosos o que tengan un valor de afección, ni podrá el juez o prefecto autorizar esos actos sino por causa de utilidad o necesidad manifiesta”.</w:t>
      </w:r>
    </w:p>
    <w:p w14:paraId="2704A5FF" w14:textId="339C877A"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Cabe mencionar que el artículo 483 del Código Civil fue derogado por el artículo 119</w:t>
      </w:r>
      <w:r w:rsidRPr="001B2E7D">
        <w:rPr>
          <w:rFonts w:ascii="Verdana" w:hAnsi="Verdana"/>
          <w:sz w:val="22"/>
          <w:szCs w:val="22"/>
          <w:vertAlign w:val="subscript"/>
        </w:rPr>
        <w:t>[6]</w:t>
      </w:r>
      <w:r w:rsidRPr="001B2E7D">
        <w:rPr>
          <w:rFonts w:ascii="Verdana" w:hAnsi="Verdana"/>
          <w:sz w:val="22"/>
          <w:szCs w:val="22"/>
        </w:rPr>
        <w:t> de la Ley 1306 de 2009.</w:t>
      </w:r>
      <w:r w:rsidRPr="001B2E7D">
        <w:rPr>
          <w:rFonts w:ascii="Verdana" w:hAnsi="Verdana"/>
          <w:sz w:val="22"/>
          <w:szCs w:val="22"/>
          <w:vertAlign w:val="subscript"/>
        </w:rPr>
        <w:t>[7]</w:t>
      </w:r>
      <w:r w:rsidRPr="001B2E7D">
        <w:rPr>
          <w:rFonts w:ascii="Verdana" w:hAnsi="Verdana"/>
          <w:sz w:val="22"/>
          <w:szCs w:val="22"/>
        </w:rPr>
        <w:t> Para esta Oficina, la interpretación del artículo 303 del Código Civil debe ser entendida a la luz del artículo 93</w:t>
      </w:r>
      <w:r w:rsidRPr="001B2E7D">
        <w:rPr>
          <w:rFonts w:ascii="Verdana" w:hAnsi="Verdana"/>
          <w:sz w:val="22"/>
          <w:szCs w:val="22"/>
          <w:vertAlign w:val="subscript"/>
        </w:rPr>
        <w:t>[8]</w:t>
      </w:r>
      <w:r w:rsidRPr="001B2E7D">
        <w:rPr>
          <w:rFonts w:ascii="Verdana" w:hAnsi="Verdana"/>
          <w:sz w:val="22"/>
          <w:szCs w:val="22"/>
        </w:rPr>
        <w:t xml:space="preserve"> de la Ley 1306 de 2009, norma que establece que el curador debe obtener autorización judicial cuando los actos onerosos conmutativos de disposición o de </w:t>
      </w:r>
      <w:r w:rsidRPr="001B2E7D">
        <w:rPr>
          <w:rFonts w:ascii="Verdana" w:hAnsi="Verdana"/>
          <w:sz w:val="22"/>
          <w:szCs w:val="22"/>
        </w:rPr>
        <w:lastRenderedPageBreak/>
        <w:t>enajenación que realice en representación de su pupilo, diferentes al giro ordinario de sus negocios, cuando estos superen 50 salarios mínimos legales vigentes.</w:t>
      </w:r>
    </w:p>
    <w:p w14:paraId="7860FB2E"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Sobre el tema de la utilidad o necesidad manifiesta, el tratadista Fernando Vélez en su obra </w:t>
      </w:r>
      <w:r w:rsidRPr="001B2E7D">
        <w:rPr>
          <w:rFonts w:ascii="Verdana" w:hAnsi="Verdana"/>
          <w:i/>
          <w:iCs/>
          <w:sz w:val="22"/>
          <w:szCs w:val="22"/>
        </w:rPr>
        <w:t xml:space="preserve">“ESTUDIO SOBRE DERECHO CIVIL COLOMBIANO”; Libro Primero, de las Personas, </w:t>
      </w:r>
      <w:proofErr w:type="spellStart"/>
      <w:r w:rsidRPr="001B2E7D">
        <w:rPr>
          <w:rFonts w:ascii="Verdana" w:hAnsi="Verdana"/>
          <w:i/>
          <w:iCs/>
          <w:sz w:val="22"/>
          <w:szCs w:val="22"/>
        </w:rPr>
        <w:t>Pag.</w:t>
      </w:r>
      <w:proofErr w:type="spellEnd"/>
      <w:r w:rsidRPr="001B2E7D">
        <w:rPr>
          <w:rFonts w:ascii="Verdana" w:hAnsi="Verdana"/>
          <w:i/>
          <w:iCs/>
          <w:sz w:val="22"/>
          <w:szCs w:val="22"/>
        </w:rPr>
        <w:t xml:space="preserve"> 163, dice:</w:t>
      </w:r>
    </w:p>
    <w:p w14:paraId="3B9101DB" w14:textId="3FF89C9D" w:rsidR="00B76C1A" w:rsidRPr="001B2E7D" w:rsidRDefault="00B76C1A" w:rsidP="00B76C1A">
      <w:pPr>
        <w:spacing w:line="276" w:lineRule="auto"/>
        <w:jc w:val="both"/>
        <w:rPr>
          <w:rFonts w:ascii="Verdana" w:hAnsi="Verdana"/>
          <w:sz w:val="22"/>
          <w:szCs w:val="22"/>
        </w:rPr>
      </w:pPr>
      <w:r w:rsidRPr="001B2E7D">
        <w:rPr>
          <w:rFonts w:ascii="Verdana" w:hAnsi="Verdana"/>
          <w:i/>
          <w:iCs/>
          <w:sz w:val="22"/>
          <w:szCs w:val="22"/>
        </w:rPr>
        <w:t xml:space="preserve">“(…) el Juez no puede autorizar dichos actos o contratos sino por causa de utilidad o necesidad manifiesta. El artículo 1810, que se refiere a la enajenación o </w:t>
      </w:r>
      <w:proofErr w:type="spellStart"/>
      <w:r w:rsidRPr="001B2E7D">
        <w:rPr>
          <w:rFonts w:ascii="Verdana" w:hAnsi="Verdana"/>
          <w:i/>
          <w:iCs/>
          <w:sz w:val="22"/>
          <w:szCs w:val="22"/>
        </w:rPr>
        <w:t>hipotecación</w:t>
      </w:r>
      <w:proofErr w:type="spellEnd"/>
      <w:r w:rsidRPr="001B2E7D">
        <w:rPr>
          <w:rFonts w:ascii="Verdana" w:hAnsi="Verdana"/>
          <w:i/>
          <w:iCs/>
          <w:sz w:val="22"/>
          <w:szCs w:val="22"/>
        </w:rPr>
        <w:t xml:space="preserve"> de inmuebles de la mujer casada habla de necesidad o utilidad manifiesta que parece lo correcto, pues en el particular lo que debe calificarse es la unidad y no la necesidad desde que toda necesidad por su naturaleza es manifiesta.</w:t>
      </w:r>
    </w:p>
    <w:p w14:paraId="450108FF" w14:textId="77777777" w:rsidR="00B76C1A" w:rsidRPr="001B2E7D" w:rsidRDefault="00B76C1A" w:rsidP="00B76C1A">
      <w:pPr>
        <w:spacing w:line="276" w:lineRule="auto"/>
        <w:jc w:val="both"/>
        <w:rPr>
          <w:rFonts w:ascii="Verdana" w:hAnsi="Verdana"/>
          <w:sz w:val="22"/>
          <w:szCs w:val="22"/>
        </w:rPr>
      </w:pPr>
      <w:r w:rsidRPr="001B2E7D">
        <w:rPr>
          <w:rFonts w:ascii="Verdana" w:hAnsi="Verdana"/>
          <w:i/>
          <w:iCs/>
          <w:sz w:val="22"/>
          <w:szCs w:val="22"/>
        </w:rPr>
        <w:t>“Habría necesidad de enajenar o hipotecar un inmueble del pupilo, cuando se tratara, por ejemplo, de satisfacer una deuda, o del restablecimiento de su salud y aun de sus gastos de manutención, si no había otros recursos para atender a esto (…)</w:t>
      </w:r>
    </w:p>
    <w:p w14:paraId="53C301B1" w14:textId="77777777" w:rsidR="00B76C1A" w:rsidRPr="001B2E7D" w:rsidRDefault="00B76C1A" w:rsidP="00B76C1A">
      <w:pPr>
        <w:spacing w:line="276" w:lineRule="auto"/>
        <w:jc w:val="both"/>
        <w:rPr>
          <w:rFonts w:ascii="Verdana" w:hAnsi="Verdana"/>
          <w:sz w:val="22"/>
          <w:szCs w:val="22"/>
        </w:rPr>
      </w:pPr>
      <w:r w:rsidRPr="001B2E7D">
        <w:rPr>
          <w:rFonts w:ascii="Verdana" w:hAnsi="Verdana"/>
          <w:i/>
          <w:iCs/>
          <w:sz w:val="22"/>
          <w:szCs w:val="22"/>
        </w:rPr>
        <w:t>“Habría utilidad manifiesta para el pupilo, cuando del acto de que se tratara, le resultase un provecho seguro y relativamente considerable”.</w:t>
      </w:r>
    </w:p>
    <w:p w14:paraId="7B24C215" w14:textId="77777777" w:rsidR="00B76C1A" w:rsidRPr="001B2E7D" w:rsidRDefault="00B76C1A" w:rsidP="00B76C1A">
      <w:pPr>
        <w:spacing w:line="276" w:lineRule="auto"/>
        <w:jc w:val="both"/>
        <w:rPr>
          <w:rFonts w:ascii="Verdana" w:hAnsi="Verdana"/>
          <w:sz w:val="22"/>
          <w:szCs w:val="22"/>
        </w:rPr>
      </w:pPr>
      <w:r w:rsidRPr="001B2E7D">
        <w:rPr>
          <w:rFonts w:ascii="Verdana" w:hAnsi="Verdana"/>
          <w:i/>
          <w:iCs/>
          <w:sz w:val="22"/>
          <w:szCs w:val="22"/>
        </w:rPr>
        <w:t>“Es más fácil apreciar la necesidad que la utilidad, porque aquella se basa en carencia de medios para hacer un gasto indispensable, sin ocurrir a los inmuebles del pupilo, mientras que esta puede decirse que depende de cálculos acerca de las consecuencias de un negocio. De aquí que el Juez para estimar la utilidad, debe hacer un estudio prolijo y detenido de las circunstancias del acto que se pretenda, para evitar perjuicios al pupilo (…)”.</w:t>
      </w:r>
    </w:p>
    <w:p w14:paraId="4C369737" w14:textId="3EF7D1CC"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Nótese que </w:t>
      </w:r>
      <w:proofErr w:type="gramStart"/>
      <w:r w:rsidRPr="001B2E7D">
        <w:rPr>
          <w:rFonts w:ascii="Verdana" w:hAnsi="Verdana"/>
          <w:sz w:val="22"/>
          <w:szCs w:val="22"/>
        </w:rPr>
        <w:t>de acuerdo a</w:t>
      </w:r>
      <w:proofErr w:type="gramEnd"/>
      <w:r w:rsidRPr="001B2E7D">
        <w:rPr>
          <w:rFonts w:ascii="Verdana" w:hAnsi="Verdana"/>
          <w:sz w:val="22"/>
          <w:szCs w:val="22"/>
        </w:rPr>
        <w:t xml:space="preserve"> la citada normatividad actualmente el único funcionario competente para autorizar la enajenación de bienes raíces de menores de edad es la autoridad judicial, en este caso el Juez de Familia, </w:t>
      </w:r>
      <w:proofErr w:type="gramStart"/>
      <w:r w:rsidRPr="001B2E7D">
        <w:rPr>
          <w:rFonts w:ascii="Verdana" w:hAnsi="Verdana"/>
          <w:sz w:val="22"/>
          <w:szCs w:val="22"/>
        </w:rPr>
        <w:t>de acuerdo a</w:t>
      </w:r>
      <w:proofErr w:type="gramEnd"/>
      <w:r w:rsidRPr="001B2E7D">
        <w:rPr>
          <w:rFonts w:ascii="Verdana" w:hAnsi="Verdana"/>
          <w:sz w:val="22"/>
          <w:szCs w:val="22"/>
        </w:rPr>
        <w:t xml:space="preserve"> la competencia otorgada por el numeral 13 del artículo 5 del Decreto 2272 de 1989.</w:t>
      </w:r>
    </w:p>
    <w:p w14:paraId="6553EEEC"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u w:val="single"/>
        </w:rPr>
        <w:t>2.3 Vigencia del Código General del Proceso sobre el trámite de las licencias judiciales para enajenar bienes de menores de edad.</w:t>
      </w:r>
    </w:p>
    <w:p w14:paraId="6001BAAF" w14:textId="0B65C431"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El numeral 13 del artículo 21 del Código General del Proceso le atribuye al Juez de Familia en única instancia la competencia para adelantar </w:t>
      </w:r>
      <w:r w:rsidRPr="001B2E7D">
        <w:rPr>
          <w:rFonts w:ascii="Verdana" w:hAnsi="Verdana"/>
          <w:i/>
          <w:iCs/>
          <w:sz w:val="22"/>
          <w:szCs w:val="22"/>
        </w:rPr>
        <w:t>“(…) la licencia para disponer o gravar bienes”.</w:t>
      </w:r>
    </w:p>
    <w:p w14:paraId="3D63BB71" w14:textId="3F4DC47F"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A su turno, el artículo 577 </w:t>
      </w:r>
      <w:proofErr w:type="spellStart"/>
      <w:r w:rsidRPr="001B2E7D">
        <w:rPr>
          <w:rFonts w:ascii="Verdana" w:hAnsi="Verdana"/>
          <w:sz w:val="22"/>
          <w:szCs w:val="22"/>
        </w:rPr>
        <w:t>ibídem</w:t>
      </w:r>
      <w:proofErr w:type="spellEnd"/>
      <w:r w:rsidRPr="001B2E7D">
        <w:rPr>
          <w:rFonts w:ascii="Verdana" w:hAnsi="Verdana"/>
          <w:sz w:val="22"/>
          <w:szCs w:val="22"/>
        </w:rPr>
        <w:t xml:space="preserve">, indica que las licencias que soliciten el padre o madre de familia o los guardadores para enajenar o gravar bienes de sus representados, o para realizar otros actos que interesen a estos, en los casos en </w:t>
      </w:r>
      <w:r w:rsidRPr="001B2E7D">
        <w:rPr>
          <w:rFonts w:ascii="Verdana" w:hAnsi="Verdana"/>
          <w:sz w:val="22"/>
          <w:szCs w:val="22"/>
        </w:rPr>
        <w:lastRenderedPageBreak/>
        <w:t>que el Código Civil u otras leyes la exijan, tendrá un trámite de jurisdicción voluntaria.</w:t>
      </w:r>
    </w:p>
    <w:p w14:paraId="361ABF29" w14:textId="04F02CAE"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Por su parte, el artículo 617 de la Ley 1564 de 2012 estableció sin perjuicio de las competencias establecidas a los jueces, que los notarios tendrán la facultad de conocer y tramitar varios procedimientos entre ellos el de la autorización para enajenar bienes de los incapaces, sean estos mayores o menores de edad, de conformidad con el artículo 581 de esa misma normatividad.</w:t>
      </w:r>
    </w:p>
    <w:p w14:paraId="3B244AF5"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Sobre este punto debe destacarse que el Código General del Proceso no indicó cuál sería el trámite que deben adelantar los notarios en este asunto, motivo por el cual aún no se encuentra reglamentado dicho procedimiento.</w:t>
      </w:r>
    </w:p>
    <w:p w14:paraId="7A5C6248" w14:textId="5F7924E8"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La Ley 564 &lt;sic, es 1564&gt; de 2012 – El Código General del Proceso-, establece en su artículo 618 que corresponde a la Sala Administrativa del Consejo Superior de la Judicatura, con la colaboración del Ministerio de Justicia, la elaboración de un Plan de Implementación del Código, dentro de los seis meses siguientes a la promulgación </w:t>
      </w:r>
      <w:proofErr w:type="gramStart"/>
      <w:r w:rsidRPr="001B2E7D">
        <w:rPr>
          <w:rFonts w:ascii="Verdana" w:hAnsi="Verdana"/>
          <w:sz w:val="22"/>
          <w:szCs w:val="22"/>
        </w:rPr>
        <w:t>del mismo</w:t>
      </w:r>
      <w:proofErr w:type="gramEnd"/>
      <w:r w:rsidRPr="001B2E7D">
        <w:rPr>
          <w:rFonts w:ascii="Verdana" w:hAnsi="Verdana"/>
          <w:sz w:val="22"/>
          <w:szCs w:val="22"/>
        </w:rPr>
        <w:t>.</w:t>
      </w:r>
    </w:p>
    <w:p w14:paraId="453356B9" w14:textId="4E42CB81"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En ese sentido, es preciso aclarar que la Sala Administrativa del Consejo Superior de la Judicatura mediante acuerdo No. PSAA13-10073 del 27 de diciembre de 2013 en aplicación a lo dispuesto en el numeral 6 del artículo 627 del Código General del Proceso, reglamentó la gradualidad para la implementación </w:t>
      </w:r>
      <w:proofErr w:type="gramStart"/>
      <w:r w:rsidRPr="001B2E7D">
        <w:rPr>
          <w:rFonts w:ascii="Verdana" w:hAnsi="Verdana"/>
          <w:sz w:val="22"/>
          <w:szCs w:val="22"/>
        </w:rPr>
        <w:t>del mismo</w:t>
      </w:r>
      <w:proofErr w:type="gramEnd"/>
      <w:r w:rsidRPr="001B2E7D">
        <w:rPr>
          <w:rFonts w:ascii="Verdana" w:hAnsi="Verdana"/>
          <w:sz w:val="22"/>
          <w:szCs w:val="22"/>
        </w:rPr>
        <w:t>, definiendo en su artículo primero el respectivo cronograma nacional.</w:t>
      </w:r>
    </w:p>
    <w:p w14:paraId="5D92C6B4"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Dicho artículo estableció que la implementación gradual del Código General del Proceso sería así: 1.- En Manizales, Florencia, Montería, San Gil, Valledupar y San Andrés a partir del 3 de junio de 2014. 2.- En Armenia, Barranquilla, Arauca, Cali, Cúcuta, Medellín, Pamplona, Santa Rosa de Viterbo y Tunja a partir del 1 de octubre de 2014 y 3.- En Antioquia, Bogotá, Bucaramanga, Buga, Cartagena, Cundinamarca, Ibagué, Mocoa, Neiva, Pasto, Pereira, Popayán, Quibdó, Riohacha, Santa Marta, Sincelejo, Villavicencio y Yopal, a partir del 1 de diciembre de 2015.</w:t>
      </w:r>
    </w:p>
    <w:p w14:paraId="62DDDCE0"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Sin embargo, es importante manifestar que el Consejo Superior de la Judicatura mediante Acuerdo No. PSAA14-10155 del 28 de mayo de 2014, suspendió el cronograma previsto en el Acuerdo PSA13-10073 del 27 de diciembre de 2013.</w:t>
      </w:r>
    </w:p>
    <w:p w14:paraId="746F7662" w14:textId="7AA4F81B"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Por lo anterior, debemos precisar si las normas del Código General del Proceso, que otorgan facultades a los Notarios para tramitar la autorización de enajenación de bienes inmuebles propiedad de menores de edad, se encuentra vigente o no. Respecto de la vigencia en los artículos 617 y 581 del Código General del Proceso, tenemos que:</w:t>
      </w:r>
    </w:p>
    <w:p w14:paraId="731D74DA" w14:textId="5D642D3B"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El Art. 627 de la Ley 1564 de 2012, señala las reglas para la vigencia de la Ley e indica que:</w:t>
      </w:r>
    </w:p>
    <w:p w14:paraId="4C18B4B9" w14:textId="1573DADF" w:rsidR="00B76C1A" w:rsidRPr="001B2E7D" w:rsidRDefault="00B76C1A" w:rsidP="00B76C1A">
      <w:pPr>
        <w:spacing w:line="276" w:lineRule="auto"/>
        <w:jc w:val="both"/>
        <w:rPr>
          <w:rFonts w:ascii="Verdana" w:hAnsi="Verdana"/>
          <w:sz w:val="22"/>
          <w:szCs w:val="22"/>
        </w:rPr>
      </w:pPr>
      <w:r w:rsidRPr="001B2E7D">
        <w:rPr>
          <w:rFonts w:ascii="Verdana" w:hAnsi="Verdana"/>
          <w:i/>
          <w:iCs/>
          <w:sz w:val="22"/>
          <w:szCs w:val="22"/>
        </w:rPr>
        <w:lastRenderedPageBreak/>
        <w:t>“1. Los artículos 24, 31 numeral 2, 33 numeral 2, 206, 467, 610 a 627 entrarán a regir a partir de la promulgación de esta ley”.</w:t>
      </w:r>
      <w:r w:rsidRPr="001B2E7D">
        <w:rPr>
          <w:rFonts w:ascii="Verdana" w:hAnsi="Verdana"/>
          <w:i/>
          <w:iCs/>
          <w:sz w:val="22"/>
          <w:szCs w:val="22"/>
          <w:vertAlign w:val="subscript"/>
        </w:rPr>
        <w:t>[9]</w:t>
      </w:r>
    </w:p>
    <w:p w14:paraId="6AD9FBD7" w14:textId="10ECED1B"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Tal y como se observa, los artículos 610 a 627, entre los cuales se encuentra el artículo 617, están vigentes desde la promulgación de la Ley; esto es desde el 12 de julio de 2012, teniendo en cuenta la suspensión de la implementación gradual de este Código.</w:t>
      </w:r>
    </w:p>
    <w:p w14:paraId="479F50C1" w14:textId="3F1E21D4"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No </w:t>
      </w:r>
      <w:proofErr w:type="gramStart"/>
      <w:r w:rsidRPr="001B2E7D">
        <w:rPr>
          <w:rFonts w:ascii="Verdana" w:hAnsi="Verdana"/>
          <w:sz w:val="22"/>
          <w:szCs w:val="22"/>
        </w:rPr>
        <w:t>obstante</w:t>
      </w:r>
      <w:proofErr w:type="gramEnd"/>
      <w:r w:rsidRPr="001B2E7D">
        <w:rPr>
          <w:rFonts w:ascii="Verdana" w:hAnsi="Verdana"/>
          <w:sz w:val="22"/>
          <w:szCs w:val="22"/>
        </w:rPr>
        <w:t xml:space="preserve"> lo anterior, debe tenerse en cuenta que el numeral 1 del artículo 617 hace remisión expresa al artículo 581 de la misma Ley, el cual regula el trámite judicial de la venta de bienes de menores de edad.</w:t>
      </w:r>
    </w:p>
    <w:p w14:paraId="45E9DA73" w14:textId="0C6CD5D8"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Según lo dispuesto en el artículo 627, la vigencia del artículo 581 se rige por la siguiente regla:</w:t>
      </w:r>
    </w:p>
    <w:p w14:paraId="376E3B8E" w14:textId="77777777" w:rsidR="00B76C1A" w:rsidRPr="001B2E7D" w:rsidRDefault="00B76C1A" w:rsidP="00B76C1A">
      <w:pPr>
        <w:spacing w:line="276" w:lineRule="auto"/>
        <w:jc w:val="both"/>
        <w:rPr>
          <w:rFonts w:ascii="Verdana" w:hAnsi="Verdana"/>
          <w:sz w:val="22"/>
          <w:szCs w:val="22"/>
        </w:rPr>
      </w:pPr>
      <w:r w:rsidRPr="001B2E7D">
        <w:rPr>
          <w:rFonts w:ascii="Verdana" w:hAnsi="Verdana"/>
          <w:i/>
          <w:iCs/>
          <w:sz w:val="22"/>
          <w:szCs w:val="22"/>
        </w:rPr>
        <w:t>“6. Los demás artículos de la presente ley entrarán en vigencia a partir del primero (1o)</w:t>
      </w:r>
      <w:r w:rsidRPr="001B2E7D">
        <w:rPr>
          <w:rFonts w:ascii="Verdana" w:hAnsi="Verdana"/>
          <w:sz w:val="22"/>
          <w:szCs w:val="22"/>
        </w:rPr>
        <w:t> </w:t>
      </w:r>
      <w:r w:rsidRPr="001B2E7D">
        <w:rPr>
          <w:rFonts w:ascii="Verdana" w:hAnsi="Verdana"/>
          <w:i/>
          <w:iCs/>
          <w:sz w:val="22"/>
          <w:szCs w:val="22"/>
        </w:rPr>
        <w:t>de</w:t>
      </w:r>
      <w:r w:rsidRPr="001B2E7D">
        <w:rPr>
          <w:rFonts w:ascii="Verdana" w:hAnsi="Verdana"/>
          <w:sz w:val="22"/>
          <w:szCs w:val="22"/>
        </w:rPr>
        <w:t> </w:t>
      </w:r>
      <w:r w:rsidRPr="001B2E7D">
        <w:rPr>
          <w:rFonts w:ascii="Verdana" w:hAnsi="Verdana"/>
          <w:i/>
          <w:iCs/>
          <w:sz w:val="22"/>
          <w:szCs w:val="22"/>
        </w:rPr>
        <w:t>enero de dos mil catorce (2014), en forma gradual, en la medida en que</w:t>
      </w:r>
      <w:r w:rsidRPr="001B2E7D">
        <w:rPr>
          <w:rFonts w:ascii="Verdana" w:hAnsi="Verdana"/>
          <w:sz w:val="22"/>
          <w:szCs w:val="22"/>
        </w:rPr>
        <w:t> se </w:t>
      </w:r>
      <w:r w:rsidRPr="001B2E7D">
        <w:rPr>
          <w:rFonts w:ascii="Verdana" w:hAnsi="Verdana"/>
          <w:i/>
          <w:iCs/>
          <w:sz w:val="22"/>
          <w:szCs w:val="22"/>
        </w:rPr>
        <w:t>hayan ejecutado los</w:t>
      </w:r>
      <w:r w:rsidRPr="001B2E7D">
        <w:rPr>
          <w:rFonts w:ascii="Verdana" w:hAnsi="Verdana"/>
          <w:sz w:val="22"/>
          <w:szCs w:val="22"/>
        </w:rPr>
        <w:t> </w:t>
      </w:r>
      <w:r w:rsidRPr="001B2E7D">
        <w:rPr>
          <w:rFonts w:ascii="Verdana" w:hAnsi="Verdana"/>
          <w:i/>
          <w:iCs/>
          <w:sz w:val="22"/>
          <w:szCs w:val="22"/>
        </w:rPr>
        <w:t>programas de formación de funcionarios y empleados y se disponga de la infraestructura física y tecnológica del número de despachos judiciales requeridos al día, y de los demás elementos necesarios para el funcionamiento del proceso oral y por audiencias, según lo determine el Consejo Superior de la Judicatura</w:t>
      </w:r>
      <w:r w:rsidRPr="001B2E7D">
        <w:rPr>
          <w:rFonts w:ascii="Verdana" w:hAnsi="Verdana"/>
          <w:sz w:val="22"/>
          <w:szCs w:val="22"/>
        </w:rPr>
        <w:t>, </w:t>
      </w:r>
      <w:r w:rsidRPr="001B2E7D">
        <w:rPr>
          <w:rFonts w:ascii="Verdana" w:hAnsi="Verdana"/>
          <w:i/>
          <w:iCs/>
          <w:sz w:val="22"/>
          <w:szCs w:val="22"/>
        </w:rPr>
        <w:t>y en un plazo máximo de tres (3) años, al final del cual esta ley entrará en vigencia en todos los distritos judiciales del país</w:t>
      </w:r>
      <w:r w:rsidRPr="001B2E7D">
        <w:rPr>
          <w:rFonts w:ascii="Verdana" w:hAnsi="Verdana"/>
          <w:sz w:val="22"/>
          <w:szCs w:val="22"/>
        </w:rPr>
        <w:t>."</w:t>
      </w:r>
    </w:p>
    <w:p w14:paraId="1AEF7EE5"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Es decir que su vigencia está condicionada a cuando estén razonablemente dadas las condiciones para su implementación, según lo determine el Consejo Superior de la Judicatura, quien como antes manifestamos mediante Acuerdo No. PSAA14-10155 del 28 de </w:t>
      </w:r>
      <w:proofErr w:type="gramStart"/>
      <w:r w:rsidRPr="001B2E7D">
        <w:rPr>
          <w:rFonts w:ascii="Verdana" w:hAnsi="Verdana"/>
          <w:sz w:val="22"/>
          <w:szCs w:val="22"/>
        </w:rPr>
        <w:t>Mayo</w:t>
      </w:r>
      <w:proofErr w:type="gramEnd"/>
      <w:r w:rsidRPr="001B2E7D">
        <w:rPr>
          <w:rFonts w:ascii="Verdana" w:hAnsi="Verdana"/>
          <w:sz w:val="22"/>
          <w:szCs w:val="22"/>
        </w:rPr>
        <w:t xml:space="preserve"> de 2014 suspendió el cronograma de implementación del Código General del Proceso previsto en el artículo 1 del Acuerdo PSAA13-10073 del 27 de diciembre de 2013, hasta tanto e| Gobierno Nacional apropie los recursos indispensables y que fueron solicitados, para su </w:t>
      </w:r>
      <w:proofErr w:type="gramStart"/>
      <w:r w:rsidRPr="001B2E7D">
        <w:rPr>
          <w:rFonts w:ascii="Verdana" w:hAnsi="Verdana"/>
          <w:sz w:val="22"/>
          <w:szCs w:val="22"/>
        </w:rPr>
        <w:t>entrada en vigencia</w:t>
      </w:r>
      <w:proofErr w:type="gramEnd"/>
      <w:r w:rsidRPr="001B2E7D">
        <w:rPr>
          <w:rFonts w:ascii="Verdana" w:hAnsi="Verdana"/>
          <w:sz w:val="22"/>
          <w:szCs w:val="22"/>
        </w:rPr>
        <w:t>.</w:t>
      </w:r>
    </w:p>
    <w:p w14:paraId="70E3D587" w14:textId="7DFCD039"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Lo anterior quiere decir que el artículo 581 de la Ley 1561 de 2012 aún no ha </w:t>
      </w:r>
      <w:proofErr w:type="gramStart"/>
      <w:r w:rsidRPr="001B2E7D">
        <w:rPr>
          <w:rFonts w:ascii="Verdana" w:hAnsi="Verdana"/>
          <w:sz w:val="22"/>
          <w:szCs w:val="22"/>
        </w:rPr>
        <w:t>entrado en vigencia</w:t>
      </w:r>
      <w:proofErr w:type="gramEnd"/>
      <w:r w:rsidRPr="001B2E7D">
        <w:rPr>
          <w:rFonts w:ascii="Verdana" w:hAnsi="Verdana"/>
          <w:sz w:val="22"/>
          <w:szCs w:val="22"/>
        </w:rPr>
        <w:t>. En ese sentido, nos encontramos frente a una norma vigente, la cual para su aplicación debe seguir un procedimiento establecido en una norma que no está vigente.</w:t>
      </w:r>
    </w:p>
    <w:p w14:paraId="6F83A10A"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De otra parte y frente al rol que debe desempeñar el Defensor de Familia en éstos trámites, debe decirse que sí bien es cierto el Código General del Proceso no indica expresamente que éste funcionario debe notificarse personalmente del trámite judicial o notarial de licencia judicial para enajenar bienes de menores de edad, y a falta de expedirse la reglamentación respectiva, podría pensarse que en aras del interés superior del niño, y en aplicación de los numerales 3 y </w:t>
      </w:r>
      <w:r w:rsidRPr="001B2E7D">
        <w:rPr>
          <w:rFonts w:ascii="Verdana" w:hAnsi="Verdana"/>
          <w:sz w:val="22"/>
          <w:szCs w:val="22"/>
        </w:rPr>
        <w:lastRenderedPageBreak/>
        <w:t>11 del Código de Infancia y Adolescencia que establece como funciones del Defensor de Familia </w:t>
      </w:r>
      <w:r w:rsidRPr="001B2E7D">
        <w:rPr>
          <w:rFonts w:ascii="Verdana" w:hAnsi="Verdana"/>
          <w:i/>
          <w:iCs/>
          <w:sz w:val="22"/>
          <w:szCs w:val="22"/>
        </w:rPr>
        <w:t>“emitir los conceptos ordenados por la ley, en las actuaciones judiciales o administrativas” y “promover los procesos o trámites judiciales a que haya lugar en defensa de los derechos de los niños, las niñas o los adolescentes e intervenir en los procesos en que se discutan derechos a estos, sin perjuicio de la actuación del Ministerio Público y de la representación judicial a que haya lugar”, </w:t>
      </w:r>
      <w:r w:rsidRPr="001B2E7D">
        <w:rPr>
          <w:rFonts w:ascii="Verdana" w:hAnsi="Verdana"/>
          <w:sz w:val="22"/>
          <w:szCs w:val="22"/>
        </w:rPr>
        <w:t>respectivamente, si el juez o notario solicita su notificación e intervención deberá darse cumplimiento en aras de garantizar los derechos fundamentales de los menores de edad. El Defensor de Familia dentro del ámbito de sus competencias establecerá si a ello hay lugar, la pertinencia o no de pronunciarse sobre el trámite de licencia judicial para enajenar bienes de menores de edad, esto claro está, una vez pueda darse aplicación al nuevo estatuto procesal. (Ley 1564 de 2013</w:t>
      </w:r>
    </w:p>
    <w:p w14:paraId="27C5E65C"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rPr>
        <w:t>2.4 </w:t>
      </w:r>
      <w:r w:rsidRPr="001B2E7D">
        <w:rPr>
          <w:rFonts w:ascii="Verdana" w:hAnsi="Verdana"/>
          <w:b/>
          <w:bCs/>
          <w:sz w:val="22"/>
          <w:szCs w:val="22"/>
          <w:u w:val="single"/>
        </w:rPr>
        <w:t>El caso concreto</w:t>
      </w:r>
    </w:p>
    <w:p w14:paraId="6E231649"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Ante la solicitud remitida por la Notaría 9 de Cali, sobre la emisión de concepto por parte de un trámite de venta de inmueble de un menor de edad en cumplimiento de lo dispuesto por los artículos 617 y 581 del Código General del Proceso a juicio de esta Oficina no es necesario solicitar concepto </w:t>
      </w:r>
      <w:r w:rsidRPr="001B2E7D">
        <w:rPr>
          <w:rFonts w:ascii="Verdana" w:hAnsi="Verdana"/>
          <w:sz w:val="22"/>
          <w:szCs w:val="22"/>
          <w:vertAlign w:val="subscript"/>
        </w:rPr>
        <w:t>[10]</w:t>
      </w:r>
      <w:r w:rsidRPr="001B2E7D">
        <w:rPr>
          <w:rFonts w:ascii="Verdana" w:hAnsi="Verdana"/>
          <w:sz w:val="22"/>
          <w:szCs w:val="22"/>
        </w:rPr>
        <w:t xml:space="preserve"> del Defensor de Familia por parte del Notario en el trámite de licencia judicial para enajenar bienes de menores de edad. No </w:t>
      </w:r>
      <w:proofErr w:type="gramStart"/>
      <w:r w:rsidRPr="001B2E7D">
        <w:rPr>
          <w:rFonts w:ascii="Verdana" w:hAnsi="Verdana"/>
          <w:sz w:val="22"/>
          <w:szCs w:val="22"/>
        </w:rPr>
        <w:t>obstante</w:t>
      </w:r>
      <w:proofErr w:type="gramEnd"/>
      <w:r w:rsidRPr="001B2E7D">
        <w:rPr>
          <w:rFonts w:ascii="Verdana" w:hAnsi="Verdana"/>
          <w:sz w:val="22"/>
          <w:szCs w:val="22"/>
        </w:rPr>
        <w:t xml:space="preserve"> lo anterior, los Notarios podrán requerir a los Defensores de Familia su concepto sobre el trámite de licencia judicial, quienes establecerán la pertinencia o no de pronunciarse al respecto, siempre en cumplimiento y garantía de los derechos fundamentales de los niños, niñas y adolescentes, una vez las mencionadas disposiciones entre &lt;sic&gt; en vigencia, tal cual como se explicó en la parte considerativa del presente concepto.</w:t>
      </w:r>
    </w:p>
    <w:p w14:paraId="531AD791"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rPr>
        <w:t>3. CONCLUSIONES</w:t>
      </w:r>
    </w:p>
    <w:p w14:paraId="47CCC8FE"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Primero. Todas las actuaciones que realicen las </w:t>
      </w:r>
      <w:proofErr w:type="gramStart"/>
      <w:r w:rsidRPr="001B2E7D">
        <w:rPr>
          <w:rFonts w:ascii="Verdana" w:hAnsi="Verdana"/>
          <w:sz w:val="22"/>
          <w:szCs w:val="22"/>
        </w:rPr>
        <w:t>autoridades públicas</w:t>
      </w:r>
      <w:proofErr w:type="gramEnd"/>
      <w:r w:rsidRPr="001B2E7D">
        <w:rPr>
          <w:rFonts w:ascii="Verdana" w:hAnsi="Verdana"/>
          <w:sz w:val="22"/>
          <w:szCs w:val="22"/>
        </w:rPr>
        <w:t xml:space="preserve"> en las que se encuentren involucrados niños, niñas o Adolescentes deben estar orientadas por el principio del interés superior.</w:t>
      </w:r>
    </w:p>
    <w:p w14:paraId="164780A8" w14:textId="61B40123"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Segundo. De conformidad con lo previsto en el artículo 303 del Código Civil, solo podía autorizarse judicialmente la enajenación o hipoteca de un bien inmueble de propiedad un menor de edad, interviniendo el Defensor de Familia en </w:t>
      </w:r>
      <w:proofErr w:type="gramStart"/>
      <w:r w:rsidRPr="001B2E7D">
        <w:rPr>
          <w:rFonts w:ascii="Verdana" w:hAnsi="Verdana"/>
          <w:sz w:val="22"/>
          <w:szCs w:val="22"/>
        </w:rPr>
        <w:t>ésta</w:t>
      </w:r>
      <w:proofErr w:type="gramEnd"/>
      <w:r w:rsidRPr="001B2E7D">
        <w:rPr>
          <w:rFonts w:ascii="Verdana" w:hAnsi="Verdana"/>
          <w:sz w:val="22"/>
          <w:szCs w:val="22"/>
        </w:rPr>
        <w:t xml:space="preserve"> clase de procesos en aras de la protección integral del interés superior del niño, niña o adolescente.</w:t>
      </w:r>
    </w:p>
    <w:p w14:paraId="501F7257"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Tercero. Con la expedición del Código General del Proceso, se estableció </w:t>
      </w:r>
      <w:proofErr w:type="gramStart"/>
      <w:r w:rsidRPr="001B2E7D">
        <w:rPr>
          <w:rFonts w:ascii="Verdana" w:hAnsi="Verdana"/>
          <w:sz w:val="22"/>
          <w:szCs w:val="22"/>
        </w:rPr>
        <w:t>que</w:t>
      </w:r>
      <w:proofErr w:type="gramEnd"/>
      <w:r w:rsidRPr="001B2E7D">
        <w:rPr>
          <w:rFonts w:ascii="Verdana" w:hAnsi="Verdana"/>
          <w:sz w:val="22"/>
          <w:szCs w:val="22"/>
        </w:rPr>
        <w:t xml:space="preserve"> sin perjuicio de las competencias otorgadas a los jueces, los Notarios tendrán la facultad de conocer y tramitar la autorización para enajenar bienes de los </w:t>
      </w:r>
      <w:r w:rsidRPr="001B2E7D">
        <w:rPr>
          <w:rFonts w:ascii="Verdana" w:hAnsi="Verdana"/>
          <w:sz w:val="22"/>
          <w:szCs w:val="22"/>
        </w:rPr>
        <w:lastRenderedPageBreak/>
        <w:t xml:space="preserve">menores de edad. Sin embargo, ésta norma aún no se encuentra vigente, </w:t>
      </w:r>
      <w:proofErr w:type="gramStart"/>
      <w:r w:rsidRPr="001B2E7D">
        <w:rPr>
          <w:rFonts w:ascii="Verdana" w:hAnsi="Verdana"/>
          <w:sz w:val="22"/>
          <w:szCs w:val="22"/>
        </w:rPr>
        <w:t>de acuerdo a</w:t>
      </w:r>
      <w:proofErr w:type="gramEnd"/>
      <w:r w:rsidRPr="001B2E7D">
        <w:rPr>
          <w:rFonts w:ascii="Verdana" w:hAnsi="Verdana"/>
          <w:sz w:val="22"/>
          <w:szCs w:val="22"/>
        </w:rPr>
        <w:t xml:space="preserve"> las consideraciones antes expuestas.</w:t>
      </w:r>
    </w:p>
    <w:p w14:paraId="61724E1E"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Cuarto: Si bien es cierto que el Código General del Proceso no indica expresamente que en el trámite que adelantará el Notario para la licencia para enajenar bienes inmuebles de menores de edad deba notificarse o intervenir el Defensor de Familia, una vez entre en vigencia la mencionada disposición y a falta de su respectiva reglamentación, bien pueden los Notarios solicitar su intervención para que éste funcionario dentro del ámbito de sus competencias, establezca si a ello hay lugar, la pertinencia o no de pronunciarse sobre dicho trámite, en aras garantizar la protección de los derechos de los niños, niñas y adolescentes.</w:t>
      </w:r>
    </w:p>
    <w:p w14:paraId="792BBEEB" w14:textId="3A42F55C"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El presente </w:t>
      </w:r>
      <w:proofErr w:type="gramStart"/>
      <w:r w:rsidRPr="001B2E7D">
        <w:rPr>
          <w:rFonts w:ascii="Verdana" w:hAnsi="Verdana"/>
          <w:sz w:val="22"/>
          <w:szCs w:val="22"/>
        </w:rPr>
        <w:t>concepto</w:t>
      </w:r>
      <w:r w:rsidRPr="001B2E7D">
        <w:rPr>
          <w:rFonts w:ascii="Verdana" w:hAnsi="Verdana"/>
          <w:sz w:val="22"/>
          <w:szCs w:val="22"/>
          <w:vertAlign w:val="subscript"/>
        </w:rPr>
        <w:t>[</w:t>
      </w:r>
      <w:proofErr w:type="gramEnd"/>
      <w:r w:rsidRPr="001B2E7D">
        <w:rPr>
          <w:rFonts w:ascii="Verdana" w:hAnsi="Verdana"/>
          <w:sz w:val="22"/>
          <w:szCs w:val="22"/>
          <w:vertAlign w:val="subscript"/>
        </w:rPr>
        <w:t>11]</w:t>
      </w:r>
      <w:r w:rsidRPr="001B2E7D">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1B2E7D">
        <w:rPr>
          <w:rFonts w:ascii="Verdana" w:hAnsi="Verdana"/>
          <w:sz w:val="22"/>
          <w:szCs w:val="22"/>
        </w:rPr>
        <w:t>obstante</w:t>
      </w:r>
      <w:proofErr w:type="gramEnd"/>
      <w:r w:rsidRPr="001B2E7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E483E66" w14:textId="3CFC50EC"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 xml:space="preserve">Para finalizar le recordamos que las solicitudes de concepto que se sometan a consideración de la Oficina Asesora </w:t>
      </w:r>
      <w:proofErr w:type="gramStart"/>
      <w:r w:rsidRPr="001B2E7D">
        <w:rPr>
          <w:rFonts w:ascii="Verdana" w:hAnsi="Verdana"/>
          <w:sz w:val="22"/>
          <w:szCs w:val="22"/>
        </w:rPr>
        <w:t>Jurídica,</w:t>
      </w:r>
      <w:proofErr w:type="gramEnd"/>
      <w:r w:rsidRPr="001B2E7D">
        <w:rPr>
          <w:rFonts w:ascii="Verdana" w:hAnsi="Verdana"/>
          <w:sz w:val="22"/>
          <w:szCs w:val="22"/>
        </w:rPr>
        <w:t xml:space="preserve"> deben cumplir los requisitos señalados en la Circular No. 002 del 1 de enero del 2012. Reiteramos nuestra disposición y colaboración con el fin de garantizar el cumplimiento de las funciones y obligaciones para la garantía y el restablecimiento de los derechos de los niños, las niñas, los adolescentes y su contexto familiar.</w:t>
      </w:r>
    </w:p>
    <w:p w14:paraId="548EA0CD"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Cordialmente,</w:t>
      </w:r>
    </w:p>
    <w:p w14:paraId="7EBBB8D4" w14:textId="77777777" w:rsidR="00B76C1A" w:rsidRPr="001B2E7D" w:rsidRDefault="00B76C1A" w:rsidP="00B76C1A">
      <w:pPr>
        <w:spacing w:line="276" w:lineRule="auto"/>
        <w:jc w:val="both"/>
        <w:rPr>
          <w:rFonts w:ascii="Verdana" w:hAnsi="Verdana"/>
          <w:sz w:val="22"/>
          <w:szCs w:val="22"/>
        </w:rPr>
      </w:pPr>
      <w:r w:rsidRPr="001B2E7D">
        <w:rPr>
          <w:rFonts w:ascii="Verdana" w:hAnsi="Verdana"/>
          <w:b/>
          <w:bCs/>
          <w:sz w:val="22"/>
          <w:szCs w:val="22"/>
        </w:rPr>
        <w:t>LUZ KARIME FERNANDEZ CASTILLO</w:t>
      </w:r>
    </w:p>
    <w:p w14:paraId="02AE8D7D" w14:textId="77777777" w:rsidR="00B76C1A" w:rsidRPr="001B2E7D" w:rsidRDefault="00B76C1A" w:rsidP="00B76C1A">
      <w:pPr>
        <w:spacing w:line="276" w:lineRule="auto"/>
        <w:jc w:val="both"/>
        <w:rPr>
          <w:rFonts w:ascii="Verdana" w:hAnsi="Verdana"/>
          <w:sz w:val="22"/>
          <w:szCs w:val="22"/>
        </w:rPr>
      </w:pPr>
      <w:r w:rsidRPr="001B2E7D">
        <w:rPr>
          <w:rFonts w:ascii="Verdana" w:hAnsi="Verdana"/>
          <w:sz w:val="22"/>
          <w:szCs w:val="22"/>
        </w:rPr>
        <w:t>Jefe Oficina Asesora Jurídica</w:t>
      </w:r>
    </w:p>
    <w:p w14:paraId="1F8B0A93" w14:textId="77777777" w:rsidR="001B2E7D" w:rsidRDefault="001B2E7D" w:rsidP="00B76C1A">
      <w:pPr>
        <w:spacing w:line="276" w:lineRule="auto"/>
        <w:jc w:val="both"/>
        <w:rPr>
          <w:rFonts w:ascii="Verdana" w:hAnsi="Verdana"/>
          <w:b/>
          <w:bCs/>
          <w:sz w:val="22"/>
          <w:szCs w:val="22"/>
        </w:rPr>
      </w:pPr>
    </w:p>
    <w:p w14:paraId="7D769A3F" w14:textId="3D090ED6" w:rsidR="00B76C1A" w:rsidRPr="001B2E7D" w:rsidRDefault="001B2E7D" w:rsidP="00B76C1A">
      <w:pPr>
        <w:spacing w:line="276" w:lineRule="auto"/>
        <w:jc w:val="both"/>
        <w:rPr>
          <w:rFonts w:ascii="Verdana" w:hAnsi="Verdana"/>
          <w:b/>
          <w:bCs/>
          <w:sz w:val="22"/>
          <w:szCs w:val="22"/>
        </w:rPr>
      </w:pPr>
      <w:r w:rsidRPr="001B2E7D">
        <w:rPr>
          <w:rFonts w:ascii="Verdana" w:hAnsi="Verdana"/>
          <w:b/>
          <w:bCs/>
          <w:sz w:val="22"/>
          <w:szCs w:val="22"/>
        </w:rPr>
        <w:t xml:space="preserve">Notas Pie de Página: </w:t>
      </w:r>
    </w:p>
    <w:p w14:paraId="4A0858AD" w14:textId="0E088C75"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Ley 1098 del 8 de noviembre de 2006.</w:t>
      </w:r>
    </w:p>
    <w:p w14:paraId="3D3EC415" w14:textId="7A07DD65"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Corte Constitucional. Sentencia T-408-95, expediente T71149. M P. Eduardo Cifuentes Muñoz.</w:t>
      </w:r>
    </w:p>
    <w:p w14:paraId="2BF52E4D" w14:textId="78EF2F30"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lastRenderedPageBreak/>
        <w:t>T-503 de 2003 y T-397 de 2004 (MP Manuel José Cepeda Espinosa). Cita sacada de la sentencia T-502 de 2011, expediente T-2622716. M. P. Jorge Ignacio Pretelt Chaljub.</w:t>
      </w:r>
    </w:p>
    <w:p w14:paraId="77FDFD30" w14:textId="5CD0F10F"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Corte Constitucional, Sentencia T-587 de 1997, M.P. Dr. Eduardo Cifuentes Muñoz</w:t>
      </w:r>
    </w:p>
    <w:p w14:paraId="65E703A3" w14:textId="1288947D"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El Código de Procedimiento Civil fue derogado por la Ley 1564 de 2012 en los términos establecidos en el artículo 626.</w:t>
      </w:r>
    </w:p>
    <w:p w14:paraId="6A835EF3" w14:textId="1D1269CC"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 xml:space="preserve">Derogatorias. Quedan derogados los artículos 261; 428 a 632 del Código Civil. Se modifican parcialmente el artículo 34 del Código Civil, los artículos 427, 447, 649, 655, 659 660 del Código de Procedimiento Civil, </w:t>
      </w:r>
      <w:proofErr w:type="gramStart"/>
      <w:r w:rsidRPr="001B2E7D">
        <w:rPr>
          <w:rFonts w:ascii="Verdana" w:hAnsi="Verdana"/>
          <w:sz w:val="22"/>
          <w:szCs w:val="22"/>
        </w:rPr>
        <w:t>el  artículo</w:t>
      </w:r>
      <w:proofErr w:type="gramEnd"/>
      <w:r w:rsidRPr="001B2E7D">
        <w:rPr>
          <w:rFonts w:ascii="Verdana" w:hAnsi="Verdana"/>
          <w:sz w:val="22"/>
          <w:szCs w:val="22"/>
        </w:rPr>
        <w:t> 5o del Decreto 2272 de 1989 y las demás normas que le sean contrarias a esta ley.</w:t>
      </w:r>
    </w:p>
    <w:p w14:paraId="4CDE8F35" w14:textId="239BB6A5"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Por la cual se dictan normas para la protección de personas con discapacidad mental y se establece el régimen de la representación legal de incapaces emancipados”.</w:t>
      </w:r>
    </w:p>
    <w:p w14:paraId="1128B28F" w14:textId="5F9BC029"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Art. 93. El curador deberá obtener autorización judicial para realizar los siguientes actos, en representación de su pupilo; b) Los actos onerosos de carácter conmutativo, de disposición o de enajenación de bienes o derechos de contenido patrimonial, divisiones de comunidades, transacciones y compromisos distintos de los del giro ordinario de los negocios, cuya cuantía supere los cincuenta (50) salarios mínimos legales mensuales.</w:t>
      </w:r>
    </w:p>
    <w:p w14:paraId="6156C44E" w14:textId="1F300FB6"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Numeral corregido por el artículo 18 del Decreto 1736 de 2012, 'por el que se corrigen unos yerros en la Ley 1564 del 12 de julio de 2012, "por medio de la cual se expide el Código General del Proceso y se dictan otras disposiciones”, publicado en el Diario Oficial No. 48.525 de 17 de agosto de 2012.</w:t>
      </w:r>
    </w:p>
    <w:p w14:paraId="58B5D28E" w14:textId="7FC340D4"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Artículo 82, numeral 3 de la Ley 1098 de 2006 </w:t>
      </w:r>
      <w:r w:rsidRPr="001B2E7D">
        <w:rPr>
          <w:rFonts w:ascii="Verdana" w:hAnsi="Verdana"/>
          <w:i/>
          <w:iCs/>
          <w:sz w:val="22"/>
          <w:szCs w:val="22"/>
        </w:rPr>
        <w:t>“(…) emitir los conceptos ordenados por la ley, en las actuaciones judiciales o administrativas”.</w:t>
      </w:r>
    </w:p>
    <w:p w14:paraId="525B72D8" w14:textId="1295D13E" w:rsidR="00B76C1A" w:rsidRPr="001B2E7D" w:rsidRDefault="00B76C1A" w:rsidP="001B2E7D">
      <w:pPr>
        <w:pStyle w:val="Prrafodelista"/>
        <w:numPr>
          <w:ilvl w:val="0"/>
          <w:numId w:val="34"/>
        </w:numPr>
        <w:spacing w:line="276" w:lineRule="auto"/>
        <w:jc w:val="both"/>
        <w:rPr>
          <w:rFonts w:ascii="Verdana" w:hAnsi="Verdana"/>
          <w:sz w:val="22"/>
          <w:szCs w:val="22"/>
        </w:rPr>
      </w:pPr>
      <w:r w:rsidRPr="001B2E7D">
        <w:rPr>
          <w:rFonts w:ascii="Verdana" w:hAnsi="Verdana"/>
          <w:sz w:val="22"/>
          <w:szCs w:val="22"/>
        </w:rPr>
        <w:t>Como al realizar las referidas intervenciones la Administración debe aplicar el derecho</w:t>
      </w:r>
      <w:r w:rsidRPr="001B2E7D">
        <w:rPr>
          <w:rFonts w:ascii="Verdana" w:hAnsi="Verdana"/>
          <w:i/>
          <w:iCs/>
          <w:sz w:val="22"/>
          <w:szCs w:val="22"/>
        </w:rPr>
        <w:t>,</w:t>
      </w:r>
      <w:r w:rsidRPr="001B2E7D">
        <w:rPr>
          <w:rFonts w:ascii="Verdana" w:hAnsi="Verdana"/>
          <w:sz w:val="22"/>
          <w:szCs w:val="22"/>
        </w:rPr>
        <w:t xml:space="preserve">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w:t>
      </w:r>
      <w:r w:rsidRPr="001B2E7D">
        <w:rPr>
          <w:rFonts w:ascii="Verdana" w:hAnsi="Verdana"/>
          <w:sz w:val="22"/>
          <w:szCs w:val="22"/>
        </w:rPr>
        <w:lastRenderedPageBreak/>
        <w:t>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1B2E7D">
        <w:rPr>
          <w:rFonts w:ascii="Verdana" w:hAnsi="Verdana"/>
          <w:i/>
          <w:iCs/>
          <w:sz w:val="22"/>
          <w:szCs w:val="22"/>
        </w:rPr>
        <w:t>a </w:t>
      </w:r>
      <w:r w:rsidRPr="001B2E7D">
        <w:rPr>
          <w:rFonts w:ascii="Verdana" w:hAnsi="Verdana"/>
          <w:sz w:val="22"/>
          <w:szCs w:val="22"/>
        </w:rPr>
        <w:t>las llamadas circulares o instrucciones de servicio." Corte Constitucional. Sentencia C - 877 de 2000. M.P Antonio Barrera Carbonel.</w:t>
      </w:r>
    </w:p>
    <w:p w14:paraId="4D77D58F" w14:textId="1C0DDEC6" w:rsidR="008161D5" w:rsidRPr="001B2E7D" w:rsidRDefault="008161D5" w:rsidP="002F48BD">
      <w:pPr>
        <w:spacing w:line="276" w:lineRule="auto"/>
        <w:jc w:val="both"/>
        <w:rPr>
          <w:rFonts w:ascii="Verdana" w:hAnsi="Verdana"/>
          <w:sz w:val="22"/>
          <w:szCs w:val="22"/>
          <w:lang w:val="es-ES"/>
        </w:rPr>
      </w:pPr>
    </w:p>
    <w:sectPr w:rsidR="008161D5" w:rsidRPr="001B2E7D"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19"/>
  </w:num>
  <w:num w:numId="3" w16cid:durableId="1094323177">
    <w:abstractNumId w:val="27"/>
  </w:num>
  <w:num w:numId="4" w16cid:durableId="1223904190">
    <w:abstractNumId w:val="33"/>
  </w:num>
  <w:num w:numId="5" w16cid:durableId="700787827">
    <w:abstractNumId w:val="30"/>
  </w:num>
  <w:num w:numId="6" w16cid:durableId="708604463">
    <w:abstractNumId w:val="17"/>
  </w:num>
  <w:num w:numId="7" w16cid:durableId="1036464083">
    <w:abstractNumId w:val="31"/>
  </w:num>
  <w:num w:numId="8" w16cid:durableId="1974091306">
    <w:abstractNumId w:val="1"/>
  </w:num>
  <w:num w:numId="9" w16cid:durableId="756711159">
    <w:abstractNumId w:val="14"/>
  </w:num>
  <w:num w:numId="10" w16cid:durableId="2140024232">
    <w:abstractNumId w:val="15"/>
  </w:num>
  <w:num w:numId="11" w16cid:durableId="748578350">
    <w:abstractNumId w:val="25"/>
  </w:num>
  <w:num w:numId="12" w16cid:durableId="202593356">
    <w:abstractNumId w:val="11"/>
  </w:num>
  <w:num w:numId="13" w16cid:durableId="565143295">
    <w:abstractNumId w:val="21"/>
  </w:num>
  <w:num w:numId="14" w16cid:durableId="646282511">
    <w:abstractNumId w:val="32"/>
  </w:num>
  <w:num w:numId="15" w16cid:durableId="1403874449">
    <w:abstractNumId w:val="23"/>
  </w:num>
  <w:num w:numId="16" w16cid:durableId="94600144">
    <w:abstractNumId w:val="10"/>
  </w:num>
  <w:num w:numId="17" w16cid:durableId="1793405570">
    <w:abstractNumId w:val="2"/>
  </w:num>
  <w:num w:numId="18" w16cid:durableId="955141426">
    <w:abstractNumId w:val="16"/>
  </w:num>
  <w:num w:numId="19" w16cid:durableId="840704667">
    <w:abstractNumId w:val="5"/>
  </w:num>
  <w:num w:numId="20" w16cid:durableId="407578416">
    <w:abstractNumId w:val="7"/>
  </w:num>
  <w:num w:numId="21" w16cid:durableId="1691759298">
    <w:abstractNumId w:val="13"/>
  </w:num>
  <w:num w:numId="22" w16cid:durableId="2044867475">
    <w:abstractNumId w:val="22"/>
  </w:num>
  <w:num w:numId="23" w16cid:durableId="884368567">
    <w:abstractNumId w:val="20"/>
  </w:num>
  <w:num w:numId="24" w16cid:durableId="21981315">
    <w:abstractNumId w:val="24"/>
  </w:num>
  <w:num w:numId="25" w16cid:durableId="411779733">
    <w:abstractNumId w:val="8"/>
  </w:num>
  <w:num w:numId="26" w16cid:durableId="236092672">
    <w:abstractNumId w:val="9"/>
  </w:num>
  <w:num w:numId="27" w16cid:durableId="490566783">
    <w:abstractNumId w:val="0"/>
  </w:num>
  <w:num w:numId="28" w16cid:durableId="1509711069">
    <w:abstractNumId w:val="3"/>
  </w:num>
  <w:num w:numId="29" w16cid:durableId="1563248771">
    <w:abstractNumId w:val="4"/>
  </w:num>
  <w:num w:numId="30" w16cid:durableId="2013407823">
    <w:abstractNumId w:val="28"/>
  </w:num>
  <w:num w:numId="31" w16cid:durableId="339502354">
    <w:abstractNumId w:val="18"/>
  </w:num>
  <w:num w:numId="32" w16cid:durableId="1333946950">
    <w:abstractNumId w:val="26"/>
  </w:num>
  <w:num w:numId="33" w16cid:durableId="178394856">
    <w:abstractNumId w:val="29"/>
  </w:num>
  <w:num w:numId="34" w16cid:durableId="23890202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762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566EA39C-FCFD-4158-9D5A-9897F89A0F61}"/>
</file>

<file path=customXml/itemProps2.xml><?xml version="1.0" encoding="utf-8"?>
<ds:datastoreItem xmlns:ds="http://schemas.openxmlformats.org/officeDocument/2006/customXml" ds:itemID="{8937F2BA-B7F8-4BC9-98FB-ACE6DA9359C1}"/>
</file>

<file path=customXml/itemProps3.xml><?xml version="1.0" encoding="utf-8"?>
<ds:datastoreItem xmlns:ds="http://schemas.openxmlformats.org/officeDocument/2006/customXml" ds:itemID="{862E225B-F0FC-4795-AF85-521A8F37767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202</TotalTime>
  <Pages>10</Pages>
  <Words>3607</Words>
  <Characters>19844</Characters>
  <Application>Microsoft Office Word</Application>
  <DocSecurity>0</DocSecurity>
  <Lines>165</Lines>
  <Paragraphs>46</Paragraphs>
  <ScaleCrop>false</ScaleCrop>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133</cp:revision>
  <dcterms:created xsi:type="dcterms:W3CDTF">2026-05-08T19:08:00Z</dcterms:created>
  <dcterms:modified xsi:type="dcterms:W3CDTF">2026-07-12T21:40:00Z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