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07B6" w14:textId="77777777" w:rsidR="00082919" w:rsidRPr="00082919" w:rsidRDefault="00082919" w:rsidP="00082919">
      <w:pPr>
        <w:jc w:val="center"/>
        <w:rPr>
          <w:rFonts w:ascii="Verdana" w:hAnsi="Verdana"/>
          <w:sz w:val="22"/>
          <w:szCs w:val="22"/>
        </w:rPr>
      </w:pPr>
      <w:r w:rsidRPr="00082919">
        <w:rPr>
          <w:rFonts w:ascii="Verdana" w:hAnsi="Verdana"/>
          <w:b/>
          <w:bCs/>
          <w:sz w:val="22"/>
          <w:szCs w:val="22"/>
        </w:rPr>
        <w:t>CONCEPTO 155 DE 2015</w:t>
      </w:r>
    </w:p>
    <w:p w14:paraId="5B97A1E3" w14:textId="77777777" w:rsidR="00082919" w:rsidRPr="00082919" w:rsidRDefault="00082919" w:rsidP="00082919">
      <w:pPr>
        <w:jc w:val="center"/>
        <w:rPr>
          <w:rFonts w:ascii="Verdana" w:hAnsi="Verdana"/>
          <w:sz w:val="22"/>
          <w:szCs w:val="22"/>
        </w:rPr>
      </w:pPr>
      <w:r w:rsidRPr="00082919">
        <w:rPr>
          <w:rFonts w:ascii="Verdana" w:hAnsi="Verdana"/>
          <w:sz w:val="22"/>
          <w:szCs w:val="22"/>
        </w:rPr>
        <w:t>(diciembre 15)</w:t>
      </w:r>
    </w:p>
    <w:p w14:paraId="6FA39B77" w14:textId="77777777" w:rsidR="00082919" w:rsidRPr="00082919" w:rsidRDefault="00082919" w:rsidP="00082919">
      <w:pPr>
        <w:jc w:val="center"/>
        <w:rPr>
          <w:rFonts w:ascii="Verdana" w:hAnsi="Verdana"/>
          <w:sz w:val="22"/>
          <w:szCs w:val="22"/>
        </w:rPr>
      </w:pPr>
      <w:r w:rsidRPr="00082919">
        <w:rPr>
          <w:rFonts w:ascii="Verdana" w:hAnsi="Verdana"/>
          <w:b/>
          <w:bCs/>
          <w:sz w:val="22"/>
          <w:szCs w:val="22"/>
        </w:rPr>
        <w:t>INSTITUTO COLOMBIANO DE BIENESTAR FAMILIAR –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082919" w:rsidRPr="00082919" w14:paraId="20DD8A8B" w14:textId="77777777" w:rsidTr="00082919">
        <w:trPr>
          <w:tblCellSpacing w:w="15" w:type="dxa"/>
        </w:trPr>
        <w:tc>
          <w:tcPr>
            <w:tcW w:w="792" w:type="pct"/>
            <w:tcBorders>
              <w:top w:val="nil"/>
              <w:left w:val="nil"/>
              <w:bottom w:val="nil"/>
              <w:right w:val="nil"/>
            </w:tcBorders>
            <w:tcMar>
              <w:top w:w="0" w:type="dxa"/>
              <w:left w:w="0" w:type="dxa"/>
              <w:bottom w:w="0" w:type="dxa"/>
              <w:right w:w="0" w:type="dxa"/>
            </w:tcMar>
            <w:hideMark/>
          </w:tcPr>
          <w:p w14:paraId="274D413F" w14:textId="77777777" w:rsidR="00082919" w:rsidRPr="00082919" w:rsidRDefault="00082919" w:rsidP="00082919">
            <w:pPr>
              <w:jc w:val="both"/>
              <w:rPr>
                <w:rFonts w:ascii="Verdana" w:hAnsi="Verdana"/>
                <w:sz w:val="22"/>
                <w:szCs w:val="22"/>
              </w:rPr>
            </w:pPr>
            <w:r w:rsidRPr="00082919">
              <w:rPr>
                <w:rFonts w:ascii="Verdana" w:hAnsi="Verdana"/>
                <w:sz w:val="22"/>
                <w:szCs w:val="22"/>
              </w:rPr>
              <w:t>PARA:</w:t>
            </w:r>
          </w:p>
        </w:tc>
        <w:tc>
          <w:tcPr>
            <w:tcW w:w="4157" w:type="pct"/>
            <w:tcBorders>
              <w:top w:val="nil"/>
              <w:left w:val="nil"/>
              <w:bottom w:val="nil"/>
              <w:right w:val="nil"/>
            </w:tcBorders>
            <w:tcMar>
              <w:top w:w="0" w:type="dxa"/>
              <w:left w:w="0" w:type="dxa"/>
              <w:bottom w:w="0" w:type="dxa"/>
              <w:right w:w="0" w:type="dxa"/>
            </w:tcMar>
            <w:hideMark/>
          </w:tcPr>
          <w:p w14:paraId="59CCCCE6" w14:textId="77777777" w:rsidR="00082919" w:rsidRPr="00082919" w:rsidRDefault="00082919" w:rsidP="00082919">
            <w:pPr>
              <w:jc w:val="both"/>
              <w:rPr>
                <w:rFonts w:ascii="Verdana" w:hAnsi="Verdana"/>
                <w:sz w:val="22"/>
                <w:szCs w:val="22"/>
              </w:rPr>
            </w:pPr>
            <w:r w:rsidRPr="00082919">
              <w:rPr>
                <w:rFonts w:ascii="Verdana" w:hAnsi="Verdana"/>
                <w:sz w:val="22"/>
                <w:szCs w:val="22"/>
              </w:rPr>
              <w:t>Coordinador Jurídico - Regional Meta</w:t>
            </w:r>
          </w:p>
        </w:tc>
      </w:tr>
      <w:tr w:rsidR="00082919" w:rsidRPr="00082919" w14:paraId="612C2599" w14:textId="77777777" w:rsidTr="00082919">
        <w:trPr>
          <w:tblCellSpacing w:w="15" w:type="dxa"/>
        </w:trPr>
        <w:tc>
          <w:tcPr>
            <w:tcW w:w="792" w:type="pct"/>
            <w:tcBorders>
              <w:top w:val="nil"/>
              <w:left w:val="nil"/>
              <w:bottom w:val="nil"/>
              <w:right w:val="nil"/>
            </w:tcBorders>
            <w:tcMar>
              <w:top w:w="0" w:type="dxa"/>
              <w:left w:w="0" w:type="dxa"/>
              <w:bottom w:w="0" w:type="dxa"/>
              <w:right w:w="0" w:type="dxa"/>
            </w:tcMar>
            <w:hideMark/>
          </w:tcPr>
          <w:p w14:paraId="6E18BB0E" w14:textId="77777777" w:rsidR="00082919" w:rsidRPr="00082919" w:rsidRDefault="00082919" w:rsidP="00082919">
            <w:pPr>
              <w:jc w:val="both"/>
              <w:rPr>
                <w:rFonts w:ascii="Verdana" w:hAnsi="Verdana"/>
                <w:sz w:val="22"/>
                <w:szCs w:val="22"/>
              </w:rPr>
            </w:pPr>
            <w:r w:rsidRPr="00082919">
              <w:rPr>
                <w:rFonts w:ascii="Verdana" w:hAnsi="Verdana"/>
                <w:sz w:val="22"/>
                <w:szCs w:val="22"/>
              </w:rPr>
              <w:t>ASUNTO:</w:t>
            </w:r>
          </w:p>
        </w:tc>
        <w:tc>
          <w:tcPr>
            <w:tcW w:w="4157" w:type="pct"/>
            <w:tcBorders>
              <w:top w:val="nil"/>
              <w:left w:val="nil"/>
              <w:bottom w:val="nil"/>
              <w:right w:val="nil"/>
            </w:tcBorders>
            <w:tcMar>
              <w:top w:w="0" w:type="dxa"/>
              <w:left w:w="0" w:type="dxa"/>
              <w:bottom w:w="0" w:type="dxa"/>
              <w:right w:w="0" w:type="dxa"/>
            </w:tcMar>
            <w:hideMark/>
          </w:tcPr>
          <w:p w14:paraId="45CCE9A4" w14:textId="77777777" w:rsidR="00082919" w:rsidRPr="00082919" w:rsidRDefault="00082919" w:rsidP="00082919">
            <w:pPr>
              <w:jc w:val="both"/>
              <w:rPr>
                <w:rFonts w:ascii="Verdana" w:hAnsi="Verdana"/>
                <w:sz w:val="22"/>
                <w:szCs w:val="22"/>
              </w:rPr>
            </w:pPr>
            <w:r w:rsidRPr="00082919">
              <w:rPr>
                <w:rFonts w:ascii="Verdana" w:hAnsi="Verdana"/>
                <w:sz w:val="22"/>
                <w:szCs w:val="22"/>
              </w:rPr>
              <w:t xml:space="preserve">Consulta sobre la competencia para declarar la </w:t>
            </w:r>
            <w:proofErr w:type="spellStart"/>
            <w:r w:rsidRPr="00082919">
              <w:rPr>
                <w:rFonts w:ascii="Verdana" w:hAnsi="Verdana"/>
                <w:sz w:val="22"/>
                <w:szCs w:val="22"/>
              </w:rPr>
              <w:t>remisibilidad</w:t>
            </w:r>
            <w:proofErr w:type="spellEnd"/>
            <w:r w:rsidRPr="00082919">
              <w:rPr>
                <w:rFonts w:ascii="Verdana" w:hAnsi="Verdana"/>
                <w:sz w:val="22"/>
                <w:szCs w:val="22"/>
              </w:rPr>
              <w:t xml:space="preserve"> o prescripción de procesos ADN.</w:t>
            </w:r>
          </w:p>
        </w:tc>
      </w:tr>
    </w:tbl>
    <w:p w14:paraId="75AB436F" w14:textId="77777777" w:rsidR="00082919" w:rsidRPr="00082919" w:rsidRDefault="00082919" w:rsidP="00082919">
      <w:pPr>
        <w:jc w:val="both"/>
        <w:rPr>
          <w:rFonts w:ascii="Verdana" w:hAnsi="Verdana"/>
          <w:sz w:val="22"/>
          <w:szCs w:val="22"/>
        </w:rPr>
      </w:pPr>
      <w:r w:rsidRPr="00082919">
        <w:rPr>
          <w:rFonts w:ascii="Verdana" w:hAnsi="Verdana"/>
          <w:sz w:val="22"/>
          <w:szCs w:val="22"/>
        </w:rPr>
        <w:t xml:space="preserve">Con el fin de dar respuesta a su consulta sobre quien tiene la competencia para declarar la prescripción o la </w:t>
      </w:r>
      <w:proofErr w:type="spellStart"/>
      <w:r w:rsidRPr="00082919">
        <w:rPr>
          <w:rFonts w:ascii="Verdana" w:hAnsi="Verdana"/>
          <w:sz w:val="22"/>
          <w:szCs w:val="22"/>
        </w:rPr>
        <w:t>remisibilidad</w:t>
      </w:r>
      <w:proofErr w:type="spellEnd"/>
      <w:r w:rsidRPr="00082919">
        <w:rPr>
          <w:rFonts w:ascii="Verdana" w:hAnsi="Verdana"/>
          <w:sz w:val="22"/>
          <w:szCs w:val="22"/>
        </w:rPr>
        <w:t xml:space="preserve"> de las obligaciones generadas en procesos de ADN, </w:t>
      </w:r>
      <w:r w:rsidRPr="00082919">
        <w:rPr>
          <w:rFonts w:ascii="Verdana" w:hAnsi="Verdana"/>
          <w:b/>
          <w:bCs/>
          <w:sz w:val="22"/>
          <w:szCs w:val="22"/>
        </w:rPr>
        <w:t>se tendrán en cuenta los siguientes parámetros normativos con el objeto de aclarar el tema:</w:t>
      </w:r>
    </w:p>
    <w:p w14:paraId="4646E5E5" w14:textId="77777777" w:rsidR="00082919" w:rsidRPr="00082919" w:rsidRDefault="00082919" w:rsidP="00082919">
      <w:pPr>
        <w:jc w:val="both"/>
        <w:rPr>
          <w:rFonts w:ascii="Verdana" w:hAnsi="Verdana"/>
          <w:sz w:val="22"/>
          <w:szCs w:val="22"/>
        </w:rPr>
      </w:pPr>
      <w:r w:rsidRPr="00082919">
        <w:rPr>
          <w:rFonts w:ascii="Verdana" w:hAnsi="Verdana"/>
          <w:b/>
          <w:bCs/>
          <w:sz w:val="22"/>
          <w:szCs w:val="22"/>
        </w:rPr>
        <w:t>1. PROBLEMA JURÍDICO.</w:t>
      </w:r>
    </w:p>
    <w:p w14:paraId="28EE63AD" w14:textId="77777777" w:rsidR="00082919" w:rsidRPr="00082919" w:rsidRDefault="00082919" w:rsidP="00082919">
      <w:pPr>
        <w:jc w:val="both"/>
        <w:rPr>
          <w:rFonts w:ascii="Verdana" w:hAnsi="Verdana"/>
          <w:sz w:val="22"/>
          <w:szCs w:val="22"/>
        </w:rPr>
      </w:pPr>
      <w:r w:rsidRPr="00082919">
        <w:rPr>
          <w:rFonts w:ascii="Verdana" w:hAnsi="Verdana"/>
          <w:sz w:val="22"/>
          <w:szCs w:val="22"/>
        </w:rPr>
        <w:t xml:space="preserve">¿Quién es el funcionario competente para declarar la </w:t>
      </w:r>
      <w:proofErr w:type="spellStart"/>
      <w:r w:rsidRPr="00082919">
        <w:rPr>
          <w:rFonts w:ascii="Verdana" w:hAnsi="Verdana"/>
          <w:sz w:val="22"/>
          <w:szCs w:val="22"/>
        </w:rPr>
        <w:t>remisibilidad</w:t>
      </w:r>
      <w:proofErr w:type="spellEnd"/>
      <w:r w:rsidRPr="00082919">
        <w:rPr>
          <w:rFonts w:ascii="Verdana" w:hAnsi="Verdana"/>
          <w:sz w:val="22"/>
          <w:szCs w:val="22"/>
        </w:rPr>
        <w:t xml:space="preserve"> o la prescripción de los procesos de cobro de prueba de ADN?</w:t>
      </w:r>
    </w:p>
    <w:p w14:paraId="5C72A363" w14:textId="77777777" w:rsidR="00082919" w:rsidRPr="00082919" w:rsidRDefault="00082919" w:rsidP="00082919">
      <w:pPr>
        <w:jc w:val="both"/>
        <w:rPr>
          <w:rFonts w:ascii="Verdana" w:hAnsi="Verdana"/>
          <w:sz w:val="22"/>
          <w:szCs w:val="22"/>
        </w:rPr>
      </w:pPr>
      <w:r w:rsidRPr="00082919">
        <w:rPr>
          <w:rFonts w:ascii="Verdana" w:hAnsi="Verdana"/>
          <w:b/>
          <w:bCs/>
          <w:sz w:val="22"/>
          <w:szCs w:val="22"/>
        </w:rPr>
        <w:t>2. ANÁLISIS DEL PROBLEMA JURIDICO</w:t>
      </w:r>
    </w:p>
    <w:p w14:paraId="34F2E801" w14:textId="77777777" w:rsidR="00082919" w:rsidRPr="00082919" w:rsidRDefault="00082919" w:rsidP="00082919">
      <w:pPr>
        <w:jc w:val="both"/>
        <w:rPr>
          <w:rFonts w:ascii="Verdana" w:hAnsi="Verdana"/>
          <w:sz w:val="22"/>
          <w:szCs w:val="22"/>
        </w:rPr>
      </w:pPr>
      <w:r w:rsidRPr="00082919">
        <w:rPr>
          <w:rFonts w:ascii="Verdana" w:hAnsi="Verdana"/>
          <w:b/>
          <w:bCs/>
          <w:sz w:val="22"/>
          <w:szCs w:val="22"/>
        </w:rPr>
        <w:t>2.1 Antecedentes Normativos</w:t>
      </w:r>
    </w:p>
    <w:p w14:paraId="65BB3C70" w14:textId="3C7B7ADE" w:rsidR="00082919" w:rsidRPr="00082919" w:rsidRDefault="00082919" w:rsidP="00082919">
      <w:pPr>
        <w:jc w:val="both"/>
        <w:rPr>
          <w:rFonts w:ascii="Verdana" w:hAnsi="Verdana"/>
          <w:sz w:val="22"/>
          <w:szCs w:val="22"/>
        </w:rPr>
      </w:pPr>
      <w:r w:rsidRPr="00082919">
        <w:rPr>
          <w:rFonts w:ascii="Verdana" w:hAnsi="Verdana"/>
          <w:sz w:val="22"/>
          <w:szCs w:val="22"/>
        </w:rPr>
        <w:t>- Inciso 1 y 2 del artículo 820 del Estatuto Tributario</w:t>
      </w:r>
    </w:p>
    <w:p w14:paraId="5B0A78DE" w14:textId="255F74B4" w:rsidR="00082919" w:rsidRPr="00082919" w:rsidRDefault="00082919" w:rsidP="00082919">
      <w:pPr>
        <w:jc w:val="both"/>
        <w:rPr>
          <w:rFonts w:ascii="Verdana" w:hAnsi="Verdana"/>
          <w:sz w:val="22"/>
          <w:szCs w:val="22"/>
        </w:rPr>
      </w:pPr>
      <w:r w:rsidRPr="00082919">
        <w:rPr>
          <w:rFonts w:ascii="Verdana" w:hAnsi="Verdana"/>
          <w:sz w:val="22"/>
          <w:szCs w:val="22"/>
        </w:rPr>
        <w:t>- Artículo 817 del Estatuto Tributario</w:t>
      </w:r>
    </w:p>
    <w:p w14:paraId="3BCBB0DE" w14:textId="4CF54D94" w:rsidR="00082919" w:rsidRPr="00082919" w:rsidRDefault="00082919" w:rsidP="00082919">
      <w:pPr>
        <w:jc w:val="both"/>
        <w:rPr>
          <w:rFonts w:ascii="Verdana" w:hAnsi="Verdana"/>
          <w:sz w:val="22"/>
          <w:szCs w:val="22"/>
        </w:rPr>
      </w:pPr>
      <w:r w:rsidRPr="00082919">
        <w:rPr>
          <w:rFonts w:ascii="Verdana" w:hAnsi="Verdana"/>
          <w:sz w:val="22"/>
          <w:szCs w:val="22"/>
        </w:rPr>
        <w:t>- Artículo 17 de la Ley 1066 de 2006</w:t>
      </w:r>
    </w:p>
    <w:p w14:paraId="104D14C9" w14:textId="504B9557" w:rsidR="00082919" w:rsidRPr="00082919" w:rsidRDefault="00082919" w:rsidP="00082919">
      <w:pPr>
        <w:jc w:val="both"/>
        <w:rPr>
          <w:rFonts w:ascii="Verdana" w:hAnsi="Verdana"/>
          <w:sz w:val="22"/>
          <w:szCs w:val="22"/>
        </w:rPr>
      </w:pPr>
      <w:r w:rsidRPr="00082919">
        <w:rPr>
          <w:rFonts w:ascii="Verdana" w:hAnsi="Verdana"/>
          <w:sz w:val="22"/>
          <w:szCs w:val="22"/>
        </w:rPr>
        <w:t>- Artículo 5 de la Ley 1066 de 2006</w:t>
      </w:r>
    </w:p>
    <w:p w14:paraId="78231837" w14:textId="7CA764DA" w:rsidR="00082919" w:rsidRPr="00082919" w:rsidRDefault="00082919" w:rsidP="00082919">
      <w:pPr>
        <w:jc w:val="both"/>
        <w:rPr>
          <w:rFonts w:ascii="Verdana" w:hAnsi="Verdana"/>
          <w:sz w:val="22"/>
          <w:szCs w:val="22"/>
        </w:rPr>
      </w:pPr>
      <w:r w:rsidRPr="00082919">
        <w:rPr>
          <w:rFonts w:ascii="Verdana" w:hAnsi="Verdana"/>
          <w:sz w:val="22"/>
          <w:szCs w:val="22"/>
        </w:rPr>
        <w:t>- Artículo 8, 11, 56, 58 y 60 de la Resolución 384 de 2008</w:t>
      </w:r>
    </w:p>
    <w:p w14:paraId="7564F4D5" w14:textId="4912FA27" w:rsidR="00082919" w:rsidRPr="00082919" w:rsidRDefault="00082919" w:rsidP="00082919">
      <w:pPr>
        <w:jc w:val="both"/>
        <w:rPr>
          <w:rFonts w:ascii="Verdana" w:hAnsi="Verdana"/>
          <w:sz w:val="22"/>
          <w:szCs w:val="22"/>
        </w:rPr>
      </w:pPr>
      <w:r w:rsidRPr="00082919">
        <w:rPr>
          <w:rFonts w:ascii="Verdana" w:hAnsi="Verdana"/>
          <w:sz w:val="22"/>
          <w:szCs w:val="22"/>
        </w:rPr>
        <w:t>- Numeral 14 y 15 del artículo 12 de la Resolución 2859 de 2013.</w:t>
      </w:r>
    </w:p>
    <w:p w14:paraId="3D117D26" w14:textId="77777777" w:rsidR="00082919" w:rsidRPr="00082919" w:rsidRDefault="00082919" w:rsidP="00082919">
      <w:pPr>
        <w:jc w:val="both"/>
        <w:rPr>
          <w:rFonts w:ascii="Verdana" w:hAnsi="Verdana"/>
          <w:sz w:val="22"/>
          <w:szCs w:val="22"/>
        </w:rPr>
      </w:pPr>
      <w:r w:rsidRPr="00082919">
        <w:rPr>
          <w:rFonts w:ascii="Verdana" w:hAnsi="Verdana"/>
          <w:b/>
          <w:bCs/>
          <w:sz w:val="22"/>
          <w:szCs w:val="22"/>
        </w:rPr>
        <w:t>2.2 Antecedentes fácticos</w:t>
      </w:r>
    </w:p>
    <w:p w14:paraId="62FAF8B0" w14:textId="77777777" w:rsidR="00082919" w:rsidRPr="00082919" w:rsidRDefault="00082919" w:rsidP="00082919">
      <w:pPr>
        <w:jc w:val="both"/>
        <w:rPr>
          <w:rFonts w:ascii="Verdana" w:hAnsi="Verdana"/>
          <w:sz w:val="22"/>
          <w:szCs w:val="22"/>
        </w:rPr>
      </w:pPr>
      <w:r w:rsidRPr="00082919">
        <w:rPr>
          <w:rFonts w:ascii="Verdana" w:hAnsi="Verdana"/>
          <w:sz w:val="22"/>
          <w:szCs w:val="22"/>
        </w:rPr>
        <w:t xml:space="preserve">A la funcionaría ejecutora de la Regional le fueron asignados algunos procesos de cobro de ADN hace aproximadamente cinco años en los cuales solo se adelantaron acciones de cobro persuasivo por lo cual ahora que se busca </w:t>
      </w:r>
      <w:proofErr w:type="gramStart"/>
      <w:r w:rsidRPr="00082919">
        <w:rPr>
          <w:rFonts w:ascii="Verdana" w:hAnsi="Verdana"/>
          <w:sz w:val="22"/>
          <w:szCs w:val="22"/>
        </w:rPr>
        <w:t>la  prescripción</w:t>
      </w:r>
      <w:proofErr w:type="gramEnd"/>
      <w:r w:rsidRPr="00082919">
        <w:rPr>
          <w:rFonts w:ascii="Verdana" w:hAnsi="Verdana"/>
          <w:sz w:val="22"/>
          <w:szCs w:val="22"/>
        </w:rPr>
        <w:t xml:space="preserve">, la funcionaria ejecutora manifiesta que carece de competencia para realizar el saneamiento de cartera alegando que quien debe declararla es el Director </w:t>
      </w:r>
      <w:proofErr w:type="gramStart"/>
      <w:r w:rsidRPr="00082919">
        <w:rPr>
          <w:rFonts w:ascii="Verdana" w:hAnsi="Verdana"/>
          <w:sz w:val="22"/>
          <w:szCs w:val="22"/>
        </w:rPr>
        <w:t>Regional  por</w:t>
      </w:r>
      <w:proofErr w:type="gramEnd"/>
      <w:r w:rsidRPr="00082919">
        <w:rPr>
          <w:rFonts w:ascii="Verdana" w:hAnsi="Verdana"/>
          <w:sz w:val="22"/>
          <w:szCs w:val="22"/>
        </w:rPr>
        <w:t xml:space="preserve"> encontrarse en etapa de cobro persuasivo.</w:t>
      </w:r>
    </w:p>
    <w:p w14:paraId="512368A1" w14:textId="77777777" w:rsidR="00082919" w:rsidRPr="00082919" w:rsidRDefault="00082919" w:rsidP="00082919">
      <w:pPr>
        <w:jc w:val="both"/>
        <w:rPr>
          <w:rFonts w:ascii="Verdana" w:hAnsi="Verdana"/>
          <w:sz w:val="22"/>
          <w:szCs w:val="22"/>
        </w:rPr>
      </w:pPr>
      <w:r w:rsidRPr="00082919">
        <w:rPr>
          <w:rFonts w:ascii="Verdana" w:hAnsi="Verdana"/>
          <w:b/>
          <w:bCs/>
          <w:sz w:val="22"/>
          <w:szCs w:val="22"/>
        </w:rPr>
        <w:t>3. EL CASO EN CONCRETO</w:t>
      </w:r>
    </w:p>
    <w:p w14:paraId="5671C985" w14:textId="77777777" w:rsidR="00082919" w:rsidRPr="00082919" w:rsidRDefault="00082919" w:rsidP="00082919">
      <w:pPr>
        <w:jc w:val="both"/>
        <w:rPr>
          <w:rFonts w:ascii="Verdana" w:hAnsi="Verdana"/>
          <w:sz w:val="22"/>
          <w:szCs w:val="22"/>
        </w:rPr>
      </w:pPr>
      <w:r w:rsidRPr="00082919">
        <w:rPr>
          <w:rFonts w:ascii="Verdana" w:hAnsi="Verdana"/>
          <w:sz w:val="22"/>
          <w:szCs w:val="22"/>
        </w:rPr>
        <w:t xml:space="preserve">El coordinador de la Regional Meta informa que el Grupo Jurídico a través de la funcionaria ejecutora ha venido realizando el proceso de gestión de cobro ante los deudores de pruebas de ADN, sin </w:t>
      </w:r>
      <w:proofErr w:type="gramStart"/>
      <w:r w:rsidRPr="00082919">
        <w:rPr>
          <w:rFonts w:ascii="Verdana" w:hAnsi="Verdana"/>
          <w:sz w:val="22"/>
          <w:szCs w:val="22"/>
        </w:rPr>
        <w:t>embargo</w:t>
      </w:r>
      <w:proofErr w:type="gramEnd"/>
      <w:r w:rsidRPr="00082919">
        <w:rPr>
          <w:rFonts w:ascii="Verdana" w:hAnsi="Verdana"/>
          <w:sz w:val="22"/>
          <w:szCs w:val="22"/>
        </w:rPr>
        <w:t xml:space="preserve"> hay unos procesos en los cuales </w:t>
      </w:r>
      <w:r w:rsidRPr="00082919">
        <w:rPr>
          <w:rFonts w:ascii="Verdana" w:hAnsi="Verdana"/>
          <w:sz w:val="22"/>
          <w:szCs w:val="22"/>
        </w:rPr>
        <w:lastRenderedPageBreak/>
        <w:t>ya se hace imposible el cobro, como quiera que se trata de obligaciones prescritas, por lo anterior, en el último Comité de Sostenibilidad Contable se decidió efectuar el saneamiento de cartera de las obligaciones con más de cinco años de antigüedad.</w:t>
      </w:r>
    </w:p>
    <w:p w14:paraId="664CD5C5" w14:textId="77777777" w:rsidR="00082919" w:rsidRPr="00082919" w:rsidRDefault="00082919" w:rsidP="00082919">
      <w:pPr>
        <w:jc w:val="both"/>
        <w:rPr>
          <w:rFonts w:ascii="Verdana" w:hAnsi="Verdana"/>
          <w:sz w:val="22"/>
          <w:szCs w:val="22"/>
        </w:rPr>
      </w:pPr>
      <w:r w:rsidRPr="00082919">
        <w:rPr>
          <w:rFonts w:ascii="Verdana" w:hAnsi="Verdana"/>
          <w:sz w:val="22"/>
          <w:szCs w:val="22"/>
        </w:rPr>
        <w:t xml:space="preserve">El coordinador añade que la funcionaria ejecutora durante los cinco años que tuvo los procesos en su poder sólo realizó acciones de cobro persuasivo sin librar el mandamiento de pago, razón por la cual la funcionaria alega que carece de competencia para declarar la prescripción y aduce que quien debe declararla es el </w:t>
      </w:r>
      <w:proofErr w:type="gramStart"/>
      <w:r w:rsidRPr="00082919">
        <w:rPr>
          <w:rFonts w:ascii="Verdana" w:hAnsi="Verdana"/>
          <w:sz w:val="22"/>
          <w:szCs w:val="22"/>
        </w:rPr>
        <w:t>Director Regional</w:t>
      </w:r>
      <w:proofErr w:type="gramEnd"/>
      <w:r w:rsidRPr="00082919">
        <w:rPr>
          <w:rFonts w:ascii="Verdana" w:hAnsi="Verdana"/>
          <w:sz w:val="22"/>
          <w:szCs w:val="22"/>
        </w:rPr>
        <w:t xml:space="preserve"> por encontrarse en etapa de cobro persuasivo.</w:t>
      </w:r>
    </w:p>
    <w:p w14:paraId="2CB1DA55" w14:textId="4FCA4FF5" w:rsidR="00082919" w:rsidRPr="00082919" w:rsidRDefault="00082919" w:rsidP="00082919">
      <w:pPr>
        <w:jc w:val="both"/>
        <w:rPr>
          <w:rFonts w:ascii="Verdana" w:hAnsi="Verdana"/>
          <w:sz w:val="22"/>
          <w:szCs w:val="22"/>
        </w:rPr>
      </w:pPr>
      <w:r w:rsidRPr="00082919">
        <w:rPr>
          <w:rFonts w:ascii="Verdana" w:hAnsi="Verdana"/>
          <w:sz w:val="22"/>
          <w:szCs w:val="22"/>
        </w:rPr>
        <w:t xml:space="preserve">Ante lo anterior es preciso señalar que, la Ley consagra dos mecanismos de saneamiento de cartera a saber, la prescripción y la remisión para los procesos de jurisdicción coactiva. La prescripción extintiva de la acción de cobro se encuentra regulada en el artículo 817 del Estatuto Tributario y en el artículo 56 de la Resolución No. 384 de 2008; conforme a esta normatividad, el término de prescripción se configura al cabo de cinco (5) años contados a partir de la fecha en que la obligación se ha </w:t>
      </w:r>
      <w:proofErr w:type="gramStart"/>
      <w:r w:rsidRPr="00082919">
        <w:rPr>
          <w:rFonts w:ascii="Verdana" w:hAnsi="Verdana"/>
          <w:sz w:val="22"/>
          <w:szCs w:val="22"/>
        </w:rPr>
        <w:t>hecho  exigible</w:t>
      </w:r>
      <w:proofErr w:type="gramEnd"/>
      <w:r w:rsidRPr="00082919">
        <w:rPr>
          <w:rFonts w:ascii="Verdana" w:hAnsi="Verdana"/>
          <w:sz w:val="22"/>
          <w:szCs w:val="22"/>
        </w:rPr>
        <w:t>.</w:t>
      </w:r>
    </w:p>
    <w:p w14:paraId="3E11BAB5" w14:textId="3683B050" w:rsidR="00082919" w:rsidRPr="00082919" w:rsidRDefault="00082919" w:rsidP="00082919">
      <w:pPr>
        <w:jc w:val="both"/>
        <w:rPr>
          <w:rFonts w:ascii="Verdana" w:hAnsi="Verdana"/>
          <w:sz w:val="22"/>
          <w:szCs w:val="22"/>
        </w:rPr>
      </w:pPr>
      <w:r w:rsidRPr="00082919">
        <w:rPr>
          <w:rFonts w:ascii="Verdana" w:hAnsi="Verdana"/>
          <w:sz w:val="22"/>
          <w:szCs w:val="22"/>
        </w:rPr>
        <w:t xml:space="preserve">De otro lado, la remisión es otra de las formas de extinción de las obligaciones en la que el acreedor de manera voluntaria y unilateral procede a desistir de la pretensión que tiene sobre una determinada prestación o derecho del cual es titular. En efecto él parágrafo del artículo 5 de la Ley 1066 de 2006 consagra la posibilidad de que el ICBF pueda proceder a la remisión de las obligaciones a su favor en los casos contemplados en los incisos 1 y 2 del artículo 820 del Estatuto Tributario. Es importante precisar que no debe haberse configurado la prescripción para que pueda decretarse la </w:t>
      </w:r>
      <w:proofErr w:type="spellStart"/>
      <w:r w:rsidRPr="00082919">
        <w:rPr>
          <w:rFonts w:ascii="Verdana" w:hAnsi="Verdana"/>
          <w:sz w:val="22"/>
          <w:szCs w:val="22"/>
        </w:rPr>
        <w:t>remisibilidad</w:t>
      </w:r>
      <w:proofErr w:type="spellEnd"/>
      <w:r w:rsidRPr="00082919">
        <w:rPr>
          <w:rFonts w:ascii="Verdana" w:hAnsi="Verdana"/>
          <w:sz w:val="22"/>
          <w:szCs w:val="22"/>
        </w:rPr>
        <w:t xml:space="preserve"> de la obligación.</w:t>
      </w:r>
    </w:p>
    <w:p w14:paraId="493484B3" w14:textId="77777777" w:rsidR="00082919" w:rsidRPr="00082919" w:rsidRDefault="00082919" w:rsidP="00082919">
      <w:pPr>
        <w:jc w:val="both"/>
        <w:rPr>
          <w:rFonts w:ascii="Verdana" w:hAnsi="Verdana"/>
          <w:sz w:val="22"/>
          <w:szCs w:val="22"/>
        </w:rPr>
      </w:pPr>
      <w:r w:rsidRPr="00082919">
        <w:rPr>
          <w:rFonts w:ascii="Verdana" w:hAnsi="Verdana"/>
          <w:sz w:val="22"/>
          <w:szCs w:val="22"/>
        </w:rPr>
        <w:t>Consecuentemente en cuanto a la competencia y procedimiento para la aplicación de estas dos formas de saneamiento de cartera en el proceso coactivo, cabe señalar:</w:t>
      </w:r>
    </w:p>
    <w:p w14:paraId="7ED3A3C9" w14:textId="34F1DA1A" w:rsidR="00082919" w:rsidRPr="00082919" w:rsidRDefault="00082919" w:rsidP="00082919">
      <w:pPr>
        <w:jc w:val="both"/>
        <w:rPr>
          <w:rFonts w:ascii="Verdana" w:hAnsi="Verdana"/>
          <w:sz w:val="22"/>
          <w:szCs w:val="22"/>
        </w:rPr>
      </w:pPr>
      <w:r w:rsidRPr="00082919">
        <w:rPr>
          <w:rFonts w:ascii="Verdana" w:hAnsi="Verdana"/>
          <w:sz w:val="22"/>
          <w:szCs w:val="22"/>
        </w:rPr>
        <w:t xml:space="preserve">a) En cuanto a la prescripción, el artículo 17 de la Ley 1066 de 2006 otorga competencia a los representantes legales de las entidades diferentes a la DIAN para decretar la prescripción de ofició o a petición de parte como lo dispone el artículo 8o de la citada ley. Con fundamento en lo anterior, el artículo 58 de la Resolución No. 384 de 2008 autorizó al </w:t>
      </w:r>
      <w:proofErr w:type="gramStart"/>
      <w:r w:rsidRPr="00082919">
        <w:rPr>
          <w:rFonts w:ascii="Verdana" w:hAnsi="Verdana"/>
          <w:sz w:val="22"/>
          <w:szCs w:val="22"/>
        </w:rPr>
        <w:t>Funcionario</w:t>
      </w:r>
      <w:proofErr w:type="gramEnd"/>
      <w:r w:rsidRPr="00082919">
        <w:rPr>
          <w:rFonts w:ascii="Verdana" w:hAnsi="Verdana"/>
          <w:sz w:val="22"/>
          <w:szCs w:val="22"/>
        </w:rPr>
        <w:t xml:space="preserve"> Ejecutor para decretar de oficio o a petición de parte la prescripción de las obligaciones que se encuentran en etapa de cobro coactivo.</w:t>
      </w:r>
    </w:p>
    <w:p w14:paraId="183F5148" w14:textId="34C067FF" w:rsidR="00082919" w:rsidRPr="00082919" w:rsidRDefault="00082919" w:rsidP="00082919">
      <w:pPr>
        <w:jc w:val="both"/>
        <w:rPr>
          <w:rFonts w:ascii="Verdana" w:hAnsi="Verdana"/>
          <w:sz w:val="22"/>
          <w:szCs w:val="22"/>
        </w:rPr>
      </w:pPr>
      <w:r w:rsidRPr="00082919">
        <w:rPr>
          <w:rFonts w:ascii="Verdana" w:hAnsi="Verdana"/>
          <w:sz w:val="22"/>
          <w:szCs w:val="22"/>
        </w:rPr>
        <w:t xml:space="preserve">b) Para decretar la remisión de las obligaciones, el artículo 60 de la Resolución No. 384 de 2008 autorizó al </w:t>
      </w:r>
      <w:proofErr w:type="gramStart"/>
      <w:r w:rsidRPr="00082919">
        <w:rPr>
          <w:rFonts w:ascii="Verdana" w:hAnsi="Verdana"/>
          <w:sz w:val="22"/>
          <w:szCs w:val="22"/>
        </w:rPr>
        <w:t>Funcionario</w:t>
      </w:r>
      <w:proofErr w:type="gramEnd"/>
      <w:r w:rsidRPr="00082919">
        <w:rPr>
          <w:rFonts w:ascii="Verdana" w:hAnsi="Verdana"/>
          <w:sz w:val="22"/>
          <w:szCs w:val="22"/>
        </w:rPr>
        <w:t xml:space="preserve"> Ejecutor para declararla cuando éstas se encuentren en etapa de cobro coactivo.</w:t>
      </w:r>
    </w:p>
    <w:p w14:paraId="501DE2FD" w14:textId="38F6169E" w:rsidR="00082919" w:rsidRPr="00082919" w:rsidRDefault="00082919" w:rsidP="00082919">
      <w:pPr>
        <w:jc w:val="both"/>
        <w:rPr>
          <w:rFonts w:ascii="Verdana" w:hAnsi="Verdana"/>
          <w:sz w:val="22"/>
          <w:szCs w:val="22"/>
        </w:rPr>
      </w:pPr>
      <w:r w:rsidRPr="00082919">
        <w:rPr>
          <w:rFonts w:ascii="Verdana" w:hAnsi="Verdana"/>
          <w:sz w:val="22"/>
          <w:szCs w:val="22"/>
        </w:rPr>
        <w:lastRenderedPageBreak/>
        <w:t xml:space="preserve">De otro lado, cabe señalar que cuando las obligaciones se encuentran en etapa de cobro persuasivo la competencia para decretar de oficio la prescripción o la remisión de la acción de cobro de las obligaciones corresponde a los </w:t>
      </w:r>
      <w:proofErr w:type="gramStart"/>
      <w:r w:rsidRPr="00082919">
        <w:rPr>
          <w:rFonts w:ascii="Verdana" w:hAnsi="Verdana"/>
          <w:sz w:val="22"/>
          <w:szCs w:val="22"/>
        </w:rPr>
        <w:t>Directores Regionales</w:t>
      </w:r>
      <w:proofErr w:type="gramEnd"/>
      <w:r w:rsidRPr="00082919">
        <w:rPr>
          <w:rFonts w:ascii="Verdana" w:hAnsi="Verdana"/>
          <w:sz w:val="22"/>
          <w:szCs w:val="22"/>
        </w:rPr>
        <w:t xml:space="preserve"> y Seccionales previa recomendación del Comité de Cartera respecto de las obligaciones generadas en su correspondiente territorio, lo anterior conforme a lo dispuesto en los artículos 58 y 60 de la Resolución No. 384 de 2008.</w:t>
      </w:r>
    </w:p>
    <w:p w14:paraId="2599E7B7" w14:textId="77777777" w:rsidR="00082919" w:rsidRPr="00082919" w:rsidRDefault="00082919" w:rsidP="00082919">
      <w:pPr>
        <w:jc w:val="both"/>
        <w:rPr>
          <w:rFonts w:ascii="Verdana" w:hAnsi="Verdana"/>
          <w:sz w:val="22"/>
          <w:szCs w:val="22"/>
        </w:rPr>
      </w:pPr>
      <w:r w:rsidRPr="00082919">
        <w:rPr>
          <w:rFonts w:ascii="Verdana" w:hAnsi="Verdana"/>
          <w:b/>
          <w:bCs/>
          <w:sz w:val="22"/>
          <w:szCs w:val="22"/>
        </w:rPr>
        <w:t>4. CONCLUSIÓN</w:t>
      </w:r>
    </w:p>
    <w:p w14:paraId="1C5B2F39" w14:textId="77777777" w:rsidR="00082919" w:rsidRPr="00082919" w:rsidRDefault="00082919" w:rsidP="00082919">
      <w:pPr>
        <w:jc w:val="both"/>
        <w:rPr>
          <w:rFonts w:ascii="Verdana" w:hAnsi="Verdana"/>
          <w:sz w:val="22"/>
          <w:szCs w:val="22"/>
        </w:rPr>
      </w:pPr>
      <w:r w:rsidRPr="00082919">
        <w:rPr>
          <w:rFonts w:ascii="Verdana" w:hAnsi="Verdana"/>
          <w:sz w:val="22"/>
          <w:szCs w:val="22"/>
        </w:rPr>
        <w:t>Con fundamento en lo anterior, la Oficina Asesora Jurídica, de conformidad con el análisis que antecede y conforme con el marco normativo, presenta la siguiente conclusión:</w:t>
      </w:r>
    </w:p>
    <w:p w14:paraId="712F6C14" w14:textId="02F01E1A" w:rsidR="00082919" w:rsidRPr="00082919" w:rsidRDefault="00082919" w:rsidP="00082919">
      <w:pPr>
        <w:jc w:val="both"/>
        <w:rPr>
          <w:rFonts w:ascii="Verdana" w:hAnsi="Verdana"/>
          <w:sz w:val="22"/>
          <w:szCs w:val="22"/>
        </w:rPr>
      </w:pPr>
      <w:r w:rsidRPr="00082919">
        <w:rPr>
          <w:rFonts w:ascii="Verdana" w:hAnsi="Verdana"/>
          <w:sz w:val="22"/>
          <w:szCs w:val="22"/>
        </w:rPr>
        <w:t>Si el funcionario ejecutor avocó conocimiento de los procesos mencionados, conforme al numeral 1 del artículo 11 de la Resolución No. 384 de 2008, debía adelantar el cobro coactivo de acuerdo con el procedimiento señalado en el Estatuto Tributario.</w:t>
      </w:r>
    </w:p>
    <w:p w14:paraId="43523B51" w14:textId="5E86F100" w:rsidR="00082919" w:rsidRPr="00082919" w:rsidRDefault="00082919" w:rsidP="00082919">
      <w:pPr>
        <w:jc w:val="both"/>
        <w:rPr>
          <w:rFonts w:ascii="Verdana" w:hAnsi="Verdana"/>
          <w:sz w:val="22"/>
          <w:szCs w:val="22"/>
        </w:rPr>
      </w:pPr>
      <w:r w:rsidRPr="00082919">
        <w:rPr>
          <w:rFonts w:ascii="Verdana" w:hAnsi="Verdana"/>
          <w:sz w:val="22"/>
          <w:szCs w:val="22"/>
        </w:rPr>
        <w:t>Por lo cual siguiendo lo dispuesto en el artículo 58 de la Resolución No. 384 de 2008 y en el numeral 5.6.1.2 de los Lineamientos de Fiscalización y cobro del Aporte Parafiscal a favor del ICBF del año 2011, el funcionario ejecutor será competente para decretar la prescripción de oficio o a petición de parte, siempre que se encuentre debidamente probada. Si la prescripción del título fuere total, deberá ordenar además la terminación y archivo definitivo del expediente; si por el contrario fuere parcial, declarará la prescripción de la parte correspondiente y continuará la ejecución con a esté afectada por la prescripción.</w:t>
      </w:r>
    </w:p>
    <w:p w14:paraId="44BA7C99" w14:textId="5D95EDB3" w:rsidR="00082919" w:rsidRPr="00082919" w:rsidRDefault="00082919" w:rsidP="00082919">
      <w:pPr>
        <w:jc w:val="both"/>
        <w:rPr>
          <w:rFonts w:ascii="Verdana" w:hAnsi="Verdana"/>
          <w:sz w:val="22"/>
          <w:szCs w:val="22"/>
        </w:rPr>
      </w:pPr>
      <w:r w:rsidRPr="00082919">
        <w:rPr>
          <w:rFonts w:ascii="Verdana" w:hAnsi="Verdana"/>
          <w:sz w:val="22"/>
          <w:szCs w:val="22"/>
        </w:rPr>
        <w:t>De otro lado, si las obligaciones no se encuentran avocadas por el funcionario ejecutor sino que están contenidas en las resoluciones de determinación de deuda, conforme al artículo 8 de la Resolución No. 384 de 2008 corresponderá al coordinador financiero de cada regional adelantar el cobro persuasivo, quien a su vez en caso de que se configure alguna de las formas de saneamiento de cartera, dando cumplimiento a los artículos 58 y 60 de la mencionada Resolución, deberá proceder a proyectar la resolución de declaratoria de prescripción o remisión para la firma del Director Regional.</w:t>
      </w:r>
    </w:p>
    <w:p w14:paraId="414AE22F" w14:textId="77777777" w:rsidR="00082919" w:rsidRPr="00082919" w:rsidRDefault="00082919" w:rsidP="00082919">
      <w:pPr>
        <w:jc w:val="both"/>
        <w:rPr>
          <w:rFonts w:ascii="Verdana" w:hAnsi="Verdana"/>
          <w:sz w:val="22"/>
          <w:szCs w:val="22"/>
        </w:rPr>
      </w:pPr>
      <w:r w:rsidRPr="00082919">
        <w:rPr>
          <w:rFonts w:ascii="Verdana" w:hAnsi="Verdana"/>
          <w:sz w:val="22"/>
          <w:szCs w:val="22"/>
        </w:rPr>
        <w:t>Por lo anterior, es posible concluir que si en los expedientes que se busca prescribir se encuentra el auto que avoca conocimiento, se entenderá que el funcionario ejecutor arrogó competencia para adelantar el proceso y en consecuencia sería el responsable de proyectar la resolución de prescripción y firmar la misma.</w:t>
      </w:r>
    </w:p>
    <w:p w14:paraId="70D3EE6D" w14:textId="21BD1BFE" w:rsidR="00082919" w:rsidRPr="00082919" w:rsidRDefault="00082919" w:rsidP="00082919">
      <w:pPr>
        <w:jc w:val="both"/>
        <w:rPr>
          <w:rFonts w:ascii="Verdana" w:hAnsi="Verdana"/>
          <w:sz w:val="22"/>
          <w:szCs w:val="22"/>
        </w:rPr>
      </w:pPr>
      <w:r w:rsidRPr="00082919">
        <w:rPr>
          <w:rFonts w:ascii="Verdana" w:hAnsi="Verdana"/>
          <w:sz w:val="22"/>
          <w:szCs w:val="22"/>
        </w:rPr>
        <w:t xml:space="preserve">Por el contrario, si los procesos se encuentran en etapa de cobro persuasivo conforme a lo dispuesto en los artículos 58 y 60 de la Resolución No. 384 de </w:t>
      </w:r>
      <w:r w:rsidRPr="00082919">
        <w:rPr>
          <w:rFonts w:ascii="Verdana" w:hAnsi="Verdana"/>
          <w:sz w:val="22"/>
          <w:szCs w:val="22"/>
        </w:rPr>
        <w:lastRenderedPageBreak/>
        <w:t xml:space="preserve">2008, quien los tenga bajo su competencia deberá proyectar la resolución de declaratoria de prescripción o remisión previa reunión con el Comité de Cartera, el cual se recomienda sea convocado para determinar la procedencia de la prescripción en cada caso. De resultar procedente, una vez proyectada la resolución, ésta deberá ser firmada por el </w:t>
      </w:r>
      <w:proofErr w:type="gramStart"/>
      <w:r w:rsidRPr="00082919">
        <w:rPr>
          <w:rFonts w:ascii="Verdana" w:hAnsi="Verdana"/>
          <w:sz w:val="22"/>
          <w:szCs w:val="22"/>
        </w:rPr>
        <w:t>Director Regional</w:t>
      </w:r>
      <w:proofErr w:type="gramEnd"/>
      <w:r w:rsidRPr="00082919">
        <w:rPr>
          <w:rFonts w:ascii="Verdana" w:hAnsi="Verdana"/>
          <w:sz w:val="22"/>
          <w:szCs w:val="22"/>
        </w:rPr>
        <w:t>.</w:t>
      </w:r>
    </w:p>
    <w:p w14:paraId="0D6EC523" w14:textId="5A45C918" w:rsidR="00082919" w:rsidRPr="00082919" w:rsidRDefault="00082919" w:rsidP="00082919">
      <w:pPr>
        <w:jc w:val="both"/>
        <w:rPr>
          <w:rFonts w:ascii="Verdana" w:hAnsi="Verdana"/>
          <w:sz w:val="22"/>
          <w:szCs w:val="22"/>
        </w:rPr>
      </w:pPr>
      <w:r w:rsidRPr="00082919">
        <w:rPr>
          <w:rFonts w:ascii="Verdana" w:hAnsi="Verdana"/>
          <w:sz w:val="22"/>
          <w:szCs w:val="22"/>
        </w:rPr>
        <w:t xml:space="preserve">El presente </w:t>
      </w:r>
      <w:proofErr w:type="gramStart"/>
      <w:r w:rsidRPr="00082919">
        <w:rPr>
          <w:rFonts w:ascii="Verdana" w:hAnsi="Verdana"/>
          <w:sz w:val="22"/>
          <w:szCs w:val="22"/>
        </w:rPr>
        <w:t>concepto</w:t>
      </w:r>
      <w:r w:rsidRPr="00082919">
        <w:rPr>
          <w:rFonts w:ascii="Verdana" w:hAnsi="Verdana"/>
          <w:sz w:val="22"/>
          <w:szCs w:val="22"/>
          <w:vertAlign w:val="subscript"/>
        </w:rPr>
        <w:t>[</w:t>
      </w:r>
      <w:proofErr w:type="gramEnd"/>
      <w:r w:rsidRPr="00082919">
        <w:rPr>
          <w:rFonts w:ascii="Verdana" w:hAnsi="Verdana"/>
          <w:sz w:val="22"/>
          <w:szCs w:val="22"/>
          <w:vertAlign w:val="subscript"/>
        </w:rPr>
        <w:t>1]</w:t>
      </w:r>
      <w:r w:rsidRPr="00082919">
        <w:rPr>
          <w:rFonts w:ascii="Verdana" w:hAnsi="Verdana"/>
          <w:sz w:val="22"/>
          <w:szCs w:val="22"/>
        </w:rPr>
        <w:t> no es de obligatorio cumplimiento o ejecución para particulares o agentes externos, de conformidad con lo establecido en el artículo 28 de la ley 1437 de 2011, Código de Procedimiento Administrativo y de lo Contencioso Administrativo.</w:t>
      </w:r>
    </w:p>
    <w:p w14:paraId="6D8D74CD" w14:textId="77777777" w:rsidR="00082919" w:rsidRDefault="00082919" w:rsidP="00082919">
      <w:pPr>
        <w:jc w:val="both"/>
        <w:rPr>
          <w:rFonts w:ascii="Verdana" w:hAnsi="Verdana"/>
          <w:sz w:val="22"/>
          <w:szCs w:val="22"/>
        </w:rPr>
      </w:pPr>
      <w:r w:rsidRPr="00082919">
        <w:rPr>
          <w:rFonts w:ascii="Verdana" w:hAnsi="Verdana"/>
          <w:sz w:val="22"/>
          <w:szCs w:val="22"/>
        </w:rPr>
        <w:t>Atentamente,</w:t>
      </w:r>
    </w:p>
    <w:p w14:paraId="7EBE0410" w14:textId="77777777" w:rsidR="00082919" w:rsidRPr="00082919" w:rsidRDefault="00082919" w:rsidP="00082919">
      <w:pPr>
        <w:jc w:val="both"/>
        <w:rPr>
          <w:rFonts w:ascii="Verdana" w:hAnsi="Verdana"/>
          <w:sz w:val="22"/>
          <w:szCs w:val="22"/>
        </w:rPr>
      </w:pPr>
    </w:p>
    <w:p w14:paraId="66C6D94D" w14:textId="77777777" w:rsidR="00082919" w:rsidRPr="00082919" w:rsidRDefault="00082919" w:rsidP="00082919">
      <w:pPr>
        <w:jc w:val="both"/>
        <w:rPr>
          <w:rFonts w:ascii="Verdana" w:hAnsi="Verdana"/>
          <w:sz w:val="22"/>
          <w:szCs w:val="22"/>
        </w:rPr>
      </w:pPr>
      <w:r w:rsidRPr="00082919">
        <w:rPr>
          <w:rFonts w:ascii="Verdana" w:hAnsi="Verdana"/>
          <w:b/>
          <w:bCs/>
          <w:sz w:val="22"/>
          <w:szCs w:val="22"/>
        </w:rPr>
        <w:t>LUZ KARIME FERNANDEZ CASTILLO</w:t>
      </w:r>
    </w:p>
    <w:p w14:paraId="758B507C" w14:textId="77777777" w:rsidR="00082919" w:rsidRDefault="00082919" w:rsidP="00082919">
      <w:pPr>
        <w:jc w:val="both"/>
        <w:rPr>
          <w:rFonts w:ascii="Verdana" w:hAnsi="Verdana"/>
          <w:sz w:val="22"/>
          <w:szCs w:val="22"/>
        </w:rPr>
      </w:pPr>
      <w:r w:rsidRPr="00082919">
        <w:rPr>
          <w:rFonts w:ascii="Verdana" w:hAnsi="Verdana"/>
          <w:sz w:val="22"/>
          <w:szCs w:val="22"/>
        </w:rPr>
        <w:t>Jefe de la Oficina Asesora Jurídica</w:t>
      </w:r>
    </w:p>
    <w:p w14:paraId="7FB82B2A" w14:textId="77777777" w:rsidR="00082919" w:rsidRPr="00082919" w:rsidRDefault="00082919" w:rsidP="00082919">
      <w:pPr>
        <w:jc w:val="both"/>
        <w:rPr>
          <w:rFonts w:ascii="Verdana" w:hAnsi="Verdana"/>
          <w:sz w:val="22"/>
          <w:szCs w:val="22"/>
        </w:rPr>
      </w:pPr>
    </w:p>
    <w:p w14:paraId="7C9BAC5D" w14:textId="63D42440" w:rsidR="00082919" w:rsidRPr="00082919" w:rsidRDefault="00082919" w:rsidP="00082919">
      <w:pPr>
        <w:jc w:val="both"/>
        <w:rPr>
          <w:rFonts w:ascii="Verdana" w:hAnsi="Verdana"/>
          <w:b/>
          <w:bCs/>
          <w:sz w:val="22"/>
          <w:szCs w:val="22"/>
        </w:rPr>
      </w:pPr>
      <w:r w:rsidRPr="00082919">
        <w:rPr>
          <w:rFonts w:ascii="Verdana" w:hAnsi="Verdana"/>
          <w:b/>
          <w:bCs/>
          <w:sz w:val="22"/>
          <w:szCs w:val="22"/>
        </w:rPr>
        <w:t>Notas de pie de página:</w:t>
      </w:r>
    </w:p>
    <w:p w14:paraId="7B306DC8" w14:textId="00E2BAD0" w:rsidR="00082919" w:rsidRPr="00082919" w:rsidRDefault="00082919" w:rsidP="00082919">
      <w:pPr>
        <w:jc w:val="both"/>
        <w:rPr>
          <w:rFonts w:ascii="Verdana" w:hAnsi="Verdana"/>
          <w:sz w:val="22"/>
          <w:szCs w:val="22"/>
        </w:rPr>
      </w:pPr>
      <w:r w:rsidRPr="00082919">
        <w:rPr>
          <w:rFonts w:ascii="Verdana" w:hAnsi="Verdana"/>
          <w:sz w:val="22"/>
          <w:szCs w:val="22"/>
        </w:rPr>
        <w:t>1. Como al realizar las referidas intervenciones la Administración debe aplicar el derecho, no siempre a través de funcionarios con conocimientos jurídicos, o cuando la debida ejecución de la ley requiere precisiones de orden técnico, se hace necesario que aquella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C-877 de 2000. M. P. Antonio Barrera Carbonell.</w:t>
      </w:r>
    </w:p>
    <w:p w14:paraId="5B577935" w14:textId="77777777" w:rsidR="00082919" w:rsidRPr="00082919" w:rsidRDefault="00082919" w:rsidP="00082919">
      <w:pPr>
        <w:jc w:val="both"/>
        <w:rPr>
          <w:rFonts w:ascii="Verdana" w:hAnsi="Verdana"/>
          <w:sz w:val="22"/>
          <w:szCs w:val="22"/>
        </w:rPr>
      </w:pPr>
    </w:p>
    <w:sectPr w:rsidR="00082919" w:rsidRPr="000829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19"/>
    <w:rsid w:val="00082919"/>
    <w:rsid w:val="00DB4A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ED90"/>
  <w15:chartTrackingRefBased/>
  <w15:docId w15:val="{49269A4F-2A55-4DB6-A1F0-49393279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829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829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8291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8291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8291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829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29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29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291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291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8291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8291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8291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8291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829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29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29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2919"/>
    <w:rPr>
      <w:rFonts w:eastAsiaTheme="majorEastAsia" w:cstheme="majorBidi"/>
      <w:color w:val="272727" w:themeColor="text1" w:themeTint="D8"/>
    </w:rPr>
  </w:style>
  <w:style w:type="paragraph" w:styleId="Ttulo">
    <w:name w:val="Title"/>
    <w:basedOn w:val="Normal"/>
    <w:next w:val="Normal"/>
    <w:link w:val="TtuloCar"/>
    <w:uiPriority w:val="10"/>
    <w:qFormat/>
    <w:rsid w:val="00082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29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29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29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2919"/>
    <w:pPr>
      <w:spacing w:before="160"/>
      <w:jc w:val="center"/>
    </w:pPr>
    <w:rPr>
      <w:i/>
      <w:iCs/>
      <w:color w:val="404040" w:themeColor="text1" w:themeTint="BF"/>
    </w:rPr>
  </w:style>
  <w:style w:type="character" w:customStyle="1" w:styleId="CitaCar">
    <w:name w:val="Cita Car"/>
    <w:basedOn w:val="Fuentedeprrafopredeter"/>
    <w:link w:val="Cita"/>
    <w:uiPriority w:val="29"/>
    <w:rsid w:val="00082919"/>
    <w:rPr>
      <w:i/>
      <w:iCs/>
      <w:color w:val="404040" w:themeColor="text1" w:themeTint="BF"/>
    </w:rPr>
  </w:style>
  <w:style w:type="paragraph" w:styleId="Prrafodelista">
    <w:name w:val="List Paragraph"/>
    <w:basedOn w:val="Normal"/>
    <w:uiPriority w:val="34"/>
    <w:qFormat/>
    <w:rsid w:val="00082919"/>
    <w:pPr>
      <w:ind w:left="720"/>
      <w:contextualSpacing/>
    </w:pPr>
  </w:style>
  <w:style w:type="character" w:styleId="nfasisintenso">
    <w:name w:val="Intense Emphasis"/>
    <w:basedOn w:val="Fuentedeprrafopredeter"/>
    <w:uiPriority w:val="21"/>
    <w:qFormat/>
    <w:rsid w:val="00082919"/>
    <w:rPr>
      <w:i/>
      <w:iCs/>
      <w:color w:val="2F5496" w:themeColor="accent1" w:themeShade="BF"/>
    </w:rPr>
  </w:style>
  <w:style w:type="paragraph" w:styleId="Citadestacada">
    <w:name w:val="Intense Quote"/>
    <w:basedOn w:val="Normal"/>
    <w:next w:val="Normal"/>
    <w:link w:val="CitadestacadaCar"/>
    <w:uiPriority w:val="30"/>
    <w:qFormat/>
    <w:rsid w:val="00082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82919"/>
    <w:rPr>
      <w:i/>
      <w:iCs/>
      <w:color w:val="2F5496" w:themeColor="accent1" w:themeShade="BF"/>
    </w:rPr>
  </w:style>
  <w:style w:type="character" w:styleId="Referenciaintensa">
    <w:name w:val="Intense Reference"/>
    <w:basedOn w:val="Fuentedeprrafopredeter"/>
    <w:uiPriority w:val="32"/>
    <w:qFormat/>
    <w:rsid w:val="00082919"/>
    <w:rPr>
      <w:b/>
      <w:bCs/>
      <w:smallCaps/>
      <w:color w:val="2F5496" w:themeColor="accent1" w:themeShade="BF"/>
      <w:spacing w:val="5"/>
    </w:rPr>
  </w:style>
  <w:style w:type="character" w:styleId="Hipervnculo">
    <w:name w:val="Hyperlink"/>
    <w:basedOn w:val="Fuentedeprrafopredeter"/>
    <w:uiPriority w:val="99"/>
    <w:unhideWhenUsed/>
    <w:rsid w:val="00082919"/>
    <w:rPr>
      <w:color w:val="0563C1" w:themeColor="hyperlink"/>
      <w:u w:val="single"/>
    </w:rPr>
  </w:style>
  <w:style w:type="character" w:styleId="Mencinsinresolver">
    <w:name w:val="Unresolved Mention"/>
    <w:basedOn w:val="Fuentedeprrafopredeter"/>
    <w:uiPriority w:val="99"/>
    <w:semiHidden/>
    <w:unhideWhenUsed/>
    <w:rsid w:val="00082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BA70F0-7297-421F-9353-6EF8B9003840}"/>
</file>

<file path=customXml/itemProps2.xml><?xml version="1.0" encoding="utf-8"?>
<ds:datastoreItem xmlns:ds="http://schemas.openxmlformats.org/officeDocument/2006/customXml" ds:itemID="{D9285EF6-DDE9-4C23-994E-0A1A114127F7}"/>
</file>

<file path=customXml/itemProps3.xml><?xml version="1.0" encoding="utf-8"?>
<ds:datastoreItem xmlns:ds="http://schemas.openxmlformats.org/officeDocument/2006/customXml" ds:itemID="{3C760F18-EBF0-44B9-8DD2-43C8EBDD9906}"/>
</file>

<file path=docProps/app.xml><?xml version="1.0" encoding="utf-8"?>
<Properties xmlns="http://schemas.openxmlformats.org/officeDocument/2006/extended-properties" xmlns:vt="http://schemas.openxmlformats.org/officeDocument/2006/docPropsVTypes">
  <Template>Normal</Template>
  <TotalTime>1</TotalTime>
  <Pages>1</Pages>
  <Words>1430</Words>
  <Characters>7867</Characters>
  <Application>Microsoft Office Word</Application>
  <DocSecurity>0</DocSecurity>
  <Lines>65</Lines>
  <Paragraphs>18</Paragraphs>
  <ScaleCrop>false</ScaleCrop>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2026-05-21T15:46:00Z</dcterms:created>
  <dcterms:modified xsi:type="dcterms:W3CDTF">2026-05-21T15:47:00Z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