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AA46" w14:textId="77777777" w:rsidR="008D55F2" w:rsidRPr="008D55F2" w:rsidRDefault="008D55F2" w:rsidP="008D55F2">
      <w:pPr>
        <w:spacing w:line="276" w:lineRule="auto"/>
        <w:jc w:val="center"/>
        <w:rPr>
          <w:rFonts w:ascii="Verdana" w:hAnsi="Verdana"/>
          <w:sz w:val="22"/>
          <w:szCs w:val="22"/>
        </w:rPr>
      </w:pPr>
      <w:r w:rsidRPr="008D55F2">
        <w:rPr>
          <w:rFonts w:ascii="Verdana" w:hAnsi="Verdana"/>
          <w:b/>
          <w:bCs/>
          <w:sz w:val="22"/>
          <w:szCs w:val="22"/>
        </w:rPr>
        <w:t>CONCEPTO 154 DE 2014</w:t>
      </w:r>
    </w:p>
    <w:p w14:paraId="5E26355E" w14:textId="77777777" w:rsidR="008D55F2" w:rsidRPr="008D55F2" w:rsidRDefault="008D55F2" w:rsidP="008D55F2">
      <w:pPr>
        <w:spacing w:line="276" w:lineRule="auto"/>
        <w:jc w:val="center"/>
        <w:rPr>
          <w:rFonts w:ascii="Verdana" w:hAnsi="Verdana"/>
          <w:sz w:val="22"/>
          <w:szCs w:val="22"/>
        </w:rPr>
      </w:pPr>
      <w:r w:rsidRPr="008D55F2">
        <w:rPr>
          <w:rFonts w:ascii="Verdana" w:hAnsi="Verdana"/>
          <w:sz w:val="22"/>
          <w:szCs w:val="22"/>
        </w:rPr>
        <w:t>(noviembre 10)</w:t>
      </w:r>
    </w:p>
    <w:p w14:paraId="1F0C31CB" w14:textId="77777777" w:rsidR="008D55F2" w:rsidRPr="008D55F2" w:rsidRDefault="008D55F2" w:rsidP="008D55F2">
      <w:pPr>
        <w:spacing w:line="276" w:lineRule="auto"/>
        <w:jc w:val="center"/>
        <w:rPr>
          <w:rFonts w:ascii="Verdana" w:hAnsi="Verdana"/>
          <w:sz w:val="22"/>
          <w:szCs w:val="22"/>
        </w:rPr>
      </w:pPr>
      <w:r w:rsidRPr="008D55F2">
        <w:rPr>
          <w:rFonts w:ascii="Verdana" w:hAnsi="Verdana"/>
          <w:b/>
          <w:bCs/>
          <w:sz w:val="22"/>
          <w:szCs w:val="22"/>
        </w:rPr>
        <w:t>INSTITUTO COLOMBIANO DE BIENESTAR FAMILIAR – ICBF</w:t>
      </w:r>
    </w:p>
    <w:p w14:paraId="62778823" w14:textId="77777777" w:rsidR="008D55F2" w:rsidRDefault="008D55F2" w:rsidP="008D55F2">
      <w:pPr>
        <w:spacing w:line="276" w:lineRule="auto"/>
        <w:jc w:val="both"/>
        <w:rPr>
          <w:rFonts w:ascii="Verdana" w:hAnsi="Verdana"/>
          <w:b/>
          <w:bCs/>
          <w:sz w:val="22"/>
          <w:szCs w:val="22"/>
        </w:rPr>
      </w:pPr>
    </w:p>
    <w:p w14:paraId="5075D51E" w14:textId="52780C2A"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rPr>
        <w:t>PARA:</w:t>
      </w:r>
      <w:r>
        <w:rPr>
          <w:rFonts w:ascii="Verdana" w:hAnsi="Verdana"/>
          <w:b/>
          <w:bCs/>
          <w:sz w:val="22"/>
          <w:szCs w:val="22"/>
        </w:rPr>
        <w:t xml:space="preserve"> </w:t>
      </w:r>
      <w:r w:rsidRPr="008D55F2">
        <w:rPr>
          <w:rFonts w:ascii="Verdana" w:hAnsi="Verdana"/>
          <w:sz w:val="22"/>
          <w:szCs w:val="22"/>
        </w:rPr>
        <w:t>Coordinadora Grupo Jurídico</w:t>
      </w:r>
      <w:r>
        <w:rPr>
          <w:rFonts w:ascii="Verdana" w:hAnsi="Verdana"/>
          <w:sz w:val="22"/>
          <w:szCs w:val="22"/>
        </w:rPr>
        <w:t xml:space="preserve"> </w:t>
      </w:r>
      <w:r w:rsidRPr="008D55F2">
        <w:rPr>
          <w:rFonts w:ascii="Verdana" w:hAnsi="Verdana"/>
          <w:sz w:val="22"/>
          <w:szCs w:val="22"/>
        </w:rPr>
        <w:t>Regional ICBF Valle</w:t>
      </w:r>
    </w:p>
    <w:p w14:paraId="34592D1C" w14:textId="2AE175E8" w:rsidR="008D55F2" w:rsidRDefault="008D55F2" w:rsidP="008D55F2">
      <w:pPr>
        <w:spacing w:line="276" w:lineRule="auto"/>
        <w:jc w:val="both"/>
        <w:rPr>
          <w:rFonts w:ascii="Verdana" w:hAnsi="Verdana"/>
          <w:sz w:val="22"/>
          <w:szCs w:val="22"/>
        </w:rPr>
      </w:pPr>
      <w:r w:rsidRPr="008D55F2">
        <w:rPr>
          <w:rFonts w:ascii="Verdana" w:hAnsi="Verdana"/>
          <w:b/>
          <w:bCs/>
          <w:sz w:val="22"/>
          <w:szCs w:val="22"/>
        </w:rPr>
        <w:t>ASUNTO:</w:t>
      </w:r>
      <w:r>
        <w:rPr>
          <w:rFonts w:ascii="Verdana" w:hAnsi="Verdana"/>
          <w:b/>
          <w:bCs/>
          <w:sz w:val="22"/>
          <w:szCs w:val="22"/>
        </w:rPr>
        <w:t xml:space="preserve"> </w:t>
      </w:r>
      <w:r w:rsidRPr="008D55F2">
        <w:rPr>
          <w:rFonts w:ascii="Verdana" w:hAnsi="Verdana"/>
          <w:sz w:val="22"/>
          <w:szCs w:val="22"/>
        </w:rPr>
        <w:t>Consulta sobre definición de competencia territorial</w:t>
      </w:r>
    </w:p>
    <w:p w14:paraId="0F84D7CC" w14:textId="77777777" w:rsidR="008D55F2" w:rsidRDefault="008D55F2" w:rsidP="008D55F2">
      <w:pPr>
        <w:spacing w:line="276" w:lineRule="auto"/>
        <w:jc w:val="both"/>
        <w:rPr>
          <w:rFonts w:ascii="Verdana" w:hAnsi="Verdana"/>
          <w:sz w:val="22"/>
          <w:szCs w:val="22"/>
        </w:rPr>
      </w:pPr>
    </w:p>
    <w:p w14:paraId="1CA4646D" w14:textId="68FEBC25"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solicitado por el Defensor de Familia del Centro Zonal Suroriental de la Regional ICBF Valle del Cauca, sobre el caso en cuestión, en los términos que siguen:</w:t>
      </w:r>
    </w:p>
    <w:p w14:paraId="69AD5803"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rPr>
        <w:t>1. PROBLEMA JURÍDICO</w:t>
      </w:r>
    </w:p>
    <w:p w14:paraId="3A166C4E"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¿Cómo se define la competencia para adelantar los procesos administrativos de restablecimientos de derechos?</w:t>
      </w:r>
    </w:p>
    <w:p w14:paraId="0945BC37"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rPr>
        <w:t>2. ANÁLISIS DEL PROBLEMA JURÍDICO</w:t>
      </w:r>
    </w:p>
    <w:p w14:paraId="53522F38"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Se </w:t>
      </w:r>
      <w:proofErr w:type="gramStart"/>
      <w:r w:rsidRPr="008D55F2">
        <w:rPr>
          <w:rFonts w:ascii="Verdana" w:hAnsi="Verdana"/>
          <w:sz w:val="22"/>
          <w:szCs w:val="22"/>
        </w:rPr>
        <w:t>abordara</w:t>
      </w:r>
      <w:proofErr w:type="gramEnd"/>
      <w:r w:rsidRPr="008D55F2">
        <w:rPr>
          <w:rFonts w:ascii="Verdana" w:hAnsi="Verdana"/>
          <w:sz w:val="22"/>
          <w:szCs w:val="22"/>
        </w:rPr>
        <w:t xml:space="preserve"> el tema analizando: (2.1) El interés superior y la prevalencia de los derechos del niño, niña y adolescente; (2.2) La competencia Administrativa; (2.3) la función y competencia de los Defensores de Familia en el Proceso Administrativo de Restablecimiento de Derechos según el Código de la Infancia y la Adolescencia.</w:t>
      </w:r>
    </w:p>
    <w:p w14:paraId="12EA5BC0"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u w:val="single"/>
        </w:rPr>
        <w:t>2.1 El interés superior y la prevalencia de los derechos de los niños, niñas y adolescentes.</w:t>
      </w:r>
    </w:p>
    <w:p w14:paraId="43CE9783"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La Convención sobre los Derechos del Niño en el numeral primero del artículo tercero establece que </w:t>
      </w:r>
      <w:r w:rsidRPr="008D55F2">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8D55F2">
        <w:rPr>
          <w:rFonts w:ascii="Verdana" w:hAnsi="Verdana"/>
          <w:i/>
          <w:iCs/>
          <w:sz w:val="22"/>
          <w:szCs w:val="22"/>
          <w:u w:val="single"/>
        </w:rPr>
        <w:t>una consideración primordial a que se atenderá será el interés superior del niño”. </w:t>
      </w:r>
      <w:r w:rsidRPr="008D55F2">
        <w:rPr>
          <w:rFonts w:ascii="Verdana" w:hAnsi="Verdana"/>
          <w:sz w:val="22"/>
          <w:szCs w:val="22"/>
          <w:u w:val="single"/>
        </w:rPr>
        <w:t>(Subrayado fuera de texto).</w:t>
      </w:r>
    </w:p>
    <w:p w14:paraId="6797505C"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Igualmente establece que este es sujeto de protección más amplia que los adultos, tienen derechos específicos por su circunstancia de sujeto en crecimiento, entre estos derechos especiales no podemos dejar de mencionar la obligación de los </w:t>
      </w:r>
      <w:proofErr w:type="gramStart"/>
      <w:r w:rsidRPr="008D55F2">
        <w:rPr>
          <w:rFonts w:ascii="Verdana" w:hAnsi="Verdana"/>
          <w:sz w:val="22"/>
          <w:szCs w:val="22"/>
        </w:rPr>
        <w:t>Estados Partes</w:t>
      </w:r>
      <w:proofErr w:type="gramEnd"/>
      <w:r w:rsidRPr="008D55F2">
        <w:rPr>
          <w:rFonts w:ascii="Verdana" w:hAnsi="Verdana"/>
          <w:sz w:val="22"/>
          <w:szCs w:val="22"/>
        </w:rPr>
        <w:t xml:space="preserve"> de garantizar un conocimiento procesal </w:t>
      </w:r>
      <w:r w:rsidRPr="008D55F2">
        <w:rPr>
          <w:rFonts w:ascii="Verdana" w:hAnsi="Verdana"/>
          <w:sz w:val="22"/>
          <w:szCs w:val="22"/>
        </w:rPr>
        <w:lastRenderedPageBreak/>
        <w:t>especializado cuando se trate de niños, niñas y adolescentes, que debe estar acorde con su grado de madurez y circunstancias especiales.</w:t>
      </w:r>
    </w:p>
    <w:p w14:paraId="32F2B61C" w14:textId="5F1A6EA8"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24411E19"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La Corte </w:t>
      </w:r>
      <w:proofErr w:type="gramStart"/>
      <w:r w:rsidRPr="008D55F2">
        <w:rPr>
          <w:rFonts w:ascii="Verdana" w:hAnsi="Verdana"/>
          <w:sz w:val="22"/>
          <w:szCs w:val="22"/>
        </w:rPr>
        <w:t>Constitucional</w:t>
      </w:r>
      <w:r w:rsidRPr="008D55F2">
        <w:rPr>
          <w:rFonts w:ascii="Verdana" w:hAnsi="Verdana"/>
          <w:sz w:val="22"/>
          <w:szCs w:val="22"/>
          <w:vertAlign w:val="subscript"/>
        </w:rPr>
        <w:t>[</w:t>
      </w:r>
      <w:proofErr w:type="gramEnd"/>
      <w:r w:rsidRPr="008D55F2">
        <w:rPr>
          <w:rFonts w:ascii="Verdana" w:hAnsi="Verdana"/>
          <w:sz w:val="22"/>
          <w:szCs w:val="22"/>
          <w:vertAlign w:val="subscript"/>
        </w:rPr>
        <w:t>1]</w:t>
      </w:r>
      <w:r w:rsidRPr="008D55F2">
        <w:rPr>
          <w:rFonts w:ascii="Verdana" w:hAnsi="Verdana"/>
          <w:sz w:val="22"/>
          <w:szCs w:val="22"/>
        </w:rPr>
        <w:t> expone sobre el interés superior:</w:t>
      </w:r>
    </w:p>
    <w:p w14:paraId="712C7B52"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5283FB9D" w14:textId="6FFB9B09"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2C589592"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Así lo ha reconocido la Corte Constitucional al afirmar que los derechos de los niños, niñas y adolescentes son prevalecientes, esto no significa que sean excluyentes o absolutos:</w:t>
      </w:r>
    </w:p>
    <w:p w14:paraId="5D6ECC37"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lastRenderedPageBreak/>
        <w:t>“…el sentido mismo del verbo prevalecer implica, necesariamente, el establecimiento de una relación entre dos o más intereses contrapuestos en casos concretos, entre los cuales uno (el del menor) tiene prioridad en caso de no encontrarse una forma de armonización”.</w:t>
      </w:r>
      <w:r w:rsidRPr="008D55F2">
        <w:rPr>
          <w:rFonts w:ascii="Verdana" w:hAnsi="Verdana"/>
          <w:i/>
          <w:iCs/>
          <w:sz w:val="22"/>
          <w:szCs w:val="22"/>
          <w:vertAlign w:val="subscript"/>
        </w:rPr>
        <w:t>[2]</w:t>
      </w:r>
    </w:p>
    <w:p w14:paraId="7E9D5370" w14:textId="2ED75878"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 del artículo 44 de la Constitución, el cual dispone que los derechos de los niños, niñas y adolescentes son de carácter fundamental, especial y prevalente.</w:t>
      </w:r>
    </w:p>
    <w:p w14:paraId="7496DA62"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Consiste lo anterior en que al niño, niña o adolescente se le debe otorgar un trato preferente, acorde con su caracterización jurídica en tanto sujeto de especial protección, de forma tal que se garantice su desarrollo integral y armónico como miembro de la sociedad por sobre cualquier otro derecho.</w:t>
      </w:r>
    </w:p>
    <w:p w14:paraId="5A44D49D"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1D9D8459" w14:textId="55484902"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La Corte </w:t>
      </w:r>
      <w:proofErr w:type="gramStart"/>
      <w:r w:rsidRPr="008D55F2">
        <w:rPr>
          <w:rFonts w:ascii="Verdana" w:hAnsi="Verdana"/>
          <w:sz w:val="22"/>
          <w:szCs w:val="22"/>
        </w:rPr>
        <w:t>Constitucional</w:t>
      </w:r>
      <w:r w:rsidRPr="008D55F2">
        <w:rPr>
          <w:rFonts w:ascii="Verdana" w:hAnsi="Verdana"/>
          <w:sz w:val="22"/>
          <w:szCs w:val="22"/>
          <w:vertAlign w:val="subscript"/>
        </w:rPr>
        <w:t>[</w:t>
      </w:r>
      <w:proofErr w:type="gramEnd"/>
      <w:r w:rsidRPr="008D55F2">
        <w:rPr>
          <w:rFonts w:ascii="Verdana" w:hAnsi="Verdana"/>
          <w:sz w:val="22"/>
          <w:szCs w:val="22"/>
          <w:vertAlign w:val="subscript"/>
        </w:rPr>
        <w:t>3]</w:t>
      </w:r>
      <w:r w:rsidRPr="008D55F2">
        <w:rPr>
          <w:rFonts w:ascii="Verdana" w:hAnsi="Verdana"/>
          <w:sz w:val="22"/>
          <w:szCs w:val="22"/>
        </w:rPr>
        <w:t> con fundamento en el artículo 44 de la Carta Política ha manifestado que:</w:t>
      </w:r>
    </w:p>
    <w:p w14:paraId="3EEB00BB"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 o capricho de los padres, 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w:t>
      </w:r>
      <w:r w:rsidRPr="008D55F2">
        <w:rPr>
          <w:rFonts w:ascii="Verdana" w:hAnsi="Verdana"/>
          <w:sz w:val="22"/>
          <w:szCs w:val="22"/>
        </w:rPr>
        <w:t>y </w:t>
      </w:r>
      <w:r w:rsidRPr="008D55F2">
        <w:rPr>
          <w:rFonts w:ascii="Verdana" w:hAnsi="Verdana"/>
          <w:i/>
          <w:iCs/>
          <w:sz w:val="22"/>
          <w:szCs w:val="22"/>
        </w:rPr>
        <w:t>sano de la personalidad del menor.”</w:t>
      </w:r>
    </w:p>
    <w:p w14:paraId="5887DAD4"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w:t>
      </w:r>
      <w:r w:rsidRPr="008D55F2">
        <w:rPr>
          <w:rFonts w:ascii="Verdana" w:hAnsi="Verdana"/>
          <w:sz w:val="22"/>
          <w:szCs w:val="22"/>
          <w:u w:val="single"/>
        </w:rPr>
        <w:t>el Instituto debe garantizarlos, evitar su amenaza, inobservancia o vulneración y restablecerlos de manera eficaz, oportuna y efectiva.</w:t>
      </w:r>
    </w:p>
    <w:p w14:paraId="6EE2C922" w14:textId="25A4981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lastRenderedPageBreak/>
        <w:t>El artículo 5 del Código de la Infancia establece que las normas en él contenidas son de orden público y de carácter irrenunciable, y que los principios y reglas en ellas consagrados se aplicarán de preferencia a las disposiciones contenidas en otras leyes.</w:t>
      </w:r>
    </w:p>
    <w:p w14:paraId="0D4B208E"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u w:val="single"/>
        </w:rPr>
        <w:t>(2.2) La competencia Administrativa</w:t>
      </w:r>
    </w:p>
    <w:p w14:paraId="162C9D2A"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La competencia administrativa se define como la atribución que por ministerio de la ley tienen algunas personas u órganos del estado para conocer y decidir de determinados asuntos de la administración pública.</w:t>
      </w:r>
    </w:p>
    <w:p w14:paraId="489602DD"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Por regla general, la actividad de las autoridades administrativas está delimitada en la ley, pero puede presentarse en su ejercicio enfrentamiento entre ellas, bien porque consideren de su competencia el conocimiento de un asunto o porque estimen lo contrario.</w:t>
      </w:r>
    </w:p>
    <w:p w14:paraId="3DF8B160" w14:textId="7E431DC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Con el fin de dirimir esta clase de conflictos, el artículo 33 del Código Contencioso Administrativo, en concordancia con la Ley 954 de 2005, estableció:</w:t>
      </w:r>
    </w:p>
    <w:p w14:paraId="08B98898"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“Los conflictos de competencias administrativos se promoverán de oficio o a solicitud de parte.</w:t>
      </w:r>
    </w:p>
    <w:p w14:paraId="50B9E517"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La autoridad que se considere incompetente remitirá la actuación a la que estime competente; si esta también se declara incompetente, ordenará remitir la actuación al Tribunal correspondiente o al Consejo de Estado.</w:t>
      </w:r>
    </w:p>
    <w:p w14:paraId="06969434"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 xml:space="preserve">Si dos entidades administrativas se consideran competentes para conocer del caso y definir un determinado asunto, remitirán la actuación a la Sala de Consulta y Servicio Civil del Concejo de </w:t>
      </w:r>
      <w:proofErr w:type="gramStart"/>
      <w:r w:rsidRPr="008D55F2">
        <w:rPr>
          <w:rFonts w:ascii="Verdana" w:hAnsi="Verdana"/>
          <w:i/>
          <w:iCs/>
          <w:sz w:val="22"/>
          <w:szCs w:val="22"/>
        </w:rPr>
        <w:t>estado</w:t>
      </w:r>
      <w:r w:rsidRPr="008D55F2">
        <w:rPr>
          <w:rFonts w:ascii="Verdana" w:hAnsi="Verdana"/>
          <w:sz w:val="22"/>
          <w:szCs w:val="22"/>
        </w:rPr>
        <w:t>....</w:t>
      </w:r>
      <w:proofErr w:type="gramEnd"/>
      <w:r w:rsidRPr="008D55F2">
        <w:rPr>
          <w:rFonts w:ascii="Verdana" w:hAnsi="Verdana"/>
          <w:sz w:val="22"/>
          <w:szCs w:val="22"/>
        </w:rPr>
        <w:t>"</w:t>
      </w:r>
    </w:p>
    <w:p w14:paraId="59C03122"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u w:val="single"/>
        </w:rPr>
        <w:t>(2.3) La función y competencia de los Defensores de Familia en el Proceso Administrativo de Restablecimiento de Derechos según el Código de la infancia y la Adolescencia</w:t>
      </w:r>
    </w:p>
    <w:p w14:paraId="3D29BF91" w14:textId="382F5D35"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La Ley 1098 de 2006 contentiva del Código de la Infancia y la Adolescencia, establece dentro de sus objetivos el señalamiento de las normas sustantivas y procesales tendientes a garantizar la protección integral de los niños y los adolescentes, así como el ejercicio de los derechos y libertades consagrados en los ordenamientos jurídicos tanto nacionales como internacionales.</w:t>
      </w:r>
    </w:p>
    <w:p w14:paraId="05A6EBD4"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Señala el referido Código, </w:t>
      </w:r>
      <w:proofErr w:type="gramStart"/>
      <w:r w:rsidRPr="008D55F2">
        <w:rPr>
          <w:rFonts w:ascii="Verdana" w:hAnsi="Verdana"/>
          <w:sz w:val="22"/>
          <w:szCs w:val="22"/>
        </w:rPr>
        <w:t>que</w:t>
      </w:r>
      <w:proofErr w:type="gramEnd"/>
      <w:r w:rsidRPr="008D55F2">
        <w:rPr>
          <w:rFonts w:ascii="Verdana" w:hAnsi="Verdana"/>
          <w:sz w:val="22"/>
          <w:szCs w:val="22"/>
        </w:rPr>
        <w:t xml:space="preserve"> para los efectos </w:t>
      </w:r>
      <w:proofErr w:type="gramStart"/>
      <w:r w:rsidRPr="008D55F2">
        <w:rPr>
          <w:rFonts w:ascii="Verdana" w:hAnsi="Verdana"/>
          <w:sz w:val="22"/>
          <w:szCs w:val="22"/>
        </w:rPr>
        <w:t>del mismo</w:t>
      </w:r>
      <w:proofErr w:type="gramEnd"/>
      <w:r w:rsidRPr="008D55F2">
        <w:rPr>
          <w:rFonts w:ascii="Verdana" w:hAnsi="Verdana"/>
          <w:sz w:val="22"/>
          <w:szCs w:val="22"/>
        </w:rPr>
        <w:t>, son titulares de derechos todas las personas menores de 18 años, y que su ámbito de aplicación se extiende a todos los niños y los adolescentes nacionales y extranjeros que se encuentran en el territorio nacional, a los nacionales que estén fuera del país y a los que tengan doble nacionalidad, cuando una de ellas sea la colombiana.</w:t>
      </w:r>
    </w:p>
    <w:p w14:paraId="6FB1E8CC"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lastRenderedPageBreak/>
        <w:t>Precisa igualmente la misma disposición, que las normas en él contenidas que se refieran a los niños, las niñas y los adolescentes </w:t>
      </w:r>
      <w:r w:rsidRPr="008D55F2">
        <w:rPr>
          <w:rFonts w:ascii="Verdana" w:hAnsi="Verdana"/>
          <w:i/>
          <w:iCs/>
          <w:sz w:val="22"/>
          <w:szCs w:val="22"/>
        </w:rPr>
        <w:t>“son de orden público, de carácter irrenunciable y los principios y las reglas en ellas consagradas se aplicarán de preferencia a las disposiciones contenidas en otras leyes”.</w:t>
      </w:r>
    </w:p>
    <w:p w14:paraId="173CD093" w14:textId="7F280591"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En el Capítulo III </w:t>
      </w:r>
      <w:r w:rsidRPr="008D55F2">
        <w:rPr>
          <w:rFonts w:ascii="Verdana" w:hAnsi="Verdana"/>
          <w:i/>
          <w:iCs/>
          <w:sz w:val="22"/>
          <w:szCs w:val="22"/>
        </w:rPr>
        <w:t>"Autoridades Competentes para el restablecimiento de los derechos de los niños, las niñas y los adolescentes”, </w:t>
      </w:r>
      <w:r w:rsidRPr="008D55F2">
        <w:rPr>
          <w:rFonts w:ascii="Verdana" w:hAnsi="Verdana"/>
          <w:sz w:val="22"/>
          <w:szCs w:val="22"/>
        </w:rPr>
        <w:t>al referirse a las Defensorías de Familia las define como </w:t>
      </w:r>
      <w:r w:rsidRPr="008D55F2">
        <w:rPr>
          <w:rFonts w:ascii="Verdana" w:hAnsi="Verdana"/>
          <w:i/>
          <w:iCs/>
          <w:sz w:val="22"/>
          <w:szCs w:val="22"/>
        </w:rPr>
        <w:t>“dependencias del Instituto Colombiano de Bienestar Familiar de naturaleza multidisciplinaria, encargadas de prevenir, garantizar y restablecer los derechos de los niños, niñas y adolescentes", (art. 79).</w:t>
      </w:r>
    </w:p>
    <w:p w14:paraId="131A51A0"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Por su parte el Proceso Administrativo de Restablecimiento de los Derechos de los niños, las niñas y los adolescentes se define como:</w:t>
      </w:r>
    </w:p>
    <w:p w14:paraId="73BA1FC5" w14:textId="77777777" w:rsidR="008D55F2" w:rsidRPr="008D55F2" w:rsidRDefault="008D55F2" w:rsidP="008D55F2">
      <w:pPr>
        <w:spacing w:line="276" w:lineRule="auto"/>
        <w:jc w:val="both"/>
        <w:rPr>
          <w:rFonts w:ascii="Verdana" w:hAnsi="Verdana"/>
          <w:sz w:val="22"/>
          <w:szCs w:val="22"/>
        </w:rPr>
      </w:pPr>
      <w:r w:rsidRPr="008D55F2">
        <w:rPr>
          <w:rFonts w:ascii="Verdana" w:hAnsi="Verdana"/>
          <w:i/>
          <w:iCs/>
          <w:sz w:val="22"/>
          <w:szCs w:val="22"/>
        </w:rPr>
        <w:t>“(…)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8D55F2">
        <w:rPr>
          <w:rFonts w:ascii="Verdana" w:hAnsi="Verdana"/>
          <w:i/>
          <w:iCs/>
          <w:sz w:val="22"/>
          <w:szCs w:val="22"/>
          <w:vertAlign w:val="subscript"/>
        </w:rPr>
        <w:t>[4]</w:t>
      </w:r>
    </w:p>
    <w:p w14:paraId="4661AEB2"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8D55F2">
        <w:rPr>
          <w:rFonts w:ascii="Verdana" w:hAnsi="Verdana"/>
          <w:sz w:val="22"/>
          <w:szCs w:val="22"/>
        </w:rPr>
        <w:t>Ley,</w:t>
      </w:r>
      <w:proofErr w:type="gramEnd"/>
      <w:r w:rsidRPr="008D55F2">
        <w:rPr>
          <w:rFonts w:ascii="Verdana" w:hAnsi="Verdana"/>
          <w:sz w:val="22"/>
          <w:szCs w:val="22"/>
        </w:rPr>
        <w:t xml:space="preserve"> restablezcan a los niños, las niñas y los adolescentes el ejercicio pleno y efectivo de sus derechos.</w:t>
      </w:r>
    </w:p>
    <w:p w14:paraId="2C77AC52" w14:textId="1493AC8D"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Los artículos 96, 97 y 98 de la Ley 1098 de 2006, normas de carácter especial ya prevalente, establecen la competencia para conocer del Proceso Administrativo </w:t>
      </w:r>
      <w:proofErr w:type="gramStart"/>
      <w:r w:rsidRPr="008D55F2">
        <w:rPr>
          <w:rFonts w:ascii="Verdana" w:hAnsi="Verdana"/>
          <w:sz w:val="22"/>
          <w:szCs w:val="22"/>
        </w:rPr>
        <w:t>de  Restablecimiento</w:t>
      </w:r>
      <w:proofErr w:type="gramEnd"/>
      <w:r w:rsidRPr="008D55F2">
        <w:rPr>
          <w:rFonts w:ascii="Verdana" w:hAnsi="Verdana"/>
          <w:sz w:val="22"/>
          <w:szCs w:val="22"/>
        </w:rPr>
        <w:t xml:space="preserve"> de Derechos.</w:t>
      </w:r>
    </w:p>
    <w:p w14:paraId="061A8E79"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De acuerdo con dichos artículos, la competencia para conocer de este proceso la tiene el Defensor de Familia del lugar donde se encuentre el niño, niña o adolescente en el territorio nacional, o si se encuentra en el exterior, o del lugar donde haya tenido su última residencia.</w:t>
      </w:r>
    </w:p>
    <w:p w14:paraId="43D872C7"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En este punto es pertinente aclarar que la norma en mención no hace referencia al domicilio del niño, niña y adolescente, sino al lugar donde este se encuentre, independientemente de si tiene o no el ánimo de permanecer allí.</w:t>
      </w:r>
    </w:p>
    <w:p w14:paraId="61B80652" w14:textId="0DCF57CD"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De acuerdo con las anteriores disposiciones, es claro que en materia de infancia y  adolescencia, las personas naturales y jurídicas públicas y privadas que desarrollen programas que tengan responsabilidades en asuntos de niños, niñas y adolescentes deben tomar siempre en cuenta el interés superior previsto en el </w:t>
      </w:r>
      <w:r w:rsidRPr="008D55F2">
        <w:rPr>
          <w:rFonts w:ascii="Verdana" w:hAnsi="Verdana"/>
          <w:sz w:val="22"/>
          <w:szCs w:val="22"/>
        </w:rPr>
        <w:lastRenderedPageBreak/>
        <w:t>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6BD7634F"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Es importante señalar que es fundamental la atención primaria de los niños, niñas y adolescentes por parte de la primera autoridad que conoce del caso en donde se pone en evidencia la vulneración de derechos, entendiendo que más allá de quien es el competente dentro del sistema, no deberá desatenderse jamás la calidad de la atención teniendo en cuenta la prevalencia y el interés superior de los derechos de los niños, niñas y adolescentes.</w:t>
      </w:r>
    </w:p>
    <w:p w14:paraId="4109C0A4"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 xml:space="preserve">Así las cosas, debe advertirse que entre los Defensores de Familia del ICBF no debe existir conflicto de competencia, ya que ésta se encuentra claramente definida por la Ley de Infancia y Adolescencia, por lo que cualquier dilación en este sentido del Proceso Administrativo de Restablecimiento de Derechos, agravaría considerablemente la situación en la que se encuentra el niño, niña y adolescente, e iría en contravía de los derechos </w:t>
      </w:r>
      <w:proofErr w:type="spellStart"/>
      <w:r w:rsidRPr="008D55F2">
        <w:rPr>
          <w:rFonts w:ascii="Verdana" w:hAnsi="Verdana"/>
          <w:sz w:val="22"/>
          <w:szCs w:val="22"/>
        </w:rPr>
        <w:t>ndamentales</w:t>
      </w:r>
      <w:proofErr w:type="spellEnd"/>
      <w:r w:rsidRPr="008D55F2">
        <w:rPr>
          <w:rFonts w:ascii="Verdana" w:hAnsi="Verdana"/>
          <w:sz w:val="22"/>
          <w:szCs w:val="22"/>
        </w:rPr>
        <w:t xml:space="preserve"> que le son reconocidos y amparados en la Constitución Política y en los tratados Internacionales, así como en las funciones establecidas en las normas aquí citadas.</w:t>
      </w:r>
    </w:p>
    <w:p w14:paraId="2E301FA2" w14:textId="77777777"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rPr>
        <w:t>3. CONCLUSIONES</w:t>
      </w:r>
    </w:p>
    <w:p w14:paraId="073A4B58"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Primero. En toda actuación administrativa, siempre debe prevalecer el interés superior del niño, niña o adolescente atendiendo la Constitución Política, los Convenios y Tratados Internacionales que hoy hacen parte de nuestro sistema jurídico, evitando la dilación injustificada del proceso.</w:t>
      </w:r>
    </w:p>
    <w:p w14:paraId="62691900" w14:textId="7F067BDA"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Segundo. No puede hablarse de conflicto de competencias entre Defensores de Familia del ICBF para adelantar el proceso Administrativo de Restablecimiento de Derechos, toda vez que la Ley 1098 de 2006 establece claramente la competencia territorial de la autoridad administrativa en el lugar donde se encuentre el niño, niña o adolescente.</w:t>
      </w:r>
    </w:p>
    <w:p w14:paraId="74F11161" w14:textId="2F111182"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Tercero</w:t>
      </w:r>
      <w:r w:rsidRPr="008D55F2">
        <w:rPr>
          <w:rFonts w:ascii="Verdana" w:hAnsi="Verdana"/>
          <w:b/>
          <w:bCs/>
          <w:sz w:val="22"/>
          <w:szCs w:val="22"/>
        </w:rPr>
        <w:t>: </w:t>
      </w:r>
      <w:r w:rsidRPr="008D55F2">
        <w:rPr>
          <w:rFonts w:ascii="Verdana" w:hAnsi="Verdana"/>
          <w:sz w:val="22"/>
          <w:szCs w:val="22"/>
        </w:rPr>
        <w:t xml:space="preserve">Por </w:t>
      </w:r>
      <w:proofErr w:type="gramStart"/>
      <w:r w:rsidRPr="008D55F2">
        <w:rPr>
          <w:rFonts w:ascii="Verdana" w:hAnsi="Verdana"/>
          <w:sz w:val="22"/>
          <w:szCs w:val="22"/>
        </w:rPr>
        <w:t>último</w:t>
      </w:r>
      <w:proofErr w:type="gramEnd"/>
      <w:r w:rsidRPr="008D55F2">
        <w:rPr>
          <w:rFonts w:ascii="Verdana" w:hAnsi="Verdana"/>
          <w:sz w:val="22"/>
          <w:szCs w:val="22"/>
        </w:rPr>
        <w:t xml:space="preserve"> es preciso indicar que el presente </w:t>
      </w:r>
      <w:proofErr w:type="gramStart"/>
      <w:r w:rsidRPr="008D55F2">
        <w:rPr>
          <w:rFonts w:ascii="Verdana" w:hAnsi="Verdana"/>
          <w:sz w:val="22"/>
          <w:szCs w:val="22"/>
        </w:rPr>
        <w:t>concepto</w:t>
      </w:r>
      <w:r w:rsidRPr="008D55F2">
        <w:rPr>
          <w:rFonts w:ascii="Verdana" w:hAnsi="Verdana"/>
          <w:sz w:val="22"/>
          <w:szCs w:val="22"/>
          <w:vertAlign w:val="subscript"/>
        </w:rPr>
        <w:t>[</w:t>
      </w:r>
      <w:proofErr w:type="gramEnd"/>
      <w:r w:rsidRPr="008D55F2">
        <w:rPr>
          <w:rFonts w:ascii="Verdana" w:hAnsi="Verdana"/>
          <w:sz w:val="22"/>
          <w:szCs w:val="22"/>
          <w:vertAlign w:val="subscript"/>
        </w:rPr>
        <w:t>5]</w:t>
      </w:r>
      <w:r w:rsidRPr="008D55F2">
        <w:rPr>
          <w:rFonts w:ascii="Verdana" w:hAnsi="Verdana"/>
          <w:sz w:val="22"/>
          <w:szCs w:val="22"/>
        </w:rPr>
        <w:t xml:space="preserve"> no es de obligatorio cumplimiento o ejecución para particulares o agentes externos, de conformidad con lo establecido en el artículo 28 de la Ley 1427 &lt;sic, es 1437&gt; de 2011, Código de Procedimiento Administrativo y de lo Contencioso Administrativo. No </w:t>
      </w:r>
      <w:proofErr w:type="gramStart"/>
      <w:r w:rsidRPr="008D55F2">
        <w:rPr>
          <w:rFonts w:ascii="Verdana" w:hAnsi="Verdana"/>
          <w:sz w:val="22"/>
          <w:szCs w:val="22"/>
        </w:rPr>
        <w:t>obstante</w:t>
      </w:r>
      <w:proofErr w:type="gramEnd"/>
      <w:r w:rsidRPr="008D55F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w:t>
      </w:r>
      <w:r w:rsidRPr="008D55F2">
        <w:rPr>
          <w:rFonts w:ascii="Verdana" w:hAnsi="Verdana"/>
          <w:sz w:val="22"/>
          <w:szCs w:val="22"/>
        </w:rPr>
        <w:lastRenderedPageBreak/>
        <w:t>el desarrollo de las funciones del Instituto, de conformidad con los numerales 8 y 15 del Decreto 987 de 2012.</w:t>
      </w:r>
    </w:p>
    <w:p w14:paraId="5F34A428"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Cordialmente,</w:t>
      </w:r>
    </w:p>
    <w:p w14:paraId="3A669BD1" w14:textId="77777777" w:rsidR="008D55F2" w:rsidRDefault="008D55F2" w:rsidP="008D55F2">
      <w:pPr>
        <w:spacing w:line="276" w:lineRule="auto"/>
        <w:jc w:val="both"/>
        <w:rPr>
          <w:rFonts w:ascii="Verdana" w:hAnsi="Verdana"/>
          <w:b/>
          <w:bCs/>
          <w:sz w:val="22"/>
          <w:szCs w:val="22"/>
        </w:rPr>
      </w:pPr>
    </w:p>
    <w:p w14:paraId="018A7E5B" w14:textId="22BFFD56" w:rsidR="008D55F2" w:rsidRPr="008D55F2" w:rsidRDefault="008D55F2" w:rsidP="008D55F2">
      <w:pPr>
        <w:spacing w:line="276" w:lineRule="auto"/>
        <w:jc w:val="both"/>
        <w:rPr>
          <w:rFonts w:ascii="Verdana" w:hAnsi="Verdana"/>
          <w:sz w:val="22"/>
          <w:szCs w:val="22"/>
        </w:rPr>
      </w:pPr>
      <w:r w:rsidRPr="008D55F2">
        <w:rPr>
          <w:rFonts w:ascii="Verdana" w:hAnsi="Verdana"/>
          <w:b/>
          <w:bCs/>
          <w:sz w:val="22"/>
          <w:szCs w:val="22"/>
        </w:rPr>
        <w:t>LUZ KARIME FERNÁNDEZ CASTILLO</w:t>
      </w:r>
    </w:p>
    <w:p w14:paraId="391E2B25" w14:textId="77777777" w:rsidR="008D55F2" w:rsidRPr="008D55F2" w:rsidRDefault="008D55F2" w:rsidP="008D55F2">
      <w:pPr>
        <w:spacing w:line="276" w:lineRule="auto"/>
        <w:jc w:val="both"/>
        <w:rPr>
          <w:rFonts w:ascii="Verdana" w:hAnsi="Verdana"/>
          <w:sz w:val="22"/>
          <w:szCs w:val="22"/>
        </w:rPr>
      </w:pPr>
      <w:r w:rsidRPr="008D55F2">
        <w:rPr>
          <w:rFonts w:ascii="Verdana" w:hAnsi="Verdana"/>
          <w:sz w:val="22"/>
          <w:szCs w:val="22"/>
        </w:rPr>
        <w:t>Jefe Oficina Asesora Jurídica</w:t>
      </w:r>
    </w:p>
    <w:p w14:paraId="0B1E4169" w14:textId="77777777" w:rsidR="008D55F2" w:rsidRDefault="008D55F2" w:rsidP="008D55F2">
      <w:pPr>
        <w:spacing w:line="276" w:lineRule="auto"/>
        <w:jc w:val="both"/>
        <w:rPr>
          <w:rFonts w:ascii="Verdana" w:hAnsi="Verdana"/>
          <w:sz w:val="22"/>
          <w:szCs w:val="22"/>
        </w:rPr>
      </w:pPr>
    </w:p>
    <w:p w14:paraId="556A0C39" w14:textId="43F0E216" w:rsidR="008D55F2" w:rsidRPr="008D55F2" w:rsidRDefault="008D55F2" w:rsidP="008D55F2">
      <w:pPr>
        <w:spacing w:line="276" w:lineRule="auto"/>
        <w:jc w:val="both"/>
        <w:rPr>
          <w:rFonts w:ascii="Verdana" w:hAnsi="Verdana"/>
          <w:b/>
          <w:bCs/>
          <w:sz w:val="22"/>
          <w:szCs w:val="22"/>
        </w:rPr>
      </w:pPr>
      <w:r w:rsidRPr="008D55F2">
        <w:rPr>
          <w:rFonts w:ascii="Verdana" w:hAnsi="Verdana"/>
          <w:b/>
          <w:bCs/>
          <w:sz w:val="22"/>
          <w:szCs w:val="22"/>
        </w:rPr>
        <w:t>Notas Pie de Página:</w:t>
      </w:r>
    </w:p>
    <w:p w14:paraId="6063CD95" w14:textId="2C9DCD5A" w:rsidR="008D55F2" w:rsidRPr="008D55F2" w:rsidRDefault="008D55F2" w:rsidP="008D55F2">
      <w:pPr>
        <w:pStyle w:val="Prrafodelista"/>
        <w:numPr>
          <w:ilvl w:val="0"/>
          <w:numId w:val="46"/>
        </w:numPr>
        <w:spacing w:line="276" w:lineRule="auto"/>
        <w:jc w:val="both"/>
        <w:rPr>
          <w:rFonts w:ascii="Verdana" w:hAnsi="Verdana"/>
          <w:sz w:val="22"/>
          <w:szCs w:val="22"/>
        </w:rPr>
      </w:pPr>
      <w:r w:rsidRPr="008D55F2">
        <w:rPr>
          <w:rFonts w:ascii="Verdana" w:hAnsi="Verdana"/>
          <w:sz w:val="22"/>
          <w:szCs w:val="22"/>
        </w:rPr>
        <w:t>Sentencia T-921 de 2013 M:P. Jorge Ignacio Pretelt Chaljub</w:t>
      </w:r>
    </w:p>
    <w:p w14:paraId="6FD2B607" w14:textId="55383E4D" w:rsidR="008D55F2" w:rsidRPr="008D55F2" w:rsidRDefault="008D55F2" w:rsidP="008D55F2">
      <w:pPr>
        <w:pStyle w:val="Prrafodelista"/>
        <w:numPr>
          <w:ilvl w:val="0"/>
          <w:numId w:val="46"/>
        </w:numPr>
        <w:spacing w:line="276" w:lineRule="auto"/>
        <w:jc w:val="both"/>
        <w:rPr>
          <w:rFonts w:ascii="Verdana" w:hAnsi="Verdana"/>
          <w:sz w:val="22"/>
          <w:szCs w:val="22"/>
        </w:rPr>
      </w:pPr>
      <w:r w:rsidRPr="008D55F2">
        <w:rPr>
          <w:rFonts w:ascii="Verdana" w:hAnsi="Verdana"/>
          <w:sz w:val="22"/>
          <w:szCs w:val="22"/>
        </w:rPr>
        <w:t>Sentencia T-510 de 2003 M. P. Dr. Manuel José Cepeda Espinosa</w:t>
      </w:r>
    </w:p>
    <w:p w14:paraId="019E0FC6" w14:textId="3E825998" w:rsidR="008D55F2" w:rsidRPr="008D55F2" w:rsidRDefault="008D55F2" w:rsidP="008D55F2">
      <w:pPr>
        <w:pStyle w:val="Prrafodelista"/>
        <w:numPr>
          <w:ilvl w:val="0"/>
          <w:numId w:val="46"/>
        </w:numPr>
        <w:spacing w:line="276" w:lineRule="auto"/>
        <w:jc w:val="both"/>
        <w:rPr>
          <w:rFonts w:ascii="Verdana" w:hAnsi="Verdana"/>
          <w:sz w:val="22"/>
          <w:szCs w:val="22"/>
        </w:rPr>
      </w:pPr>
      <w:r w:rsidRPr="008D55F2">
        <w:rPr>
          <w:rFonts w:ascii="Verdana" w:hAnsi="Verdana"/>
          <w:sz w:val="22"/>
          <w:szCs w:val="22"/>
        </w:rPr>
        <w:t>Sentencia T-900 de 2006, M. P. Jaime Córdoba Triviño</w:t>
      </w:r>
    </w:p>
    <w:p w14:paraId="27CFE1B1" w14:textId="643DEBC7" w:rsidR="008D55F2" w:rsidRPr="008D55F2" w:rsidRDefault="008D55F2" w:rsidP="008D55F2">
      <w:pPr>
        <w:pStyle w:val="Prrafodelista"/>
        <w:numPr>
          <w:ilvl w:val="0"/>
          <w:numId w:val="46"/>
        </w:numPr>
        <w:spacing w:line="276" w:lineRule="auto"/>
        <w:jc w:val="both"/>
        <w:rPr>
          <w:rFonts w:ascii="Verdana" w:hAnsi="Verdana"/>
          <w:sz w:val="22"/>
          <w:szCs w:val="22"/>
        </w:rPr>
      </w:pPr>
      <w:r w:rsidRPr="008D55F2">
        <w:rPr>
          <w:rFonts w:ascii="Verdana" w:hAnsi="Verdana"/>
          <w:sz w:val="22"/>
          <w:szCs w:val="22"/>
        </w:rPr>
        <w:t>Resolución No. 005929 del 27 de diciembre de 2010</w:t>
      </w:r>
    </w:p>
    <w:p w14:paraId="6D121712" w14:textId="17FF0F32" w:rsidR="008D55F2" w:rsidRPr="008D55F2" w:rsidRDefault="008D55F2" w:rsidP="008D55F2">
      <w:pPr>
        <w:pStyle w:val="Prrafodelista"/>
        <w:numPr>
          <w:ilvl w:val="0"/>
          <w:numId w:val="46"/>
        </w:numPr>
        <w:spacing w:line="276" w:lineRule="auto"/>
        <w:jc w:val="both"/>
        <w:rPr>
          <w:rFonts w:ascii="Verdana" w:hAnsi="Verdana"/>
          <w:sz w:val="22"/>
          <w:szCs w:val="22"/>
        </w:rPr>
      </w:pPr>
      <w:r w:rsidRPr="008D55F2">
        <w:rPr>
          <w:rFonts w:ascii="Verdana" w:hAnsi="Verdana"/>
          <w:sz w:val="22"/>
          <w:szCs w:val="22"/>
        </w:rPr>
        <w:t>Como al realizar las referidas intervenciones la Administración debe aplicar el derecho</w:t>
      </w:r>
      <w:r w:rsidRPr="008D55F2">
        <w:rPr>
          <w:rFonts w:ascii="Verdana" w:hAnsi="Verdana"/>
          <w:i/>
          <w:iCs/>
          <w:sz w:val="22"/>
          <w:szCs w:val="22"/>
        </w:rPr>
        <w:t>,</w:t>
      </w:r>
      <w:r w:rsidRPr="008D55F2">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8D55F2">
        <w:rPr>
          <w:rFonts w:ascii="Verdana" w:hAnsi="Verdana"/>
          <w:i/>
          <w:iCs/>
          <w:sz w:val="22"/>
          <w:szCs w:val="22"/>
        </w:rPr>
        <w:t>a </w:t>
      </w:r>
      <w:r w:rsidRPr="008D55F2">
        <w:rPr>
          <w:rFonts w:ascii="Verdana" w:hAnsi="Verdana"/>
          <w:sz w:val="22"/>
          <w:szCs w:val="22"/>
        </w:rPr>
        <w:t>las llamadas circulares o instrucciones de servicio." Corte Constitucional. Sentencia C - 877 de 2000. M.P Antonio Barrera Carbonel.</w:t>
      </w:r>
    </w:p>
    <w:p w14:paraId="4D77D58F" w14:textId="1C0DDEC6" w:rsidR="008161D5" w:rsidRPr="00526D44" w:rsidRDefault="008161D5" w:rsidP="002F48BD">
      <w:pPr>
        <w:spacing w:line="276" w:lineRule="auto"/>
        <w:jc w:val="both"/>
        <w:rPr>
          <w:rFonts w:ascii="Verdana" w:hAnsi="Verdana"/>
          <w:sz w:val="22"/>
          <w:szCs w:val="22"/>
          <w:lang w:val="es-ES"/>
        </w:rPr>
      </w:pPr>
    </w:p>
    <w:sectPr w:rsidR="008161D5" w:rsidRPr="00526D4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70671"/>
    <w:multiLevelType w:val="hybridMultilevel"/>
    <w:tmpl w:val="3B22DF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0127C1"/>
    <w:multiLevelType w:val="hybridMultilevel"/>
    <w:tmpl w:val="7DB4D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931572"/>
    <w:multiLevelType w:val="hybridMultilevel"/>
    <w:tmpl w:val="F4B8C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A823F6"/>
    <w:multiLevelType w:val="hybridMultilevel"/>
    <w:tmpl w:val="859A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F3C0323"/>
    <w:multiLevelType w:val="hybridMultilevel"/>
    <w:tmpl w:val="21F64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3C648A"/>
    <w:multiLevelType w:val="hybridMultilevel"/>
    <w:tmpl w:val="05004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0FC536F"/>
    <w:multiLevelType w:val="hybridMultilevel"/>
    <w:tmpl w:val="1076D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31829B9"/>
    <w:multiLevelType w:val="hybridMultilevel"/>
    <w:tmpl w:val="D4B8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1"/>
  </w:num>
  <w:num w:numId="3" w16cid:durableId="1094323177">
    <w:abstractNumId w:val="36"/>
  </w:num>
  <w:num w:numId="4" w16cid:durableId="1223904190">
    <w:abstractNumId w:val="45"/>
  </w:num>
  <w:num w:numId="5" w16cid:durableId="700787827">
    <w:abstractNumId w:val="39"/>
  </w:num>
  <w:num w:numId="6" w16cid:durableId="708604463">
    <w:abstractNumId w:val="19"/>
  </w:num>
  <w:num w:numId="7" w16cid:durableId="1036464083">
    <w:abstractNumId w:val="42"/>
  </w:num>
  <w:num w:numId="8" w16cid:durableId="1974091306">
    <w:abstractNumId w:val="1"/>
  </w:num>
  <w:num w:numId="9" w16cid:durableId="756711159">
    <w:abstractNumId w:val="16"/>
  </w:num>
  <w:num w:numId="10" w16cid:durableId="2140024232">
    <w:abstractNumId w:val="17"/>
  </w:num>
  <w:num w:numId="11" w16cid:durableId="748578350">
    <w:abstractNumId w:val="34"/>
  </w:num>
  <w:num w:numId="12" w16cid:durableId="202593356">
    <w:abstractNumId w:val="13"/>
  </w:num>
  <w:num w:numId="13" w16cid:durableId="565143295">
    <w:abstractNumId w:val="27"/>
  </w:num>
  <w:num w:numId="14" w16cid:durableId="646282511">
    <w:abstractNumId w:val="44"/>
  </w:num>
  <w:num w:numId="15" w16cid:durableId="1403874449">
    <w:abstractNumId w:val="32"/>
  </w:num>
  <w:num w:numId="16" w16cid:durableId="94600144">
    <w:abstractNumId w:val="12"/>
  </w:num>
  <w:num w:numId="17" w16cid:durableId="1793405570">
    <w:abstractNumId w:val="2"/>
  </w:num>
  <w:num w:numId="18" w16cid:durableId="955141426">
    <w:abstractNumId w:val="18"/>
  </w:num>
  <w:num w:numId="19" w16cid:durableId="840704667">
    <w:abstractNumId w:val="5"/>
  </w:num>
  <w:num w:numId="20" w16cid:durableId="407578416">
    <w:abstractNumId w:val="9"/>
  </w:num>
  <w:num w:numId="21" w16cid:durableId="1691759298">
    <w:abstractNumId w:val="15"/>
  </w:num>
  <w:num w:numId="22" w16cid:durableId="2044867475">
    <w:abstractNumId w:val="30"/>
  </w:num>
  <w:num w:numId="23" w16cid:durableId="884368567">
    <w:abstractNumId w:val="25"/>
  </w:num>
  <w:num w:numId="24" w16cid:durableId="21981315">
    <w:abstractNumId w:val="33"/>
  </w:num>
  <w:num w:numId="25" w16cid:durableId="411779733">
    <w:abstractNumId w:val="10"/>
  </w:num>
  <w:num w:numId="26" w16cid:durableId="236092672">
    <w:abstractNumId w:val="11"/>
  </w:num>
  <w:num w:numId="27" w16cid:durableId="490566783">
    <w:abstractNumId w:val="0"/>
  </w:num>
  <w:num w:numId="28" w16cid:durableId="1509711069">
    <w:abstractNumId w:val="3"/>
  </w:num>
  <w:num w:numId="29" w16cid:durableId="1563248771">
    <w:abstractNumId w:val="4"/>
  </w:num>
  <w:num w:numId="30" w16cid:durableId="2013407823">
    <w:abstractNumId w:val="37"/>
  </w:num>
  <w:num w:numId="31" w16cid:durableId="339502354">
    <w:abstractNumId w:val="20"/>
  </w:num>
  <w:num w:numId="32" w16cid:durableId="1333946950">
    <w:abstractNumId w:val="35"/>
  </w:num>
  <w:num w:numId="33" w16cid:durableId="178394856">
    <w:abstractNumId w:val="38"/>
  </w:num>
  <w:num w:numId="34" w16cid:durableId="238902027">
    <w:abstractNumId w:val="14"/>
  </w:num>
  <w:num w:numId="35" w16cid:durableId="1785345449">
    <w:abstractNumId w:val="26"/>
  </w:num>
  <w:num w:numId="36" w16cid:durableId="1033767766">
    <w:abstractNumId w:val="22"/>
  </w:num>
  <w:num w:numId="37" w16cid:durableId="1096750775">
    <w:abstractNumId w:val="8"/>
  </w:num>
  <w:num w:numId="38" w16cid:durableId="777019361">
    <w:abstractNumId w:val="43"/>
  </w:num>
  <w:num w:numId="39" w16cid:durableId="619264145">
    <w:abstractNumId w:val="23"/>
  </w:num>
  <w:num w:numId="40" w16cid:durableId="130486913">
    <w:abstractNumId w:val="40"/>
  </w:num>
  <w:num w:numId="41" w16cid:durableId="1130635992">
    <w:abstractNumId w:val="41"/>
  </w:num>
  <w:num w:numId="42" w16cid:durableId="344094588">
    <w:abstractNumId w:val="7"/>
  </w:num>
  <w:num w:numId="43" w16cid:durableId="1892113255">
    <w:abstractNumId w:val="28"/>
  </w:num>
  <w:num w:numId="44" w16cid:durableId="84770163">
    <w:abstractNumId w:val="24"/>
  </w:num>
  <w:num w:numId="45" w16cid:durableId="36438581">
    <w:abstractNumId w:val="29"/>
  </w:num>
  <w:num w:numId="46" w16cid:durableId="212646264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33C5C"/>
    <w:rsid w:val="00650C02"/>
    <w:rsid w:val="00692316"/>
    <w:rsid w:val="006A291A"/>
    <w:rsid w:val="006A6FD5"/>
    <w:rsid w:val="006D7C19"/>
    <w:rsid w:val="006E53EF"/>
    <w:rsid w:val="006F17AD"/>
    <w:rsid w:val="006F2E95"/>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6E5F177-8CB3-4564-B909-A34449FA9357}"/>
</file>

<file path=customXml/itemProps2.xml><?xml version="1.0" encoding="utf-8"?>
<ds:datastoreItem xmlns:ds="http://schemas.openxmlformats.org/officeDocument/2006/customXml" ds:itemID="{B0A5318B-ED2B-48A3-99DE-C053E62699C9}"/>
</file>

<file path=customXml/itemProps3.xml><?xml version="1.0" encoding="utf-8"?>
<ds:datastoreItem xmlns:ds="http://schemas.openxmlformats.org/officeDocument/2006/customXml" ds:itemID="{FD812028-887F-44DE-844A-4AB37BFCF25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215</TotalTime>
  <Pages>7</Pages>
  <Words>2667</Words>
  <Characters>14673</Characters>
  <Application>Microsoft Office Word</Application>
  <DocSecurity>0</DocSecurity>
  <Lines>122</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144</cp:revision>
  <dcterms:created xsi:type="dcterms:W3CDTF">2026-05-08T19:08:00Z</dcterms:created>
  <dcterms:modified xsi:type="dcterms:W3CDTF">2026-07-12T21:58:00Z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