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0F6F" w14:textId="77777777" w:rsidR="00A0567D" w:rsidRPr="00A0567D" w:rsidRDefault="00A0567D" w:rsidP="004F78C2">
      <w:pPr>
        <w:jc w:val="center"/>
        <w:rPr>
          <w:rFonts w:ascii="Verdana" w:hAnsi="Verdana"/>
          <w:sz w:val="22"/>
          <w:szCs w:val="22"/>
        </w:rPr>
      </w:pPr>
      <w:r w:rsidRPr="00A0567D">
        <w:rPr>
          <w:rFonts w:ascii="Verdana" w:hAnsi="Verdana"/>
          <w:b/>
          <w:bCs/>
          <w:sz w:val="22"/>
          <w:szCs w:val="22"/>
        </w:rPr>
        <w:t>CONCEPTO 148 DE 2014</w:t>
      </w:r>
    </w:p>
    <w:p w14:paraId="4D4EF156" w14:textId="77777777" w:rsidR="00A0567D" w:rsidRPr="00A0567D" w:rsidRDefault="00A0567D" w:rsidP="004F78C2">
      <w:pPr>
        <w:jc w:val="center"/>
        <w:rPr>
          <w:rFonts w:ascii="Verdana" w:hAnsi="Verdana"/>
          <w:sz w:val="22"/>
          <w:szCs w:val="22"/>
        </w:rPr>
      </w:pPr>
      <w:r w:rsidRPr="00A0567D">
        <w:rPr>
          <w:rFonts w:ascii="Verdana" w:hAnsi="Verdana"/>
          <w:sz w:val="22"/>
          <w:szCs w:val="22"/>
        </w:rPr>
        <w:t>(octubre 29)</w:t>
      </w:r>
    </w:p>
    <w:p w14:paraId="0FB055AF" w14:textId="77777777" w:rsidR="00A0567D" w:rsidRPr="00A0567D" w:rsidRDefault="00A0567D" w:rsidP="004F78C2">
      <w:pPr>
        <w:jc w:val="center"/>
        <w:rPr>
          <w:rFonts w:ascii="Verdana" w:hAnsi="Verdana"/>
          <w:sz w:val="22"/>
          <w:szCs w:val="22"/>
        </w:rPr>
      </w:pPr>
      <w:r w:rsidRPr="00A0567D">
        <w:rPr>
          <w:rFonts w:ascii="Verdana" w:hAnsi="Verdana"/>
          <w:b/>
          <w:bCs/>
          <w:sz w:val="22"/>
          <w:szCs w:val="22"/>
        </w:rPr>
        <w:t>INSTITUTO COLOMBIANO DE BIENESTAR FAMILIAR - ICBF</w:t>
      </w:r>
    </w:p>
    <w:p w14:paraId="757A2E70" w14:textId="77777777" w:rsidR="004F78C2" w:rsidRDefault="004F78C2" w:rsidP="004F78C2">
      <w:pPr>
        <w:jc w:val="both"/>
        <w:rPr>
          <w:rFonts w:ascii="Verdana" w:hAnsi="Verdana"/>
          <w:b/>
          <w:bCs/>
          <w:sz w:val="22"/>
          <w:szCs w:val="22"/>
        </w:rPr>
      </w:pPr>
    </w:p>
    <w:p w14:paraId="0EC8AD7F" w14:textId="26787055" w:rsidR="004F78C2" w:rsidRPr="004F78C2" w:rsidRDefault="004F78C2" w:rsidP="004F78C2">
      <w:pPr>
        <w:jc w:val="both"/>
        <w:rPr>
          <w:rFonts w:ascii="Verdana" w:hAnsi="Verdana"/>
          <w:sz w:val="22"/>
          <w:szCs w:val="22"/>
        </w:rPr>
      </w:pPr>
      <w:r w:rsidRPr="004F78C2">
        <w:rPr>
          <w:rFonts w:ascii="Verdana" w:hAnsi="Verdana"/>
          <w:b/>
          <w:bCs/>
          <w:sz w:val="22"/>
          <w:szCs w:val="22"/>
        </w:rPr>
        <w:t>PARA:</w:t>
      </w:r>
      <w:r>
        <w:rPr>
          <w:rFonts w:ascii="Verdana" w:hAnsi="Verdana"/>
          <w:sz w:val="22"/>
          <w:szCs w:val="22"/>
        </w:rPr>
        <w:t xml:space="preserve"> </w:t>
      </w:r>
      <w:r w:rsidRPr="004F78C2">
        <w:rPr>
          <w:rFonts w:ascii="Verdana" w:hAnsi="Verdana"/>
          <w:sz w:val="22"/>
          <w:szCs w:val="22"/>
        </w:rPr>
        <w:t>Coordinadora Jurídica ICBF Regional Valle</w:t>
      </w:r>
    </w:p>
    <w:p w14:paraId="42A5D8DD" w14:textId="6E67FC89" w:rsidR="004F78C2" w:rsidRDefault="004F78C2" w:rsidP="004F78C2">
      <w:pPr>
        <w:jc w:val="both"/>
        <w:rPr>
          <w:rFonts w:ascii="Verdana" w:hAnsi="Verdana"/>
          <w:sz w:val="22"/>
          <w:szCs w:val="22"/>
        </w:rPr>
      </w:pPr>
      <w:r w:rsidRPr="004F78C2">
        <w:rPr>
          <w:rFonts w:ascii="Verdana" w:hAnsi="Verdana"/>
          <w:b/>
          <w:bCs/>
          <w:sz w:val="22"/>
          <w:szCs w:val="22"/>
        </w:rPr>
        <w:t>ASUNTO:</w:t>
      </w:r>
      <w:r>
        <w:rPr>
          <w:rFonts w:ascii="Verdana" w:hAnsi="Verdana"/>
          <w:b/>
          <w:bCs/>
          <w:sz w:val="22"/>
          <w:szCs w:val="22"/>
        </w:rPr>
        <w:t xml:space="preserve"> </w:t>
      </w:r>
      <w:r w:rsidRPr="004F78C2">
        <w:rPr>
          <w:rFonts w:ascii="Verdana" w:hAnsi="Verdana"/>
          <w:sz w:val="22"/>
          <w:szCs w:val="22"/>
        </w:rPr>
        <w:t>Consulta sobre la presencia del Defensor de Familia en la diligencia de aprensión en flagrancia de un adolescente en el momento de la comisión de un delito.</w:t>
      </w:r>
    </w:p>
    <w:p w14:paraId="2335E6EB" w14:textId="77777777" w:rsidR="004F78C2" w:rsidRPr="004F78C2" w:rsidRDefault="004F78C2" w:rsidP="004F78C2">
      <w:pPr>
        <w:jc w:val="both"/>
        <w:rPr>
          <w:rFonts w:ascii="Verdana" w:hAnsi="Verdana"/>
          <w:b/>
          <w:bCs/>
          <w:sz w:val="22"/>
          <w:szCs w:val="22"/>
        </w:rPr>
      </w:pPr>
    </w:p>
    <w:p w14:paraId="24FE58A0" w14:textId="63EAD2CC" w:rsidR="00A0567D" w:rsidRPr="00A0567D" w:rsidRDefault="00A0567D" w:rsidP="00A0567D">
      <w:pPr>
        <w:jc w:val="both"/>
        <w:rPr>
          <w:rFonts w:ascii="Verdana" w:hAnsi="Verdana"/>
          <w:sz w:val="22"/>
          <w:szCs w:val="22"/>
        </w:rPr>
      </w:pPr>
      <w:r w:rsidRPr="00A0567D">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de conformidad con la solicitud del Defensor de Familia XXX del Centro Zonal Tuluá ICBF, en los siguientes términos:</w:t>
      </w:r>
    </w:p>
    <w:p w14:paraId="4C9AAC58"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1. PROBLEMA JURÍDICO</w:t>
      </w:r>
    </w:p>
    <w:p w14:paraId="64D28AFA" w14:textId="77777777" w:rsidR="00A0567D" w:rsidRPr="00A0567D" w:rsidRDefault="00A0567D" w:rsidP="00A0567D">
      <w:pPr>
        <w:jc w:val="both"/>
        <w:rPr>
          <w:rFonts w:ascii="Verdana" w:hAnsi="Verdana"/>
          <w:sz w:val="22"/>
          <w:szCs w:val="22"/>
        </w:rPr>
      </w:pPr>
      <w:r w:rsidRPr="00A0567D">
        <w:rPr>
          <w:rFonts w:ascii="Verdana" w:hAnsi="Verdana"/>
          <w:sz w:val="22"/>
          <w:szCs w:val="22"/>
        </w:rPr>
        <w:t>¿Debe estar presente el Defensor de Familia en la diligencia de aprensión en flagrancia de un adolescente que estaba en la comisión de un delito?</w:t>
      </w:r>
    </w:p>
    <w:p w14:paraId="7C2A7EF2"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2. ANÁLISIS DEL PROBLEMA JURÍDICO</w:t>
      </w:r>
    </w:p>
    <w:p w14:paraId="0554F9DC" w14:textId="77777777" w:rsidR="00A0567D" w:rsidRPr="00A0567D" w:rsidRDefault="00A0567D" w:rsidP="00A0567D">
      <w:pPr>
        <w:jc w:val="both"/>
        <w:rPr>
          <w:rFonts w:ascii="Verdana" w:hAnsi="Verdana"/>
          <w:sz w:val="22"/>
          <w:szCs w:val="22"/>
        </w:rPr>
      </w:pPr>
      <w:r w:rsidRPr="00A0567D">
        <w:rPr>
          <w:rFonts w:ascii="Verdana" w:hAnsi="Verdana"/>
          <w:sz w:val="22"/>
          <w:szCs w:val="22"/>
        </w:rPr>
        <w:t xml:space="preserve">Se </w:t>
      </w:r>
      <w:proofErr w:type="gramStart"/>
      <w:r w:rsidRPr="00A0567D">
        <w:rPr>
          <w:rFonts w:ascii="Verdana" w:hAnsi="Verdana"/>
          <w:sz w:val="22"/>
          <w:szCs w:val="22"/>
        </w:rPr>
        <w:t>abordara</w:t>
      </w:r>
      <w:proofErr w:type="gramEnd"/>
      <w:r w:rsidRPr="00A0567D">
        <w:rPr>
          <w:rFonts w:ascii="Verdana" w:hAnsi="Verdana"/>
          <w:sz w:val="22"/>
          <w:szCs w:val="22"/>
        </w:rPr>
        <w:t xml:space="preserve"> el tema analizando: 2.1. Presencia del Defensor de Familia en todas las actuaciones que involucren al adolescente en el Sistema de Responsabilidad Penal para Adolescentes. 2.2. La obligatoriedad de las decisiones proferidas por la administración de justicia. 2.3. La atención permanente de las Defensorías de Familia en el Sistema de Responsabilidad Penal para Adolescentes. 2.4. Caso concreto.</w:t>
      </w:r>
    </w:p>
    <w:p w14:paraId="28022EC9"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2.1 Presencia del Defensor de Familia en todas las actuaciones que involucren al adolescente en el Sistema de Responsabilidad Penal para Adolescentes.</w:t>
      </w:r>
    </w:p>
    <w:p w14:paraId="76C9A1E5" w14:textId="2CA4D64B" w:rsidR="00A0567D" w:rsidRPr="00A0567D" w:rsidRDefault="00A0567D" w:rsidP="00A0567D">
      <w:pPr>
        <w:jc w:val="both"/>
        <w:rPr>
          <w:rFonts w:ascii="Verdana" w:hAnsi="Verdana"/>
          <w:sz w:val="22"/>
          <w:szCs w:val="22"/>
        </w:rPr>
      </w:pPr>
      <w:r w:rsidRPr="00A0567D">
        <w:rPr>
          <w:rFonts w:ascii="Verdana" w:hAnsi="Verdana"/>
          <w:sz w:val="22"/>
          <w:szCs w:val="22"/>
        </w:rPr>
        <w:t>El artículo 146 del Código de Infancia y Adolescencia establece que el Defensor de Familia debe estar presente en todas las actuaciones del proceso y en las etapas de indagación, investigación y juicio acompañando al adolescente y verificando la garantía de sus derechos, ésta disposición implica la disponibilidad de la Autoridad Administrativa para efectuar diligencias administrativas y judiciales en favor de los derechos del adolescente en conflicto con la ley penal cuando el Sistema de Responsabilidad Penal para adolescentes lo requiera.</w:t>
      </w:r>
    </w:p>
    <w:p w14:paraId="3054B5F8" w14:textId="7A2A20DB" w:rsidR="00A0567D" w:rsidRPr="00A0567D" w:rsidRDefault="00A0567D" w:rsidP="00A0567D">
      <w:pPr>
        <w:jc w:val="both"/>
        <w:rPr>
          <w:rFonts w:ascii="Verdana" w:hAnsi="Verdana"/>
          <w:sz w:val="22"/>
          <w:szCs w:val="22"/>
        </w:rPr>
      </w:pPr>
      <w:r w:rsidRPr="00A0567D">
        <w:rPr>
          <w:rFonts w:ascii="Verdana" w:hAnsi="Verdana"/>
          <w:sz w:val="22"/>
          <w:szCs w:val="22"/>
        </w:rPr>
        <w:lastRenderedPageBreak/>
        <w:t>Al respecto la Corte Constitucional consagró: </w:t>
      </w:r>
      <w:r w:rsidRPr="00A0567D">
        <w:rPr>
          <w:rFonts w:ascii="Verdana" w:hAnsi="Verdana"/>
          <w:i/>
          <w:iCs/>
          <w:sz w:val="22"/>
          <w:szCs w:val="22"/>
        </w:rPr>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163-8 se reitera esa obligación y agrega que también puede tomar medidas “para su restablecimiento”,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“situación familiar, económica, social, psicológica y cultural del adolescente y cualquier otra materia que a juicio del funcionario sea de relevancia para la imposición de la sanción”</w:t>
      </w:r>
      <w:r w:rsidRPr="00A0567D">
        <w:rPr>
          <w:rFonts w:ascii="Verdana" w:hAnsi="Verdana"/>
          <w:b/>
          <w:bCs/>
          <w:sz w:val="22"/>
          <w:szCs w:val="22"/>
          <w:vertAlign w:val="superscript"/>
        </w:rPr>
        <w:t>(1)</w:t>
      </w:r>
      <w:r w:rsidRPr="00A0567D">
        <w:rPr>
          <w:rFonts w:ascii="Verdana" w:hAnsi="Verdana"/>
          <w:i/>
          <w:iCs/>
          <w:sz w:val="22"/>
          <w:szCs w:val="22"/>
        </w:rPr>
        <w:t>.</w:t>
      </w:r>
    </w:p>
    <w:p w14:paraId="3CD5B499" w14:textId="77777777" w:rsidR="00A0567D" w:rsidRPr="00A0567D" w:rsidRDefault="00A0567D" w:rsidP="00A0567D">
      <w:pPr>
        <w:jc w:val="both"/>
        <w:rPr>
          <w:rFonts w:ascii="Verdana" w:hAnsi="Verdana"/>
          <w:sz w:val="22"/>
          <w:szCs w:val="22"/>
        </w:rPr>
      </w:pPr>
      <w:r w:rsidRPr="00A0567D">
        <w:rPr>
          <w:rFonts w:ascii="Verdana" w:hAnsi="Verdana"/>
          <w:sz w:val="22"/>
          <w:szCs w:val="22"/>
        </w:rPr>
        <w:t>Así las cosas si es aprendido &lt;sic&gt; un adolescente en flagrancia por la comisión de un delito en jornada no laboral, el Defensor de Familia asignado debe estar en disposición de asistir de manera inmediata a todas las diligencias preliminares propias del proceso penal, lo cual, de conformidad con el Estatuto del Defensor de Familia implica “verificación de la existencia del </w:t>
      </w:r>
      <w:r w:rsidRPr="00A0567D">
        <w:rPr>
          <w:rFonts w:ascii="Verdana" w:hAnsi="Verdana"/>
          <w:i/>
          <w:iCs/>
          <w:sz w:val="22"/>
          <w:szCs w:val="22"/>
        </w:rPr>
        <w:t>acta de derechos del aprendido, apertura y diligenciamiento de la historia de atención, recibo del acta de verificación de buen trato por las autoridades policivas que lo aprendieron, entrevista psicosocial inicial, verificación de la garantía de derechos y medidas administrativas iniciales de ser necesario para el restablecimiento de derechos del adolescente”</w:t>
      </w:r>
      <w:r w:rsidRPr="00A0567D">
        <w:rPr>
          <w:rFonts w:ascii="Verdana" w:hAnsi="Verdana"/>
          <w:b/>
          <w:bCs/>
          <w:sz w:val="22"/>
          <w:szCs w:val="22"/>
          <w:vertAlign w:val="superscript"/>
        </w:rPr>
        <w:t>(2)</w:t>
      </w:r>
      <w:r w:rsidRPr="00A0567D">
        <w:rPr>
          <w:rFonts w:ascii="Verdana" w:hAnsi="Verdana"/>
          <w:i/>
          <w:iCs/>
          <w:sz w:val="22"/>
          <w:szCs w:val="22"/>
        </w:rPr>
        <w:t>.</w:t>
      </w:r>
    </w:p>
    <w:p w14:paraId="6D7E32B0"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2.2 La obligatoriedad de las decisiones proferidas por la administración de justicia.</w:t>
      </w:r>
    </w:p>
    <w:p w14:paraId="1D6B735D" w14:textId="77777777" w:rsidR="00A0567D" w:rsidRPr="00A0567D" w:rsidRDefault="00A0567D" w:rsidP="00A0567D">
      <w:pPr>
        <w:jc w:val="both"/>
        <w:rPr>
          <w:rFonts w:ascii="Verdana" w:hAnsi="Verdana"/>
          <w:sz w:val="22"/>
          <w:szCs w:val="22"/>
        </w:rPr>
      </w:pPr>
      <w:r w:rsidRPr="00A0567D">
        <w:rPr>
          <w:rFonts w:ascii="Verdana" w:hAnsi="Verdana"/>
          <w:sz w:val="22"/>
          <w:szCs w:val="22"/>
        </w:rPr>
        <w:t>Colombia es un estado social de derecho, con autonomía e independencia entre sus ramas del poder público, esto es, rama legislativa, rama ejecutiva y rama judicial.</w:t>
      </w:r>
    </w:p>
    <w:p w14:paraId="3E358024" w14:textId="2FC4DE12" w:rsidR="00A0567D" w:rsidRPr="00A0567D" w:rsidRDefault="00A0567D" w:rsidP="00A0567D">
      <w:pPr>
        <w:jc w:val="both"/>
        <w:rPr>
          <w:rFonts w:ascii="Verdana" w:hAnsi="Verdana"/>
          <w:sz w:val="22"/>
          <w:szCs w:val="22"/>
        </w:rPr>
      </w:pPr>
      <w:r w:rsidRPr="00A0567D">
        <w:rPr>
          <w:rFonts w:ascii="Verdana" w:hAnsi="Verdana"/>
          <w:sz w:val="22"/>
          <w:szCs w:val="22"/>
        </w:rPr>
        <w:t>La Constitución Política de Colombia, establece en su artículo 228, que la administración de justicia es una función pública y que sus decisiones son independientes, y su funcionamiento desconcentrado y autónomo.</w:t>
      </w:r>
    </w:p>
    <w:p w14:paraId="2581B840" w14:textId="4AA04DC6" w:rsidR="00A0567D" w:rsidRPr="00A0567D" w:rsidRDefault="00A0567D" w:rsidP="00A0567D">
      <w:pPr>
        <w:jc w:val="both"/>
        <w:rPr>
          <w:rFonts w:ascii="Verdana" w:hAnsi="Verdana"/>
          <w:sz w:val="22"/>
          <w:szCs w:val="22"/>
        </w:rPr>
      </w:pPr>
      <w:r w:rsidRPr="00A0567D">
        <w:rPr>
          <w:rFonts w:ascii="Verdana" w:hAnsi="Verdana"/>
          <w:sz w:val="22"/>
          <w:szCs w:val="22"/>
        </w:rPr>
        <w:t>A su turno, la Ley 270 de 1996, Estatutaria de la Administración de Justicia, en su artículo 5o, establece que </w:t>
      </w:r>
      <w:r w:rsidRPr="00A0567D">
        <w:rPr>
          <w:rFonts w:ascii="Verdana" w:hAnsi="Verdana"/>
          <w:i/>
          <w:iCs/>
          <w:sz w:val="22"/>
          <w:szCs w:val="22"/>
        </w:rPr>
        <w:t>“La Rama Judicial es independiente y autónoma en el ejercicio de su función constitucional y legal de administrar justicia. Ningún superior jerárquico en el orden administrativo o jurisdiccional podrá insinuar, exigir, determinar o aconsejar a un funcionario judicial para imponerle las decisiones o criterios que deba adoptar en sus providencias”.</w:t>
      </w:r>
    </w:p>
    <w:p w14:paraId="7C863A8D" w14:textId="77777777" w:rsidR="00A0567D" w:rsidRPr="00A0567D" w:rsidRDefault="00A0567D" w:rsidP="00A0567D">
      <w:pPr>
        <w:jc w:val="both"/>
        <w:rPr>
          <w:rFonts w:ascii="Verdana" w:hAnsi="Verdana"/>
          <w:sz w:val="22"/>
          <w:szCs w:val="22"/>
        </w:rPr>
      </w:pPr>
      <w:r w:rsidRPr="00A0567D">
        <w:rPr>
          <w:rFonts w:ascii="Verdana" w:hAnsi="Verdana"/>
          <w:sz w:val="22"/>
          <w:szCs w:val="22"/>
        </w:rPr>
        <w:t xml:space="preserve">Conforme lo anterior, ninguna entidad pública o judicial puede decidir o insinuar al Juez competente como fallar sus providencias, toda vez que, éste es </w:t>
      </w:r>
      <w:r w:rsidRPr="00A0567D">
        <w:rPr>
          <w:rFonts w:ascii="Verdana" w:hAnsi="Verdana"/>
          <w:sz w:val="22"/>
          <w:szCs w:val="22"/>
        </w:rPr>
        <w:lastRenderedPageBreak/>
        <w:t>independiente y autónomo en el ejercicio de su función constitucional y legal de administrar justicia.</w:t>
      </w:r>
    </w:p>
    <w:p w14:paraId="4481221E" w14:textId="77777777" w:rsidR="00A0567D" w:rsidRPr="00A0567D" w:rsidRDefault="00A0567D" w:rsidP="00A0567D">
      <w:pPr>
        <w:jc w:val="both"/>
        <w:rPr>
          <w:rFonts w:ascii="Verdana" w:hAnsi="Verdana"/>
          <w:sz w:val="22"/>
          <w:szCs w:val="22"/>
        </w:rPr>
      </w:pPr>
      <w:r w:rsidRPr="00A0567D">
        <w:rPr>
          <w:rFonts w:ascii="Verdana" w:hAnsi="Verdana"/>
          <w:sz w:val="22"/>
          <w:szCs w:val="22"/>
        </w:rPr>
        <w:t xml:space="preserve">Así mismo, debe tenerse en cuenta que las decisiones proferidas por la administración de justicia no solo deben ser </w:t>
      </w:r>
      <w:proofErr w:type="gramStart"/>
      <w:r w:rsidRPr="00A0567D">
        <w:rPr>
          <w:rFonts w:ascii="Verdana" w:hAnsi="Verdana"/>
          <w:sz w:val="22"/>
          <w:szCs w:val="22"/>
        </w:rPr>
        <w:t>respetadas</w:t>
      </w:r>
      <w:proofErr w:type="gramEnd"/>
      <w:r w:rsidRPr="00A0567D">
        <w:rPr>
          <w:rFonts w:ascii="Verdana" w:hAnsi="Verdana"/>
          <w:sz w:val="22"/>
          <w:szCs w:val="22"/>
        </w:rPr>
        <w:t xml:space="preserve"> sino que son de obligatorio cumplimiento para sus destinatarios, es así </w:t>
      </w:r>
      <w:proofErr w:type="gramStart"/>
      <w:r w:rsidRPr="00A0567D">
        <w:rPr>
          <w:rFonts w:ascii="Verdana" w:hAnsi="Verdana"/>
          <w:sz w:val="22"/>
          <w:szCs w:val="22"/>
        </w:rPr>
        <w:t>que</w:t>
      </w:r>
      <w:proofErr w:type="gramEnd"/>
      <w:r w:rsidRPr="00A0567D">
        <w:rPr>
          <w:rFonts w:ascii="Verdana" w:hAnsi="Verdana"/>
          <w:sz w:val="22"/>
          <w:szCs w:val="22"/>
        </w:rPr>
        <w:t xml:space="preserve"> su incumplimiento puede generar no solo consecuencias pecuniarias, sino también disciplinarias, de arresto y hasta penales, al respecto, es necesario enunciar las siguientes sanciones consagradas en el ordenamiento jurídico:</w:t>
      </w:r>
    </w:p>
    <w:p w14:paraId="2906AC25" w14:textId="257D079C" w:rsidR="00A0567D" w:rsidRPr="00A0567D" w:rsidRDefault="00A0567D" w:rsidP="00A0567D">
      <w:pPr>
        <w:jc w:val="both"/>
        <w:rPr>
          <w:rFonts w:ascii="Verdana" w:hAnsi="Verdana"/>
          <w:sz w:val="22"/>
          <w:szCs w:val="22"/>
        </w:rPr>
      </w:pPr>
      <w:r w:rsidRPr="00A0567D">
        <w:rPr>
          <w:rFonts w:ascii="Verdana" w:hAnsi="Verdana"/>
          <w:i/>
          <w:iCs/>
          <w:sz w:val="22"/>
          <w:szCs w:val="22"/>
        </w:rPr>
        <w:t>"Código de Procedimiento Civil. Artículo 39. Poderes Disciplinarios del Juez. El Juez tendrá los siguientes poderes disciplinarios: 1. Sancionar con multas de dos a cinco salarios mínimos mensuales a sus empleados, a los demás empleados públicos y a los particulares que sin justa causa incumplan las órdenes que les imparta en ejercicio de sus funciones o demoren su ejecución. 2. Sancionar con pena de arresto inconmutable hasta por cinco días a quienes le falten al debido respeto en el ejercicio de sus funciones o por razón de ellas.</w:t>
      </w:r>
    </w:p>
    <w:p w14:paraId="0006D9B8" w14:textId="77777777" w:rsidR="00A0567D" w:rsidRPr="00A0567D" w:rsidRDefault="00A0567D" w:rsidP="00A0567D">
      <w:pPr>
        <w:jc w:val="both"/>
        <w:rPr>
          <w:rFonts w:ascii="Verdana" w:hAnsi="Verdana"/>
          <w:sz w:val="22"/>
          <w:szCs w:val="22"/>
        </w:rPr>
      </w:pPr>
      <w:r w:rsidRPr="00A0567D">
        <w:rPr>
          <w:rFonts w:ascii="Verdana" w:hAnsi="Verdana"/>
          <w:i/>
          <w:iCs/>
          <w:sz w:val="22"/>
          <w:szCs w:val="22"/>
        </w:rPr>
        <w:t>(…)”</w:t>
      </w:r>
    </w:p>
    <w:p w14:paraId="21DB05E4" w14:textId="02EEF367" w:rsidR="00A0567D" w:rsidRPr="00A0567D" w:rsidRDefault="00A0567D" w:rsidP="00A0567D">
      <w:pPr>
        <w:jc w:val="both"/>
        <w:rPr>
          <w:rFonts w:ascii="Verdana" w:hAnsi="Verdana"/>
          <w:sz w:val="22"/>
          <w:szCs w:val="22"/>
        </w:rPr>
      </w:pPr>
      <w:r w:rsidRPr="00A0567D">
        <w:rPr>
          <w:rFonts w:ascii="Verdana" w:hAnsi="Verdana"/>
          <w:i/>
          <w:iCs/>
          <w:sz w:val="22"/>
          <w:szCs w:val="22"/>
        </w:rPr>
        <w:t>“Código Penal. Artículo 454. Fraude a Resolución Judicial o Administrativa de Policía. El que por cualquier medio se sustraiga al cumplimiento de obligación impuesta en resolución judicial o administrativa de policía, incurrirá en prisión de uno (1) a cuatro (4) años y multa de cinco (5) a cincuenta (50) salarios mínimos legales mensuales vigentes”.</w:t>
      </w:r>
    </w:p>
    <w:p w14:paraId="6A7DCF72" w14:textId="30A7BED9" w:rsidR="00A0567D" w:rsidRPr="00A0567D" w:rsidRDefault="00A0567D" w:rsidP="00A0567D">
      <w:pPr>
        <w:jc w:val="both"/>
        <w:rPr>
          <w:rFonts w:ascii="Verdana" w:hAnsi="Verdana"/>
          <w:sz w:val="22"/>
          <w:szCs w:val="22"/>
        </w:rPr>
      </w:pPr>
      <w:r w:rsidRPr="00A0567D">
        <w:rPr>
          <w:rFonts w:ascii="Verdana" w:hAnsi="Verdana"/>
          <w:i/>
          <w:iCs/>
          <w:sz w:val="22"/>
          <w:szCs w:val="22"/>
        </w:rPr>
        <w:t xml:space="preserve">“Código Disciplinario Único. Artículo 35. Prohibiciones. A todo servidor público le está prohibido </w:t>
      </w:r>
      <w:proofErr w:type="gramStart"/>
      <w:r w:rsidRPr="00A0567D">
        <w:rPr>
          <w:rFonts w:ascii="Verdana" w:hAnsi="Verdana"/>
          <w:i/>
          <w:iCs/>
          <w:sz w:val="22"/>
          <w:szCs w:val="22"/>
        </w:rPr>
        <w:t>(….</w:t>
      </w:r>
      <w:proofErr w:type="gramEnd"/>
      <w:r w:rsidRPr="00A0567D">
        <w:rPr>
          <w:rFonts w:ascii="Verdana" w:hAnsi="Verdana"/>
          <w:i/>
          <w:iCs/>
          <w:sz w:val="22"/>
          <w:szCs w:val="22"/>
        </w:rPr>
        <w:t>) 24. Incumplir cualquier decisión judicial, fiscal, administrativa o disciplinaria en razón o con ocasión del cargo o funciones, u obstaculizar su ejecución.”</w:t>
      </w:r>
    </w:p>
    <w:p w14:paraId="778C4B29"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2.3 La atención permanente de las Defensorías de Familia en el Sistema de Responsabilidad Penal para Adolescentes.</w:t>
      </w:r>
    </w:p>
    <w:p w14:paraId="5C2C62AC" w14:textId="75206104" w:rsidR="00A0567D" w:rsidRPr="00A0567D" w:rsidRDefault="00A0567D" w:rsidP="00A0567D">
      <w:pPr>
        <w:jc w:val="both"/>
        <w:rPr>
          <w:rFonts w:ascii="Verdana" w:hAnsi="Verdana"/>
          <w:sz w:val="22"/>
          <w:szCs w:val="22"/>
        </w:rPr>
      </w:pPr>
      <w:r w:rsidRPr="00A0567D">
        <w:rPr>
          <w:rFonts w:ascii="Verdana" w:hAnsi="Verdana"/>
          <w:sz w:val="22"/>
          <w:szCs w:val="22"/>
        </w:rPr>
        <w:t>El artículo 87 del Código de la Infancia y la Adolescencia establece la atención permanente y continua de las Defensorías de Familia con la finalidad de asegurar la protección y el restablecimiento de derechos de niños, niñas y adolescentes, para lo cual, el Estado debe garantizar los mecanismos que se requieran para su cumplimiento; lo anterior implica la atención en horario no laboral y en todo caso la disponibilidad de una Defensoría de Familia las 24 horas del día.</w:t>
      </w:r>
    </w:p>
    <w:p w14:paraId="2DD24736" w14:textId="26D5A33A" w:rsidR="00A0567D" w:rsidRPr="00A0567D" w:rsidRDefault="00A0567D" w:rsidP="00A0567D">
      <w:pPr>
        <w:jc w:val="both"/>
        <w:rPr>
          <w:rFonts w:ascii="Verdana" w:hAnsi="Verdana"/>
          <w:sz w:val="22"/>
          <w:szCs w:val="22"/>
        </w:rPr>
      </w:pPr>
      <w:r w:rsidRPr="00A0567D">
        <w:rPr>
          <w:rFonts w:ascii="Verdana" w:hAnsi="Verdana"/>
          <w:sz w:val="22"/>
          <w:szCs w:val="22"/>
        </w:rPr>
        <w:t xml:space="preserve">El Instituto Colombiano de Bienestar Familiar mediante regulaciones internas, como son la Circular 012 de 2009 (quinta fase), la Circular 016 de 2010 (sexta fase) y las Resoluciones 2859 y 8000 de 2013, ha organizado el esquema de trabajo para la atención permanente de las Defensorías de Familia, de esta </w:t>
      </w:r>
      <w:r w:rsidRPr="00A0567D">
        <w:rPr>
          <w:rFonts w:ascii="Verdana" w:hAnsi="Verdana"/>
          <w:sz w:val="22"/>
          <w:szCs w:val="22"/>
        </w:rPr>
        <w:lastRenderedPageBreak/>
        <w:t xml:space="preserve">manera consagró directrices para que cada </w:t>
      </w:r>
      <w:proofErr w:type="gramStart"/>
      <w:r w:rsidRPr="00A0567D">
        <w:rPr>
          <w:rFonts w:ascii="Verdana" w:hAnsi="Verdana"/>
          <w:sz w:val="22"/>
          <w:szCs w:val="22"/>
        </w:rPr>
        <w:t>Director Regional</w:t>
      </w:r>
      <w:proofErr w:type="gramEnd"/>
      <w:r w:rsidRPr="00A0567D">
        <w:rPr>
          <w:rFonts w:ascii="Verdana" w:hAnsi="Verdana"/>
          <w:sz w:val="22"/>
          <w:szCs w:val="22"/>
        </w:rPr>
        <w:t xml:space="preserve"> ICBF organice en su respectiva jurisdicción la coordinación y control de las disponibilidades.</w:t>
      </w:r>
    </w:p>
    <w:p w14:paraId="7702BD94" w14:textId="445FCE3B" w:rsidR="00A0567D" w:rsidRPr="00A0567D" w:rsidRDefault="00A0567D" w:rsidP="00A0567D">
      <w:pPr>
        <w:jc w:val="both"/>
        <w:rPr>
          <w:rFonts w:ascii="Verdana" w:hAnsi="Verdana"/>
          <w:sz w:val="22"/>
          <w:szCs w:val="22"/>
        </w:rPr>
      </w:pPr>
      <w:r w:rsidRPr="00A0567D">
        <w:rPr>
          <w:rFonts w:ascii="Verdana" w:hAnsi="Verdana"/>
          <w:sz w:val="22"/>
          <w:szCs w:val="22"/>
        </w:rPr>
        <w:t>De conformidad con lo expuesto y teniendo en cuenta e rol desempeñado por el Defensor de Familia en el Sistema de Responsabilidad Penal para Adolescentes, artículo 146 del Código de Infancia y Adolescencia, la Autoridad Administrativa debe estar en todas las actuaciones del proceso penal –desde la indagación hasta el juicio-, lo cual implica en algunas ocasiones actuaciones administrativas o diligencias judiciales por fuera de la jornada laboral, como ejemplo, la verificación de la garantía de derechos de los adolescentes aprendidos en flagrancia y la asistencia a la audiencia de legalización de la aprensión.</w:t>
      </w:r>
    </w:p>
    <w:p w14:paraId="3F2FC43C" w14:textId="77777777" w:rsidR="00A0567D" w:rsidRPr="00A0567D" w:rsidRDefault="00A0567D" w:rsidP="00A0567D">
      <w:pPr>
        <w:jc w:val="both"/>
        <w:rPr>
          <w:rFonts w:ascii="Verdana" w:hAnsi="Verdana"/>
          <w:sz w:val="22"/>
          <w:szCs w:val="22"/>
        </w:rPr>
      </w:pPr>
      <w:r w:rsidRPr="00A0567D">
        <w:rPr>
          <w:rFonts w:ascii="Verdana" w:hAnsi="Verdana"/>
          <w:sz w:val="22"/>
          <w:szCs w:val="22"/>
        </w:rPr>
        <w:t>Finalmente, debe tenerse en cuenta que una Defensorías de Familia no puede negarse a prestar el servicio cuando sea requerido, toda vez que, están de por medio derechos fundamentales de niños, niñas y adolescentes y prima el interés superior y la protección integral de éstos.</w:t>
      </w:r>
    </w:p>
    <w:p w14:paraId="26881A2D" w14:textId="77777777" w:rsidR="00A0567D" w:rsidRPr="00A0567D" w:rsidRDefault="00A0567D" w:rsidP="00A0567D">
      <w:pPr>
        <w:jc w:val="both"/>
        <w:rPr>
          <w:rFonts w:ascii="Verdana" w:hAnsi="Verdana"/>
          <w:sz w:val="22"/>
          <w:szCs w:val="22"/>
        </w:rPr>
      </w:pPr>
      <w:r w:rsidRPr="00A0567D">
        <w:rPr>
          <w:rFonts w:ascii="Verdana" w:hAnsi="Verdana"/>
          <w:b/>
          <w:bCs/>
          <w:sz w:val="22"/>
          <w:szCs w:val="22"/>
        </w:rPr>
        <w:t>2.4. Caso concreto.</w:t>
      </w:r>
    </w:p>
    <w:p w14:paraId="4E60E4CC" w14:textId="77777777" w:rsidR="00A0567D" w:rsidRPr="00A0567D" w:rsidRDefault="00A0567D" w:rsidP="00A0567D">
      <w:pPr>
        <w:jc w:val="both"/>
        <w:rPr>
          <w:rFonts w:ascii="Verdana" w:hAnsi="Verdana"/>
          <w:sz w:val="22"/>
          <w:szCs w:val="22"/>
        </w:rPr>
      </w:pPr>
      <w:r w:rsidRPr="00A0567D">
        <w:rPr>
          <w:rFonts w:ascii="Verdana" w:hAnsi="Verdana"/>
          <w:sz w:val="22"/>
          <w:szCs w:val="22"/>
        </w:rPr>
        <w:t>Las disposiciones del Código de Infancia y la Adolescencia, con respecto al Sistema de Responsabilidad Penal para Adolescentes, establecen la imperiosa necesidad de que el Defensor de Familia esté presente en todas las actuaciones que involucren al adolescente en conflicto con la ley penal, dicha actuación debe iniciarse desde el momento mismo en que el menor de 18 años es aprendido en flagrancia en la comisión de un delito, caso en el cual la autoridad policiva debe dar aviso inmediato al Defensor de Familia, con la finalidad de que éste verifique la existencia del acta de derechos del aprendido, reciba el acta de verificación de buen trato por las autoridades policivas que lo aprendieron, se realice una entrevista psicosocial inicial por parte del equipo de la Defensoría de Familia, la verificación de la garantía de derechos inicial y las medidas administrativas iniciales de ser necesario para el restablecimiento de derechos del adolescente.</w:t>
      </w:r>
    </w:p>
    <w:p w14:paraId="763645A4" w14:textId="77777777" w:rsidR="00A0567D" w:rsidRPr="00A0567D" w:rsidRDefault="00A0567D" w:rsidP="00A0567D">
      <w:pPr>
        <w:jc w:val="both"/>
        <w:rPr>
          <w:rFonts w:ascii="Verdana" w:hAnsi="Verdana"/>
          <w:sz w:val="22"/>
          <w:szCs w:val="22"/>
        </w:rPr>
      </w:pPr>
      <w:r w:rsidRPr="00A0567D">
        <w:rPr>
          <w:rFonts w:ascii="Verdana" w:hAnsi="Verdana"/>
          <w:sz w:val="22"/>
          <w:szCs w:val="22"/>
        </w:rPr>
        <w:t>Por otra parte, el consultante manifiesta no estar de acuerdo con las decisiones proferidas por las instancias judiciales; al respecto debe informársele que las providencias o medidas proferidas por los jueces, por disposición constitucional y legal, son de obligatorio cumplimiento tanto para particulares como para servidores públicos, por cuanto son la rama del poder público en Colombia encargada de administrar justicia y su incumplimiento o desacato genera sanciones pecuniarias, penales y disciplinarias.</w:t>
      </w:r>
    </w:p>
    <w:p w14:paraId="1B1A951F" w14:textId="32168321" w:rsidR="00A0567D" w:rsidRPr="00A0567D" w:rsidRDefault="00A0567D" w:rsidP="00A0567D">
      <w:pPr>
        <w:jc w:val="both"/>
        <w:rPr>
          <w:rFonts w:ascii="Verdana" w:hAnsi="Verdana"/>
          <w:sz w:val="22"/>
          <w:szCs w:val="22"/>
        </w:rPr>
      </w:pPr>
      <w:r w:rsidRPr="00A0567D">
        <w:rPr>
          <w:rFonts w:ascii="Verdana" w:hAnsi="Verdana"/>
          <w:sz w:val="22"/>
          <w:szCs w:val="22"/>
        </w:rPr>
        <w:t xml:space="preserve">Las Defensorías de Familia deben tener una atención permanente y continua en el servicio con la finalidad de asegurar la protección y el restablecimiento de derechos de niños, niñas y adolescentes, para lo cual, los </w:t>
      </w:r>
      <w:proofErr w:type="gramStart"/>
      <w:r w:rsidRPr="00A0567D">
        <w:rPr>
          <w:rFonts w:ascii="Verdana" w:hAnsi="Verdana"/>
          <w:sz w:val="22"/>
          <w:szCs w:val="22"/>
        </w:rPr>
        <w:t>Directores Regionales</w:t>
      </w:r>
      <w:proofErr w:type="gramEnd"/>
      <w:r w:rsidRPr="00A0567D">
        <w:rPr>
          <w:rFonts w:ascii="Verdana" w:hAnsi="Verdana"/>
          <w:sz w:val="22"/>
          <w:szCs w:val="22"/>
        </w:rPr>
        <w:t xml:space="preserve"> ICBF deben organizar las disponibilidades de Defensorías de Familia, de </w:t>
      </w:r>
      <w:r w:rsidRPr="00A0567D">
        <w:rPr>
          <w:rFonts w:ascii="Verdana" w:hAnsi="Verdana"/>
          <w:sz w:val="22"/>
          <w:szCs w:val="22"/>
        </w:rPr>
        <w:lastRenderedPageBreak/>
        <w:t>conformidad con las Circulares 012 de 2009 (quinta fase), 016 de 2010 (sexta fase) y las Resoluciones 2859 y 8000 de 2013.</w:t>
      </w:r>
    </w:p>
    <w:p w14:paraId="65D79981" w14:textId="5D762AAA" w:rsidR="00A0567D" w:rsidRPr="00A0567D" w:rsidRDefault="00A0567D" w:rsidP="00A0567D">
      <w:pPr>
        <w:jc w:val="both"/>
        <w:rPr>
          <w:rFonts w:ascii="Verdana" w:hAnsi="Verdana"/>
          <w:sz w:val="22"/>
          <w:szCs w:val="22"/>
        </w:rPr>
      </w:pPr>
      <w:r w:rsidRPr="00A0567D">
        <w:rPr>
          <w:rFonts w:ascii="Verdana" w:hAnsi="Verdana"/>
          <w:sz w:val="22"/>
          <w:szCs w:val="22"/>
        </w:rPr>
        <w:t xml:space="preserve">El presente </w:t>
      </w:r>
      <w:proofErr w:type="gramStart"/>
      <w:r w:rsidRPr="00A0567D">
        <w:rPr>
          <w:rFonts w:ascii="Verdana" w:hAnsi="Verdana"/>
          <w:sz w:val="22"/>
          <w:szCs w:val="22"/>
        </w:rPr>
        <w:t>concepto</w:t>
      </w:r>
      <w:r w:rsidRPr="00A0567D">
        <w:rPr>
          <w:rFonts w:ascii="Verdana" w:hAnsi="Verdana"/>
          <w:b/>
          <w:bCs/>
          <w:sz w:val="22"/>
          <w:szCs w:val="22"/>
          <w:vertAlign w:val="superscript"/>
        </w:rPr>
        <w:t>(</w:t>
      </w:r>
      <w:proofErr w:type="gramEnd"/>
      <w:r w:rsidRPr="00A0567D">
        <w:rPr>
          <w:rFonts w:ascii="Verdana" w:hAnsi="Verdana"/>
          <w:b/>
          <w:bCs/>
          <w:sz w:val="22"/>
          <w:szCs w:val="22"/>
          <w:vertAlign w:val="superscript"/>
        </w:rPr>
        <w:t>3)</w:t>
      </w:r>
      <w:r w:rsidRPr="00A0567D">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A0567D">
        <w:rPr>
          <w:rFonts w:ascii="Verdana" w:hAnsi="Verdana"/>
          <w:sz w:val="22"/>
          <w:szCs w:val="22"/>
        </w:rPr>
        <w:t>obstante</w:t>
      </w:r>
      <w:proofErr w:type="gramEnd"/>
      <w:r w:rsidRPr="00A0567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0176C34" w14:textId="77777777" w:rsidR="00A0567D" w:rsidRDefault="00A0567D" w:rsidP="00A0567D">
      <w:pPr>
        <w:jc w:val="both"/>
        <w:rPr>
          <w:rFonts w:ascii="Verdana" w:hAnsi="Verdana"/>
          <w:sz w:val="22"/>
          <w:szCs w:val="22"/>
        </w:rPr>
      </w:pPr>
    </w:p>
    <w:p w14:paraId="1B28E280" w14:textId="2B97F825" w:rsidR="00A0567D" w:rsidRPr="00A0567D" w:rsidRDefault="00A0567D" w:rsidP="00A0567D">
      <w:pPr>
        <w:jc w:val="both"/>
        <w:rPr>
          <w:rFonts w:ascii="Verdana" w:hAnsi="Verdana"/>
          <w:sz w:val="22"/>
          <w:szCs w:val="22"/>
        </w:rPr>
      </w:pPr>
      <w:r w:rsidRPr="00A0567D">
        <w:rPr>
          <w:rFonts w:ascii="Verdana" w:hAnsi="Verdana"/>
          <w:sz w:val="22"/>
          <w:szCs w:val="22"/>
        </w:rPr>
        <w:t>Cordialmente,</w:t>
      </w:r>
    </w:p>
    <w:p w14:paraId="025C5791" w14:textId="77777777" w:rsidR="00A0567D" w:rsidRDefault="00A0567D" w:rsidP="00A0567D">
      <w:pPr>
        <w:jc w:val="both"/>
        <w:rPr>
          <w:rFonts w:ascii="Verdana" w:hAnsi="Verdana"/>
          <w:b/>
          <w:bCs/>
          <w:sz w:val="22"/>
          <w:szCs w:val="22"/>
        </w:rPr>
      </w:pPr>
    </w:p>
    <w:p w14:paraId="0A860CEA" w14:textId="43DFF8E6" w:rsidR="00A0567D" w:rsidRPr="00A0567D" w:rsidRDefault="00A0567D" w:rsidP="00A0567D">
      <w:pPr>
        <w:jc w:val="both"/>
        <w:rPr>
          <w:rFonts w:ascii="Verdana" w:hAnsi="Verdana"/>
          <w:sz w:val="22"/>
          <w:szCs w:val="22"/>
        </w:rPr>
      </w:pPr>
      <w:r w:rsidRPr="00A0567D">
        <w:rPr>
          <w:rFonts w:ascii="Verdana" w:hAnsi="Verdana"/>
          <w:b/>
          <w:bCs/>
          <w:sz w:val="22"/>
          <w:szCs w:val="22"/>
        </w:rPr>
        <w:t>LUZ KARIME FERNANDEZ CASTILLO</w:t>
      </w:r>
    </w:p>
    <w:p w14:paraId="53AA1A43" w14:textId="77777777" w:rsidR="00A0567D" w:rsidRPr="00A0567D" w:rsidRDefault="00A0567D" w:rsidP="00A0567D">
      <w:pPr>
        <w:jc w:val="both"/>
        <w:rPr>
          <w:rFonts w:ascii="Verdana" w:hAnsi="Verdana"/>
          <w:sz w:val="22"/>
          <w:szCs w:val="22"/>
        </w:rPr>
      </w:pPr>
      <w:r w:rsidRPr="00A0567D">
        <w:rPr>
          <w:rFonts w:ascii="Verdana" w:hAnsi="Verdana"/>
          <w:sz w:val="22"/>
          <w:szCs w:val="22"/>
        </w:rPr>
        <w:t>Jefe Oficina Asesora Jurídica</w:t>
      </w:r>
    </w:p>
    <w:p w14:paraId="44E943EF" w14:textId="77777777" w:rsidR="00A0567D" w:rsidRDefault="00A0567D" w:rsidP="00A0567D">
      <w:pPr>
        <w:jc w:val="both"/>
        <w:rPr>
          <w:rFonts w:ascii="Verdana" w:hAnsi="Verdana"/>
          <w:b/>
          <w:bCs/>
          <w:sz w:val="22"/>
          <w:szCs w:val="22"/>
        </w:rPr>
      </w:pPr>
    </w:p>
    <w:p w14:paraId="3FBE7174" w14:textId="4550B980" w:rsidR="00A0567D" w:rsidRPr="00A0567D" w:rsidRDefault="00A0567D" w:rsidP="00A0567D">
      <w:pPr>
        <w:jc w:val="both"/>
        <w:rPr>
          <w:rFonts w:ascii="Verdana" w:hAnsi="Verdana"/>
          <w:sz w:val="22"/>
          <w:szCs w:val="22"/>
        </w:rPr>
      </w:pPr>
      <w:r w:rsidRPr="00A0567D">
        <w:rPr>
          <w:rFonts w:ascii="Verdana" w:hAnsi="Verdana"/>
          <w:b/>
          <w:bCs/>
          <w:sz w:val="22"/>
          <w:szCs w:val="22"/>
        </w:rPr>
        <w:t>N</w:t>
      </w:r>
      <w:r>
        <w:rPr>
          <w:rFonts w:ascii="Verdana" w:hAnsi="Verdana"/>
          <w:b/>
          <w:bCs/>
          <w:sz w:val="22"/>
          <w:szCs w:val="22"/>
        </w:rPr>
        <w:t xml:space="preserve">otas Pie de Página: </w:t>
      </w:r>
    </w:p>
    <w:p w14:paraId="08134550" w14:textId="0A4ADD1C" w:rsidR="00A0567D" w:rsidRPr="00A0567D" w:rsidRDefault="00A0567D" w:rsidP="00A0567D">
      <w:pPr>
        <w:pStyle w:val="Prrafodelista"/>
        <w:numPr>
          <w:ilvl w:val="0"/>
          <w:numId w:val="5"/>
        </w:numPr>
        <w:jc w:val="both"/>
        <w:rPr>
          <w:rFonts w:ascii="Verdana" w:hAnsi="Verdana"/>
          <w:sz w:val="22"/>
          <w:szCs w:val="22"/>
        </w:rPr>
      </w:pPr>
      <w:r w:rsidRPr="00A0567D">
        <w:rPr>
          <w:rFonts w:ascii="Verdana" w:hAnsi="Verdana"/>
          <w:sz w:val="22"/>
          <w:szCs w:val="22"/>
        </w:rPr>
        <w:t>Corte Suprema de Justicia, Sala de Casación Penal, proceso 30645, 4 de marzo de 2009. M. P. María del Rosario González de Lemos.</w:t>
      </w:r>
    </w:p>
    <w:p w14:paraId="6656BD31" w14:textId="6C510C58" w:rsidR="00A0567D" w:rsidRPr="00A0567D" w:rsidRDefault="00A0567D" w:rsidP="00A0567D">
      <w:pPr>
        <w:pStyle w:val="Prrafodelista"/>
        <w:numPr>
          <w:ilvl w:val="0"/>
          <w:numId w:val="5"/>
        </w:numPr>
        <w:jc w:val="both"/>
        <w:rPr>
          <w:rFonts w:ascii="Verdana" w:hAnsi="Verdana"/>
          <w:sz w:val="22"/>
          <w:szCs w:val="22"/>
        </w:rPr>
      </w:pPr>
      <w:r w:rsidRPr="00A0567D">
        <w:rPr>
          <w:rFonts w:ascii="Verdana" w:hAnsi="Verdana"/>
          <w:sz w:val="22"/>
          <w:szCs w:val="22"/>
        </w:rPr>
        <w:t>Resolución 652 de 2011, Estatuto del Defensor de Familia.</w:t>
      </w:r>
    </w:p>
    <w:p w14:paraId="28A4E44F" w14:textId="55173523" w:rsidR="00A0567D" w:rsidRPr="00A0567D" w:rsidRDefault="00A0567D" w:rsidP="00A0567D">
      <w:pPr>
        <w:pStyle w:val="Prrafodelista"/>
        <w:numPr>
          <w:ilvl w:val="0"/>
          <w:numId w:val="5"/>
        </w:numPr>
        <w:jc w:val="both"/>
        <w:rPr>
          <w:rFonts w:ascii="Verdana" w:hAnsi="Verdana"/>
          <w:sz w:val="22"/>
          <w:szCs w:val="22"/>
        </w:rPr>
      </w:pPr>
      <w:r w:rsidRPr="00A0567D">
        <w:rPr>
          <w:rFonts w:ascii="Verdana" w:hAnsi="Verdana"/>
          <w:sz w:val="22"/>
          <w:szCs w:val="22"/>
        </w:rPr>
        <w:t>Como al realizar las referidas intervenciones la Administración debe aplicar el derecho</w:t>
      </w:r>
      <w:r w:rsidRPr="00A0567D">
        <w:rPr>
          <w:rFonts w:ascii="Verdana" w:hAnsi="Verdana"/>
          <w:i/>
          <w:iCs/>
          <w:sz w:val="22"/>
          <w:szCs w:val="22"/>
        </w:rPr>
        <w:t>,</w:t>
      </w:r>
      <w:r w:rsidRPr="00A0567D">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w:t>
      </w:r>
      <w:r w:rsidRPr="00A0567D">
        <w:rPr>
          <w:rFonts w:ascii="Verdana" w:hAnsi="Verdana"/>
          <w:sz w:val="22"/>
          <w:szCs w:val="22"/>
        </w:rPr>
        <w:lastRenderedPageBreak/>
        <w:t>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A0567D">
        <w:rPr>
          <w:rFonts w:ascii="Verdana" w:hAnsi="Verdana"/>
          <w:i/>
          <w:iCs/>
          <w:sz w:val="22"/>
          <w:szCs w:val="22"/>
        </w:rPr>
        <w:t>a </w:t>
      </w:r>
      <w:r w:rsidRPr="00A0567D">
        <w:rPr>
          <w:rFonts w:ascii="Verdana" w:hAnsi="Verdana"/>
          <w:sz w:val="22"/>
          <w:szCs w:val="22"/>
        </w:rPr>
        <w:t>las llamadas circulares o instrucciones de servicio." Corte Constitucional. Sentencia C - 877 de 2000. M.P Antonio Barrera Carbonel.</w:t>
      </w:r>
    </w:p>
    <w:p w14:paraId="4D77D58F" w14:textId="1C0DDEC6" w:rsidR="008161D5" w:rsidRPr="00291607" w:rsidRDefault="008161D5" w:rsidP="00101817">
      <w:pPr>
        <w:jc w:val="both"/>
        <w:rPr>
          <w:rFonts w:ascii="Verdana" w:hAnsi="Verdana"/>
          <w:sz w:val="22"/>
          <w:szCs w:val="22"/>
        </w:rPr>
      </w:pPr>
    </w:p>
    <w:sectPr w:rsidR="008161D5" w:rsidRPr="00291607"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
  </w:num>
  <w:num w:numId="2" w16cid:durableId="1791362817">
    <w:abstractNumId w:val="2"/>
  </w:num>
  <w:num w:numId="3" w16cid:durableId="1876769472">
    <w:abstractNumId w:val="0"/>
  </w:num>
  <w:num w:numId="4" w16cid:durableId="240725908">
    <w:abstractNumId w:val="3"/>
  </w:num>
  <w:num w:numId="5" w16cid:durableId="209716969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51592"/>
    <w:rsid w:val="000628AB"/>
    <w:rsid w:val="0007791F"/>
    <w:rsid w:val="000B3E63"/>
    <w:rsid w:val="000B6B07"/>
    <w:rsid w:val="000C3720"/>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141B2"/>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14F4EB0-3764-40DC-9128-BCA07D677CCD}"/>
</file>

<file path=customXml/itemProps2.xml><?xml version="1.0" encoding="utf-8"?>
<ds:datastoreItem xmlns:ds="http://schemas.openxmlformats.org/officeDocument/2006/customXml" ds:itemID="{9482AE5B-3101-4623-9C79-A04E2A2ED34F}"/>
</file>

<file path=customXml/itemProps3.xml><?xml version="1.0" encoding="utf-8"?>
<ds:datastoreItem xmlns:ds="http://schemas.openxmlformats.org/officeDocument/2006/customXml" ds:itemID="{F6C2722B-EB25-46A8-B9C2-4B60F4D3AAF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227</TotalTime>
  <Pages>6</Pages>
  <Words>2003</Words>
  <Characters>11022</Characters>
  <Application>Microsoft Office Word</Application>
  <DocSecurity>0</DocSecurity>
  <Lines>91</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154</cp:revision>
  <dcterms:created xsi:type="dcterms:W3CDTF">2026-05-08T19:08:00Z</dcterms:created>
  <dcterms:modified xsi:type="dcterms:W3CDTF">2026-07-12T22:14:00Z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