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95E83" w14:textId="77777777" w:rsidR="006A3FAC" w:rsidRPr="006A3FAC" w:rsidRDefault="006A3FAC" w:rsidP="006A3FAC">
      <w:pPr>
        <w:jc w:val="center"/>
        <w:rPr>
          <w:rFonts w:ascii="Verdana" w:hAnsi="Verdana"/>
          <w:sz w:val="22"/>
          <w:szCs w:val="22"/>
        </w:rPr>
      </w:pPr>
      <w:r w:rsidRPr="006A3FAC">
        <w:rPr>
          <w:rFonts w:ascii="Verdana" w:hAnsi="Verdana"/>
          <w:b/>
          <w:bCs/>
          <w:sz w:val="22"/>
          <w:szCs w:val="22"/>
        </w:rPr>
        <w:t>CONCEPTO 142 DE 2014</w:t>
      </w:r>
    </w:p>
    <w:p w14:paraId="78DBA10D" w14:textId="77777777" w:rsidR="006A3FAC" w:rsidRPr="006A3FAC" w:rsidRDefault="006A3FAC" w:rsidP="006A3FAC">
      <w:pPr>
        <w:jc w:val="center"/>
        <w:rPr>
          <w:rFonts w:ascii="Verdana" w:hAnsi="Verdana"/>
          <w:sz w:val="22"/>
          <w:szCs w:val="22"/>
        </w:rPr>
      </w:pPr>
      <w:r w:rsidRPr="006A3FAC">
        <w:rPr>
          <w:rFonts w:ascii="Verdana" w:hAnsi="Verdana"/>
          <w:sz w:val="22"/>
          <w:szCs w:val="22"/>
        </w:rPr>
        <w:t>(octubre 16)</w:t>
      </w:r>
    </w:p>
    <w:p w14:paraId="502670DD" w14:textId="77777777" w:rsidR="006A3FAC" w:rsidRPr="006A3FAC" w:rsidRDefault="006A3FAC" w:rsidP="006A3FAC">
      <w:pPr>
        <w:jc w:val="center"/>
        <w:rPr>
          <w:rFonts w:ascii="Verdana" w:hAnsi="Verdana"/>
          <w:sz w:val="22"/>
          <w:szCs w:val="22"/>
        </w:rPr>
      </w:pPr>
      <w:r w:rsidRPr="006A3FAC">
        <w:rPr>
          <w:rFonts w:ascii="Verdana" w:hAnsi="Verdana"/>
          <w:b/>
          <w:bCs/>
          <w:sz w:val="22"/>
          <w:szCs w:val="22"/>
        </w:rPr>
        <w:t>INSTITUTO COLOMBIANO DE BIENESTAR FAMILIAR – ICBF</w:t>
      </w:r>
    </w:p>
    <w:p w14:paraId="79566C23" w14:textId="77777777" w:rsidR="006A3FAC" w:rsidRDefault="006A3FAC" w:rsidP="006A3FAC">
      <w:pPr>
        <w:jc w:val="both"/>
        <w:rPr>
          <w:rFonts w:ascii="Verdana" w:hAnsi="Verdana"/>
          <w:sz w:val="22"/>
          <w:szCs w:val="22"/>
        </w:rPr>
      </w:pPr>
    </w:p>
    <w:p w14:paraId="3A37CD83" w14:textId="01B78ADA" w:rsidR="006A3FAC" w:rsidRPr="006A3FAC" w:rsidRDefault="006A3FAC" w:rsidP="006A3FAC">
      <w:pPr>
        <w:jc w:val="both"/>
        <w:rPr>
          <w:rFonts w:ascii="Verdana" w:hAnsi="Verdana"/>
          <w:sz w:val="22"/>
          <w:szCs w:val="22"/>
        </w:rPr>
      </w:pPr>
      <w:r w:rsidRPr="006A3FAC">
        <w:rPr>
          <w:rFonts w:ascii="Verdana" w:hAnsi="Verdana"/>
          <w:b/>
          <w:bCs/>
          <w:sz w:val="22"/>
          <w:szCs w:val="22"/>
        </w:rPr>
        <w:t>PARA:</w:t>
      </w:r>
      <w:r>
        <w:rPr>
          <w:rFonts w:ascii="Verdana" w:hAnsi="Verdana"/>
          <w:b/>
          <w:bCs/>
          <w:sz w:val="22"/>
          <w:szCs w:val="22"/>
        </w:rPr>
        <w:t xml:space="preserve"> </w:t>
      </w:r>
      <w:r w:rsidRPr="006A3FAC">
        <w:rPr>
          <w:rFonts w:ascii="Verdana" w:hAnsi="Verdana"/>
          <w:sz w:val="22"/>
          <w:szCs w:val="22"/>
        </w:rPr>
        <w:t>Coordinadora Grupo Jurídico</w:t>
      </w:r>
      <w:r>
        <w:rPr>
          <w:rFonts w:ascii="Verdana" w:hAnsi="Verdana"/>
          <w:sz w:val="22"/>
          <w:szCs w:val="22"/>
        </w:rPr>
        <w:t xml:space="preserve"> y </w:t>
      </w:r>
      <w:r w:rsidRPr="006A3FAC">
        <w:rPr>
          <w:rFonts w:ascii="Verdana" w:hAnsi="Verdana"/>
          <w:sz w:val="22"/>
          <w:szCs w:val="22"/>
        </w:rPr>
        <w:t>Regional ICBF Bogotá</w:t>
      </w:r>
    </w:p>
    <w:p w14:paraId="3A2DE2CE" w14:textId="6007F193" w:rsidR="006A3FAC" w:rsidRDefault="006A3FAC" w:rsidP="006A3FAC">
      <w:pPr>
        <w:jc w:val="both"/>
        <w:rPr>
          <w:rFonts w:ascii="Verdana" w:hAnsi="Verdana"/>
          <w:sz w:val="22"/>
          <w:szCs w:val="22"/>
        </w:rPr>
      </w:pPr>
      <w:r w:rsidRPr="006A3FAC">
        <w:rPr>
          <w:rFonts w:ascii="Verdana" w:hAnsi="Verdana"/>
          <w:b/>
          <w:bCs/>
          <w:sz w:val="22"/>
          <w:szCs w:val="22"/>
        </w:rPr>
        <w:t>ASUNTO:</w:t>
      </w:r>
      <w:r>
        <w:rPr>
          <w:rFonts w:ascii="Verdana" w:hAnsi="Verdana"/>
          <w:b/>
          <w:bCs/>
          <w:sz w:val="22"/>
          <w:szCs w:val="22"/>
        </w:rPr>
        <w:t xml:space="preserve"> </w:t>
      </w:r>
      <w:r w:rsidRPr="006A3FAC">
        <w:rPr>
          <w:rFonts w:ascii="Verdana" w:hAnsi="Verdana"/>
          <w:sz w:val="22"/>
          <w:szCs w:val="22"/>
        </w:rPr>
        <w:t>Consulta sobre término o plazo máximo en que el Defensor de Familia puede otorgar para el permiso de salida del país de un niño, niña o adolescente.</w:t>
      </w:r>
    </w:p>
    <w:p w14:paraId="1DC97257" w14:textId="77777777" w:rsidR="006A3FAC" w:rsidRDefault="006A3FAC" w:rsidP="006A3FAC">
      <w:pPr>
        <w:jc w:val="both"/>
        <w:rPr>
          <w:rFonts w:ascii="Verdana" w:hAnsi="Verdana"/>
          <w:sz w:val="22"/>
          <w:szCs w:val="22"/>
        </w:rPr>
      </w:pPr>
    </w:p>
    <w:p w14:paraId="06CC51C5" w14:textId="62EF9F91" w:rsidR="006A3FAC" w:rsidRPr="006A3FAC" w:rsidRDefault="006A3FAC" w:rsidP="006A3FAC">
      <w:pPr>
        <w:jc w:val="both"/>
        <w:rPr>
          <w:rFonts w:ascii="Verdana" w:hAnsi="Verdana"/>
          <w:sz w:val="22"/>
          <w:szCs w:val="22"/>
        </w:rPr>
      </w:pPr>
      <w:r w:rsidRPr="006A3FAC">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solicitado por la Defensora de Familia del Centro Zonal de Engativá Dra. Gloria Rosalba Tachack Ferreira, sobre el caso en cuestión, en los términos que siguen:</w:t>
      </w:r>
    </w:p>
    <w:p w14:paraId="676995EE" w14:textId="77777777" w:rsidR="006A3FAC" w:rsidRPr="006A3FAC" w:rsidRDefault="006A3FAC" w:rsidP="006A3FAC">
      <w:pPr>
        <w:jc w:val="both"/>
        <w:rPr>
          <w:rFonts w:ascii="Verdana" w:hAnsi="Verdana"/>
          <w:sz w:val="22"/>
          <w:szCs w:val="22"/>
        </w:rPr>
      </w:pPr>
      <w:r w:rsidRPr="006A3FAC">
        <w:rPr>
          <w:rFonts w:ascii="Verdana" w:hAnsi="Verdana"/>
          <w:b/>
          <w:bCs/>
          <w:sz w:val="22"/>
          <w:szCs w:val="22"/>
        </w:rPr>
        <w:t>1. PROBLEMA JURÍDICO</w:t>
      </w:r>
    </w:p>
    <w:p w14:paraId="58A9C179" w14:textId="77777777" w:rsidR="006A3FAC" w:rsidRPr="006A3FAC" w:rsidRDefault="006A3FAC" w:rsidP="006A3FAC">
      <w:pPr>
        <w:jc w:val="both"/>
        <w:rPr>
          <w:rFonts w:ascii="Verdana" w:hAnsi="Verdana"/>
          <w:sz w:val="22"/>
          <w:szCs w:val="22"/>
        </w:rPr>
      </w:pPr>
      <w:r w:rsidRPr="006A3FAC">
        <w:rPr>
          <w:rFonts w:ascii="Verdana" w:hAnsi="Verdana"/>
          <w:sz w:val="22"/>
          <w:szCs w:val="22"/>
        </w:rPr>
        <w:t xml:space="preserve">¿Cuál es el término máximo que el Defensor de Familia puede otorgar para la salida del país de un niño, niña y </w:t>
      </w:r>
      <w:proofErr w:type="gramStart"/>
      <w:r w:rsidRPr="006A3FAC">
        <w:rPr>
          <w:rFonts w:ascii="Verdana" w:hAnsi="Verdana"/>
          <w:sz w:val="22"/>
          <w:szCs w:val="22"/>
        </w:rPr>
        <w:t>adolescente?.</w:t>
      </w:r>
      <w:proofErr w:type="gramEnd"/>
    </w:p>
    <w:p w14:paraId="03701C06" w14:textId="77777777" w:rsidR="006A3FAC" w:rsidRPr="006A3FAC" w:rsidRDefault="006A3FAC" w:rsidP="006A3FAC">
      <w:pPr>
        <w:jc w:val="both"/>
        <w:rPr>
          <w:rFonts w:ascii="Verdana" w:hAnsi="Verdana"/>
          <w:sz w:val="22"/>
          <w:szCs w:val="22"/>
        </w:rPr>
      </w:pPr>
      <w:r w:rsidRPr="006A3FAC">
        <w:rPr>
          <w:rFonts w:ascii="Verdana" w:hAnsi="Verdana"/>
          <w:b/>
          <w:bCs/>
          <w:sz w:val="22"/>
          <w:szCs w:val="22"/>
        </w:rPr>
        <w:t>2. ANÁLISIS DEI. PROBLEMA JURÍDICO</w:t>
      </w:r>
    </w:p>
    <w:p w14:paraId="7EEFB637" w14:textId="03B8C0D6" w:rsidR="006A3FAC" w:rsidRPr="006A3FAC" w:rsidRDefault="006A3FAC" w:rsidP="006A3FAC">
      <w:pPr>
        <w:jc w:val="both"/>
        <w:rPr>
          <w:rFonts w:ascii="Verdana" w:hAnsi="Verdana"/>
          <w:sz w:val="22"/>
          <w:szCs w:val="22"/>
        </w:rPr>
      </w:pPr>
      <w:r w:rsidRPr="006A3FAC">
        <w:rPr>
          <w:rFonts w:ascii="Verdana" w:hAnsi="Verdana"/>
          <w:sz w:val="22"/>
          <w:szCs w:val="22"/>
        </w:rPr>
        <w:t>Ser abordara el tema analizando: (2.1) El interés superior del niño, niña y adolescente; (2.2) El Permiso de Salida del País previsto en el artículo 110 de la Ley 1098 de 2006 y (2.3) Término de expedición del permiso de salida del país.</w:t>
      </w:r>
    </w:p>
    <w:p w14:paraId="4D2E6A58" w14:textId="77777777" w:rsidR="006A3FAC" w:rsidRPr="006A3FAC" w:rsidRDefault="006A3FAC" w:rsidP="006A3FAC">
      <w:pPr>
        <w:jc w:val="both"/>
        <w:rPr>
          <w:rFonts w:ascii="Verdana" w:hAnsi="Verdana"/>
          <w:sz w:val="22"/>
          <w:szCs w:val="22"/>
        </w:rPr>
      </w:pPr>
      <w:r w:rsidRPr="006A3FAC">
        <w:rPr>
          <w:rFonts w:ascii="Verdana" w:hAnsi="Verdana"/>
          <w:b/>
          <w:bCs/>
          <w:sz w:val="22"/>
          <w:szCs w:val="22"/>
          <w:u w:val="single"/>
        </w:rPr>
        <w:t>2.1 El interés superior de los niños, niñas y adolescentes</w:t>
      </w:r>
    </w:p>
    <w:p w14:paraId="08B2904F" w14:textId="77777777" w:rsidR="006A3FAC" w:rsidRPr="006A3FAC" w:rsidRDefault="006A3FAC" w:rsidP="006A3FAC">
      <w:pPr>
        <w:jc w:val="both"/>
        <w:rPr>
          <w:rFonts w:ascii="Verdana" w:hAnsi="Verdana"/>
          <w:sz w:val="22"/>
          <w:szCs w:val="22"/>
        </w:rPr>
      </w:pPr>
      <w:r w:rsidRPr="006A3FAC">
        <w:rPr>
          <w:rFonts w:ascii="Verdana" w:hAnsi="Verdana"/>
          <w:sz w:val="22"/>
          <w:szCs w:val="22"/>
        </w:rPr>
        <w:t>La Convención sobre los Derechos del Niño en el numeral primero del artículo tercero establece que “(...) </w:t>
      </w:r>
      <w:r w:rsidRPr="006A3FAC">
        <w:rPr>
          <w:rFonts w:ascii="Verdana" w:hAnsi="Verdana"/>
          <w:i/>
          <w:iCs/>
          <w:sz w:val="22"/>
          <w:szCs w:val="22"/>
        </w:rPr>
        <w:t>todas las medidas concernientes a los niños que tomen las instituciones públicas o privadas de bienestar social, los tribunales, las autoridades administrativas o los órganos legislativos, </w:t>
      </w:r>
      <w:r w:rsidRPr="006A3FAC">
        <w:rPr>
          <w:rFonts w:ascii="Verdana" w:hAnsi="Verdana"/>
          <w:i/>
          <w:iCs/>
          <w:sz w:val="22"/>
          <w:szCs w:val="22"/>
          <w:u w:val="single"/>
        </w:rPr>
        <w:t>una consideración primordial a que se atenderá será el interés superior del niño”.</w:t>
      </w:r>
      <w:r w:rsidRPr="006A3FAC">
        <w:rPr>
          <w:rFonts w:ascii="Verdana" w:hAnsi="Verdana"/>
          <w:i/>
          <w:iCs/>
          <w:sz w:val="22"/>
          <w:szCs w:val="22"/>
        </w:rPr>
        <w:t> (subrayado fuera de texto).</w:t>
      </w:r>
    </w:p>
    <w:p w14:paraId="4556CE1D" w14:textId="77777777" w:rsidR="006A3FAC" w:rsidRPr="006A3FAC" w:rsidRDefault="006A3FAC" w:rsidP="006A3FAC">
      <w:pPr>
        <w:jc w:val="both"/>
        <w:rPr>
          <w:rFonts w:ascii="Verdana" w:hAnsi="Verdana"/>
          <w:sz w:val="22"/>
          <w:szCs w:val="22"/>
        </w:rPr>
      </w:pPr>
      <w:r w:rsidRPr="006A3FAC">
        <w:rPr>
          <w:rFonts w:ascii="Verdana" w:hAnsi="Verdana"/>
          <w:sz w:val="22"/>
          <w:szCs w:val="22"/>
        </w:rPr>
        <w:t xml:space="preserve">Igualmente establece que este es sujeto de protección más amplia que los adultos, tienen derechos específicos por su circunstancia de sujeto en crecimiento, entre estos derechos especiales no podemos dejar de mencionar la obligación de los </w:t>
      </w:r>
      <w:proofErr w:type="gramStart"/>
      <w:r w:rsidRPr="006A3FAC">
        <w:rPr>
          <w:rFonts w:ascii="Verdana" w:hAnsi="Verdana"/>
          <w:sz w:val="22"/>
          <w:szCs w:val="22"/>
        </w:rPr>
        <w:t>Estados Partes</w:t>
      </w:r>
      <w:proofErr w:type="gramEnd"/>
      <w:r w:rsidRPr="006A3FAC">
        <w:rPr>
          <w:rFonts w:ascii="Verdana" w:hAnsi="Verdana"/>
          <w:sz w:val="22"/>
          <w:szCs w:val="22"/>
        </w:rPr>
        <w:t xml:space="preserve"> de garantizar un conocimiento procesal especializado cuando se trate de niños, niñas y adolescentes, que debe estar acorde con su grado de madurez y circunstancias especiales.</w:t>
      </w:r>
    </w:p>
    <w:p w14:paraId="2E2DF6D8" w14:textId="2C0805F3" w:rsidR="006A3FAC" w:rsidRPr="006A3FAC" w:rsidRDefault="006A3FAC" w:rsidP="006A3FAC">
      <w:pPr>
        <w:jc w:val="both"/>
        <w:rPr>
          <w:rFonts w:ascii="Verdana" w:hAnsi="Verdana"/>
          <w:sz w:val="22"/>
          <w:szCs w:val="22"/>
        </w:rPr>
      </w:pPr>
      <w:r w:rsidRPr="006A3FAC">
        <w:rPr>
          <w:rFonts w:ascii="Verdana" w:hAnsi="Verdana"/>
          <w:sz w:val="22"/>
          <w:szCs w:val="22"/>
        </w:rPr>
        <w:lastRenderedPageBreak/>
        <w:t>El artículo 8 de la Ley 1098 de 2006, establece el principio orientador del interés superior, el cual actúa como un principio con alcances tanto en el ámbito general de las políticas públicas como en el ámbito de la operabilidad, que permiten tomar decisiones que privilegian a los niños, niñas y adolescentes desde la perspectiva de sus derechos, en el ámbito de una política pública, reconoce como objetivo los derechos de los niños, niñas y adolescentes y promueve su protección por medio de mecanismos que conforman las políticas jurídicas y sociales y en el ámbito operativo, el interés superior se predica de situaciones en las que se deben armonizar los derechos e intereses de los niños en una situación determinada de conflicto.</w:t>
      </w:r>
    </w:p>
    <w:p w14:paraId="34637ACF" w14:textId="77777777" w:rsidR="006A3FAC" w:rsidRPr="006A3FAC" w:rsidRDefault="006A3FAC" w:rsidP="006A3FAC">
      <w:pPr>
        <w:jc w:val="both"/>
        <w:rPr>
          <w:rFonts w:ascii="Verdana" w:hAnsi="Verdana"/>
          <w:sz w:val="22"/>
          <w:szCs w:val="22"/>
        </w:rPr>
      </w:pPr>
      <w:r w:rsidRPr="006A3FAC">
        <w:rPr>
          <w:rFonts w:ascii="Verdana" w:hAnsi="Verdana"/>
          <w:sz w:val="22"/>
          <w:szCs w:val="22"/>
        </w:rPr>
        <w:t>La Corte Constitucional </w:t>
      </w:r>
      <w:r w:rsidRPr="006A3FAC">
        <w:rPr>
          <w:rFonts w:ascii="Verdana" w:hAnsi="Verdana"/>
          <w:sz w:val="22"/>
          <w:szCs w:val="22"/>
          <w:vertAlign w:val="subscript"/>
        </w:rPr>
        <w:t>[1]</w:t>
      </w:r>
      <w:r w:rsidRPr="006A3FAC">
        <w:rPr>
          <w:rFonts w:ascii="Verdana" w:hAnsi="Verdana"/>
          <w:sz w:val="22"/>
          <w:szCs w:val="22"/>
        </w:rPr>
        <w:t> expone sobre el interés superior:</w:t>
      </w:r>
    </w:p>
    <w:p w14:paraId="676B35D5" w14:textId="77777777" w:rsidR="006A3FAC" w:rsidRPr="006A3FAC" w:rsidRDefault="006A3FAC" w:rsidP="006A3FAC">
      <w:pPr>
        <w:jc w:val="both"/>
        <w:rPr>
          <w:rFonts w:ascii="Verdana" w:hAnsi="Verdana"/>
          <w:sz w:val="22"/>
          <w:szCs w:val="22"/>
        </w:rPr>
      </w:pPr>
      <w:r w:rsidRPr="006A3FAC">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p>
    <w:p w14:paraId="16FD1608" w14:textId="49433011" w:rsidR="006A3FAC" w:rsidRPr="006A3FAC" w:rsidRDefault="006A3FAC" w:rsidP="006A3FAC">
      <w:pPr>
        <w:jc w:val="both"/>
        <w:rPr>
          <w:rFonts w:ascii="Verdana" w:hAnsi="Verdana"/>
          <w:sz w:val="22"/>
          <w:szCs w:val="22"/>
        </w:rPr>
      </w:pPr>
      <w:r w:rsidRPr="006A3FAC">
        <w:rPr>
          <w:rFonts w:ascii="Verdana" w:hAnsi="Verdana"/>
          <w:sz w:val="22"/>
          <w:szCs w:val="22"/>
        </w:rPr>
        <w:t>Por su parte el artículo 9 del Código de la Infancia y la adolescencia establece la prevalencia de los derechos de los niños, niñas y adolescentes, principio que se encuentra contenido en la Convención sobre los Derechos de los Niños el cual nace del reconocimiento de los posibles conflictos que se pueden presentar en el orden social en la relación entre los derechos de los niños y los de los demás, el interés Superior es el marco que orienta la prevalencia de los derechos, dando un interés especial a cada caso en particular y garantía a los derechos de los niños, niñas y adolescentes sobre los derechos de los demás.</w:t>
      </w:r>
    </w:p>
    <w:p w14:paraId="0642E8BB" w14:textId="77777777" w:rsidR="006A3FAC" w:rsidRPr="006A3FAC" w:rsidRDefault="006A3FAC" w:rsidP="006A3FAC">
      <w:pPr>
        <w:jc w:val="both"/>
        <w:rPr>
          <w:rFonts w:ascii="Verdana" w:hAnsi="Verdana"/>
          <w:sz w:val="22"/>
          <w:szCs w:val="22"/>
        </w:rPr>
      </w:pPr>
      <w:r w:rsidRPr="006A3FAC">
        <w:rPr>
          <w:rFonts w:ascii="Verdana" w:hAnsi="Verdana"/>
          <w:sz w:val="22"/>
          <w:szCs w:val="22"/>
        </w:rPr>
        <w:t>Así lo ha reconocido la Corte Constitucional al afirmar que los derechos de los niños, niñas y adolescentes son prevalecientes, esto no significa que sean excluyentes o absolutos:</w:t>
      </w:r>
    </w:p>
    <w:p w14:paraId="4FE70DC6" w14:textId="77777777" w:rsidR="006A3FAC" w:rsidRPr="006A3FAC" w:rsidRDefault="006A3FAC" w:rsidP="006A3FAC">
      <w:pPr>
        <w:jc w:val="both"/>
        <w:rPr>
          <w:rFonts w:ascii="Verdana" w:hAnsi="Verdana"/>
          <w:sz w:val="22"/>
          <w:szCs w:val="22"/>
        </w:rPr>
      </w:pPr>
      <w:r w:rsidRPr="006A3FAC">
        <w:rPr>
          <w:rFonts w:ascii="Verdana" w:hAnsi="Verdana"/>
          <w:i/>
          <w:iCs/>
          <w:sz w:val="22"/>
          <w:szCs w:val="22"/>
        </w:rPr>
        <w:t xml:space="preserve"> “...el sentido mismo del verbo prevalecer implica, necesariamente, el establecimiento de una relación entre dos o más intereses contrapuestos en </w:t>
      </w:r>
      <w:r w:rsidRPr="006A3FAC">
        <w:rPr>
          <w:rFonts w:ascii="Verdana" w:hAnsi="Verdana"/>
          <w:i/>
          <w:iCs/>
          <w:sz w:val="22"/>
          <w:szCs w:val="22"/>
        </w:rPr>
        <w:lastRenderedPageBreak/>
        <w:t>casos concretos, entre los cuales uno (el del menor) tiene prioridad en caso de no encontrarse una forma de armonización".</w:t>
      </w:r>
      <w:r w:rsidRPr="006A3FAC">
        <w:rPr>
          <w:rFonts w:ascii="Verdana" w:hAnsi="Verdana"/>
          <w:i/>
          <w:iCs/>
          <w:sz w:val="22"/>
          <w:szCs w:val="22"/>
          <w:vertAlign w:val="subscript"/>
        </w:rPr>
        <w:t>[2]</w:t>
      </w:r>
    </w:p>
    <w:p w14:paraId="6E08357A" w14:textId="4D5FB4E9" w:rsidR="006A3FAC" w:rsidRPr="006A3FAC" w:rsidRDefault="006A3FAC" w:rsidP="006A3FAC">
      <w:pPr>
        <w:jc w:val="both"/>
        <w:rPr>
          <w:rFonts w:ascii="Verdana" w:hAnsi="Verdana"/>
          <w:sz w:val="22"/>
          <w:szCs w:val="22"/>
        </w:rPr>
      </w:pPr>
      <w:r w:rsidRPr="006A3FAC">
        <w:rPr>
          <w:rFonts w:ascii="Verdana" w:hAnsi="Verdana"/>
          <w:sz w:val="22"/>
          <w:szCs w:val="22"/>
        </w:rPr>
        <w:t>De gran importancia en nuestro ordenamiento constitucional, es el principio según el cual como núcleo fundamental de la sociedad, la familia tiene que cumplir junto con la sociedad y el Estado, deberes como los de asistir y proteger al niño para garantizar su desarrollo armónico integral y el ejercicio pleno de todos sus derechos fundamentales, especiales y prevalentes consagrados en el inciso 1 del artículo 44 de la Constitución, el cual dispone que los derechos de los niños, niñas y adolescentes son de carácter fundamental, especial y prevalente.</w:t>
      </w:r>
    </w:p>
    <w:p w14:paraId="4BF86D46" w14:textId="77777777" w:rsidR="006A3FAC" w:rsidRPr="006A3FAC" w:rsidRDefault="006A3FAC" w:rsidP="006A3FAC">
      <w:pPr>
        <w:jc w:val="both"/>
        <w:rPr>
          <w:rFonts w:ascii="Verdana" w:hAnsi="Verdana"/>
          <w:sz w:val="22"/>
          <w:szCs w:val="22"/>
        </w:rPr>
      </w:pPr>
      <w:r w:rsidRPr="006A3FAC">
        <w:rPr>
          <w:rFonts w:ascii="Verdana" w:hAnsi="Verdana"/>
          <w:sz w:val="22"/>
          <w:szCs w:val="22"/>
        </w:rPr>
        <w:t>Consiste lo anterior en que al niño, niña o adolescente se le debe otorgar un trato preferente, acorde con su caracterización jurídica en tanto sujeto de especial protección, de forma tal que se garantice su desarrollo integral y armónico como miembro de la sociedad por sobre cualquier otro derecho.</w:t>
      </w:r>
    </w:p>
    <w:p w14:paraId="1484FC43" w14:textId="77777777" w:rsidR="006A3FAC" w:rsidRPr="006A3FAC" w:rsidRDefault="006A3FAC" w:rsidP="006A3FAC">
      <w:pPr>
        <w:jc w:val="both"/>
        <w:rPr>
          <w:rFonts w:ascii="Verdana" w:hAnsi="Verdana"/>
          <w:sz w:val="22"/>
          <w:szCs w:val="22"/>
        </w:rPr>
      </w:pPr>
      <w:r w:rsidRPr="006A3FAC">
        <w:rPr>
          <w:rFonts w:ascii="Verdana" w:hAnsi="Verdana"/>
          <w:sz w:val="22"/>
          <w:szCs w:val="22"/>
        </w:rPr>
        <w:t>El contenido de dicho interés, que es de naturaleza real y relacional, sólo se puede establecer prestando la debida consideración a las circunstancias individuales, únicas e irrepetibles de cada niño, niña o adolescente, debiendo ser atendido por la familia, la sociedad y el Estado con todo el cuidado que requiere su situación personal.</w:t>
      </w:r>
    </w:p>
    <w:p w14:paraId="4CCE440C" w14:textId="3208D54E" w:rsidR="006A3FAC" w:rsidRPr="006A3FAC" w:rsidRDefault="006A3FAC" w:rsidP="006A3FAC">
      <w:pPr>
        <w:jc w:val="both"/>
        <w:rPr>
          <w:rFonts w:ascii="Verdana" w:hAnsi="Verdana"/>
          <w:sz w:val="22"/>
          <w:szCs w:val="22"/>
        </w:rPr>
      </w:pPr>
      <w:r w:rsidRPr="006A3FAC">
        <w:rPr>
          <w:rFonts w:ascii="Verdana" w:hAnsi="Verdana"/>
          <w:sz w:val="22"/>
          <w:szCs w:val="22"/>
        </w:rPr>
        <w:t xml:space="preserve">La Corte </w:t>
      </w:r>
      <w:proofErr w:type="gramStart"/>
      <w:r w:rsidRPr="006A3FAC">
        <w:rPr>
          <w:rFonts w:ascii="Verdana" w:hAnsi="Verdana"/>
          <w:sz w:val="22"/>
          <w:szCs w:val="22"/>
        </w:rPr>
        <w:t>Constitucional</w:t>
      </w:r>
      <w:r w:rsidRPr="006A3FAC">
        <w:rPr>
          <w:rFonts w:ascii="Verdana" w:hAnsi="Verdana"/>
          <w:sz w:val="22"/>
          <w:szCs w:val="22"/>
          <w:vertAlign w:val="subscript"/>
        </w:rPr>
        <w:t>[</w:t>
      </w:r>
      <w:proofErr w:type="gramEnd"/>
      <w:r w:rsidRPr="006A3FAC">
        <w:rPr>
          <w:rFonts w:ascii="Verdana" w:hAnsi="Verdana"/>
          <w:sz w:val="22"/>
          <w:szCs w:val="22"/>
          <w:vertAlign w:val="subscript"/>
        </w:rPr>
        <w:t>3]</w:t>
      </w:r>
      <w:r w:rsidRPr="006A3FAC">
        <w:rPr>
          <w:rFonts w:ascii="Verdana" w:hAnsi="Verdana"/>
          <w:sz w:val="22"/>
          <w:szCs w:val="22"/>
        </w:rPr>
        <w:t> con fundamento en el artículo 44 de la Carta Política ha manifestado que:</w:t>
      </w:r>
    </w:p>
    <w:p w14:paraId="2015528F" w14:textId="77777777" w:rsidR="006A3FAC" w:rsidRPr="006A3FAC" w:rsidRDefault="006A3FAC" w:rsidP="006A3FAC">
      <w:pPr>
        <w:jc w:val="both"/>
        <w:rPr>
          <w:rFonts w:ascii="Verdana" w:hAnsi="Verdana"/>
          <w:sz w:val="22"/>
          <w:szCs w:val="22"/>
        </w:rPr>
      </w:pPr>
      <w:r w:rsidRPr="006A3FAC">
        <w:rPr>
          <w:rFonts w:ascii="Verdana" w:hAnsi="Verdana"/>
          <w:i/>
          <w:iCs/>
          <w:sz w:val="22"/>
          <w:szCs w:val="22"/>
        </w:rPr>
        <w:t>“La más especializada doctrina coincide en señalar que el interés superior del menor, se caracteriza por ser: (1) real, en cuanto se relaciona con las particulares necesidades del menor y con sus especiales aptitudes físicas y sicológicas; (2) independiente del criterio arbitrario de los demás y por tanto, su existencia y protección no dependen de la voluntad o capricho de los padres</w:t>
      </w:r>
      <w:r w:rsidRPr="006A3FAC">
        <w:rPr>
          <w:rFonts w:ascii="Verdana" w:hAnsi="Verdana"/>
          <w:sz w:val="22"/>
          <w:szCs w:val="22"/>
        </w:rPr>
        <w:t>, </w:t>
      </w:r>
      <w:r w:rsidRPr="006A3FAC">
        <w:rPr>
          <w:rFonts w:ascii="Verdana" w:hAnsi="Verdana"/>
          <w:i/>
          <w:iCs/>
          <w:sz w:val="22"/>
          <w:szCs w:val="22"/>
        </w:rPr>
        <w:t>en tanto se trata de intereses jurídicamente autónomos; (3) un concepto relacional, pues la garantía de su protección se predica frente a la existencia de intereses en conflicto cuyo ejercicio de ponderación debe ser guiado por la protección de los derechos del menor, (4) la garantía de un interés jurídico supremo consistente en el desarrollo integral y sano de la personalidad del menor”.</w:t>
      </w:r>
    </w:p>
    <w:p w14:paraId="6D0CF563" w14:textId="7EFD6240" w:rsidR="006A3FAC" w:rsidRPr="006A3FAC" w:rsidRDefault="006A3FAC" w:rsidP="006A3FAC">
      <w:pPr>
        <w:jc w:val="both"/>
        <w:rPr>
          <w:rFonts w:ascii="Verdana" w:hAnsi="Verdana"/>
          <w:sz w:val="22"/>
          <w:szCs w:val="22"/>
        </w:rPr>
      </w:pPr>
      <w:r w:rsidRPr="006A3FAC">
        <w:rPr>
          <w:rFonts w:ascii="Verdana" w:hAnsi="Verdana"/>
          <w:b/>
          <w:bCs/>
          <w:sz w:val="22"/>
          <w:szCs w:val="22"/>
          <w:u w:val="single"/>
        </w:rPr>
        <w:t>(2.2) El permiso de salida del país previsto en el artículo </w:t>
      </w:r>
      <w:r w:rsidRPr="006A3FAC">
        <w:rPr>
          <w:rFonts w:ascii="Verdana" w:hAnsi="Verdana"/>
          <w:sz w:val="22"/>
          <w:szCs w:val="22"/>
          <w:u w:val="single"/>
        </w:rPr>
        <w:t>110</w:t>
      </w:r>
      <w:r w:rsidRPr="006A3FAC">
        <w:rPr>
          <w:rFonts w:ascii="Verdana" w:hAnsi="Verdana"/>
          <w:b/>
          <w:bCs/>
          <w:sz w:val="22"/>
          <w:szCs w:val="22"/>
          <w:u w:val="single"/>
        </w:rPr>
        <w:t> del Código de la Infancia y la Adolescencia</w:t>
      </w:r>
    </w:p>
    <w:p w14:paraId="252ED512" w14:textId="77777777" w:rsidR="006A3FAC" w:rsidRPr="006A3FAC" w:rsidRDefault="006A3FAC" w:rsidP="006A3FAC">
      <w:pPr>
        <w:jc w:val="both"/>
        <w:rPr>
          <w:rFonts w:ascii="Verdana" w:hAnsi="Verdana"/>
          <w:sz w:val="22"/>
          <w:szCs w:val="22"/>
        </w:rPr>
      </w:pPr>
      <w:r w:rsidRPr="006A3FAC">
        <w:rPr>
          <w:rFonts w:ascii="Verdana" w:hAnsi="Verdana"/>
          <w:sz w:val="22"/>
          <w:szCs w:val="22"/>
        </w:rPr>
        <w:t>El permiso de salida del país es una facultad derivada del ejercicio de la patria potestad que la ley confiere a los representantes legales de un menor de edad, el cual debe ser otorgado de manera conjunta por los dos padres para efecto de autorizar la salida del país de todo niño, niña o adolescente, ya sea con un tercero o con uno de los padres, independientemente de la razón que lo motiva.</w:t>
      </w:r>
    </w:p>
    <w:p w14:paraId="10B0E1FE" w14:textId="77777777" w:rsidR="006A3FAC" w:rsidRPr="006A3FAC" w:rsidRDefault="006A3FAC" w:rsidP="006A3FAC">
      <w:pPr>
        <w:jc w:val="both"/>
        <w:rPr>
          <w:rFonts w:ascii="Verdana" w:hAnsi="Verdana"/>
          <w:sz w:val="22"/>
          <w:szCs w:val="22"/>
        </w:rPr>
      </w:pPr>
      <w:r w:rsidRPr="006A3FAC">
        <w:rPr>
          <w:rFonts w:ascii="Verdana" w:hAnsi="Verdana"/>
          <w:sz w:val="22"/>
          <w:szCs w:val="22"/>
        </w:rPr>
        <w:lastRenderedPageBreak/>
        <w:t xml:space="preserve">La solicitud de permiso podrá ser presentada por quien tenga el cuidado personal del niño, niña y adolescente, la cual debe reunir los siguientes requisitos: i) lugar de destino, </w:t>
      </w:r>
      <w:proofErr w:type="spellStart"/>
      <w:r w:rsidRPr="006A3FAC">
        <w:rPr>
          <w:rFonts w:ascii="Verdana" w:hAnsi="Verdana"/>
          <w:sz w:val="22"/>
          <w:szCs w:val="22"/>
        </w:rPr>
        <w:t>ii</w:t>
      </w:r>
      <w:proofErr w:type="spellEnd"/>
      <w:r w:rsidRPr="006A3FAC">
        <w:rPr>
          <w:rFonts w:ascii="Verdana" w:hAnsi="Verdana"/>
          <w:sz w:val="22"/>
          <w:szCs w:val="22"/>
        </w:rPr>
        <w:t xml:space="preserve">) el propósito del viaje, </w:t>
      </w:r>
      <w:proofErr w:type="spellStart"/>
      <w:r w:rsidRPr="006A3FAC">
        <w:rPr>
          <w:rFonts w:ascii="Verdana" w:hAnsi="Verdana"/>
          <w:sz w:val="22"/>
          <w:szCs w:val="22"/>
        </w:rPr>
        <w:t>iii</w:t>
      </w:r>
      <w:proofErr w:type="spellEnd"/>
      <w:r w:rsidRPr="006A3FAC">
        <w:rPr>
          <w:rFonts w:ascii="Verdana" w:hAnsi="Verdana"/>
          <w:sz w:val="22"/>
          <w:szCs w:val="22"/>
        </w:rPr>
        <w:t xml:space="preserve">) la fecha de salida y </w:t>
      </w:r>
      <w:proofErr w:type="spellStart"/>
      <w:r w:rsidRPr="006A3FAC">
        <w:rPr>
          <w:rFonts w:ascii="Verdana" w:hAnsi="Verdana"/>
          <w:sz w:val="22"/>
          <w:szCs w:val="22"/>
        </w:rPr>
        <w:t>iv</w:t>
      </w:r>
      <w:proofErr w:type="spellEnd"/>
      <w:r w:rsidRPr="006A3FAC">
        <w:rPr>
          <w:rFonts w:ascii="Verdana" w:hAnsi="Verdana"/>
          <w:sz w:val="22"/>
          <w:szCs w:val="22"/>
        </w:rPr>
        <w:t>) fecha de ingreso de nuevo al País.</w:t>
      </w:r>
    </w:p>
    <w:p w14:paraId="6CDA8791" w14:textId="6ABF1B8A" w:rsidR="006A3FAC" w:rsidRPr="006A3FAC" w:rsidRDefault="006A3FAC" w:rsidP="006A3FAC">
      <w:pPr>
        <w:jc w:val="both"/>
        <w:rPr>
          <w:rFonts w:ascii="Verdana" w:hAnsi="Verdana"/>
          <w:sz w:val="22"/>
          <w:szCs w:val="22"/>
        </w:rPr>
      </w:pPr>
      <w:r w:rsidRPr="006A3FAC">
        <w:rPr>
          <w:rFonts w:ascii="Verdana" w:hAnsi="Verdana"/>
          <w:sz w:val="22"/>
          <w:szCs w:val="22"/>
        </w:rPr>
        <w:t>En el mismo sentido hay que decir que el permiso de salida del país del niño, niña o adolescente puede ser otorgado por los padres indefinidamente mediante escritura pública, tal y como lo contempla el artículo 9 del Decreto 2150</w:t>
      </w:r>
      <w:r w:rsidRPr="006A3FAC">
        <w:rPr>
          <w:rFonts w:ascii="Verdana" w:hAnsi="Verdana"/>
          <w:sz w:val="22"/>
          <w:szCs w:val="22"/>
          <w:vertAlign w:val="subscript"/>
        </w:rPr>
        <w:t>[4]</w:t>
      </w:r>
      <w:r w:rsidRPr="006A3FAC">
        <w:rPr>
          <w:rFonts w:ascii="Verdana" w:hAnsi="Verdana"/>
          <w:sz w:val="22"/>
          <w:szCs w:val="22"/>
        </w:rPr>
        <w:t> de 1995 requiriendo solamente constancia de vigencia cada vez que el niño, niña o adolescente salga del territorio colombiano.</w:t>
      </w:r>
    </w:p>
    <w:p w14:paraId="168FABA8" w14:textId="77777777" w:rsidR="006A3FAC" w:rsidRPr="006A3FAC" w:rsidRDefault="006A3FAC" w:rsidP="006A3FAC">
      <w:pPr>
        <w:jc w:val="both"/>
        <w:rPr>
          <w:rFonts w:ascii="Verdana" w:hAnsi="Verdana"/>
          <w:sz w:val="22"/>
          <w:szCs w:val="22"/>
        </w:rPr>
      </w:pPr>
      <w:r w:rsidRPr="006A3FAC">
        <w:rPr>
          <w:rFonts w:ascii="Verdana" w:hAnsi="Verdana"/>
          <w:sz w:val="22"/>
          <w:szCs w:val="22"/>
        </w:rPr>
        <w:t>Ante situaciones de imposibilidad de ubicación de uno de los padres o el desacuerdo para el otorgamiento del permiso de salida del país de un menor de edad, es necesaria la intervención de las autoridades competentes, esto es, el Defensor de Familia o el Juez de Familia.</w:t>
      </w:r>
    </w:p>
    <w:p w14:paraId="20B907C0" w14:textId="07C172A2" w:rsidR="006A3FAC" w:rsidRPr="006A3FAC" w:rsidRDefault="006A3FAC" w:rsidP="006A3FAC">
      <w:pPr>
        <w:jc w:val="both"/>
        <w:rPr>
          <w:rFonts w:ascii="Verdana" w:hAnsi="Verdana"/>
          <w:sz w:val="22"/>
          <w:szCs w:val="22"/>
        </w:rPr>
      </w:pPr>
      <w:r w:rsidRPr="006A3FAC">
        <w:rPr>
          <w:rFonts w:ascii="Verdana" w:hAnsi="Verdana"/>
          <w:sz w:val="22"/>
          <w:szCs w:val="22"/>
        </w:rPr>
        <w:t xml:space="preserve">Así, el Código de la Infancia y la </w:t>
      </w:r>
      <w:proofErr w:type="gramStart"/>
      <w:r w:rsidRPr="006A3FAC">
        <w:rPr>
          <w:rFonts w:ascii="Verdana" w:hAnsi="Verdana"/>
          <w:sz w:val="22"/>
          <w:szCs w:val="22"/>
        </w:rPr>
        <w:t>Adolescencia</w:t>
      </w:r>
      <w:r w:rsidRPr="006A3FAC">
        <w:rPr>
          <w:rFonts w:ascii="Verdana" w:hAnsi="Verdana"/>
          <w:sz w:val="22"/>
          <w:szCs w:val="22"/>
          <w:vertAlign w:val="subscript"/>
        </w:rPr>
        <w:t>[</w:t>
      </w:r>
      <w:proofErr w:type="gramEnd"/>
      <w:r w:rsidRPr="006A3FAC">
        <w:rPr>
          <w:rFonts w:ascii="Verdana" w:hAnsi="Verdana"/>
          <w:sz w:val="22"/>
          <w:szCs w:val="22"/>
          <w:vertAlign w:val="subscript"/>
        </w:rPr>
        <w:t>5]</w:t>
      </w:r>
      <w:r w:rsidRPr="006A3FAC">
        <w:rPr>
          <w:rFonts w:ascii="Verdana" w:hAnsi="Verdana"/>
          <w:sz w:val="22"/>
          <w:szCs w:val="22"/>
        </w:rPr>
        <w:t> en su artículo 110 contempla las condiciones y las reglas a las cuales se encuentra sujeto el trámite para la salida del país del niño, niña o adolescente cuando carezca de representante legal, se desconozca su paradero o no se encuentre en condiciones de otorgarlo, autorización que debe ser expedida por el Defensor de Familia. Nótese que la Ley se refiere a la intervención directa del Defensor de Familia cuando se presentan situaciones que impiden conceder el consentimiento de uno de los que debe otorgarlo.</w:t>
      </w:r>
    </w:p>
    <w:p w14:paraId="756B21AB" w14:textId="77777777" w:rsidR="006A3FAC" w:rsidRPr="006A3FAC" w:rsidRDefault="006A3FAC" w:rsidP="006A3FAC">
      <w:pPr>
        <w:jc w:val="both"/>
        <w:rPr>
          <w:rFonts w:ascii="Verdana" w:hAnsi="Verdana"/>
          <w:sz w:val="22"/>
          <w:szCs w:val="22"/>
        </w:rPr>
      </w:pPr>
      <w:r w:rsidRPr="006A3FAC">
        <w:rPr>
          <w:rFonts w:ascii="Verdana" w:hAnsi="Verdana"/>
          <w:sz w:val="22"/>
          <w:szCs w:val="22"/>
        </w:rPr>
        <w:t>Se acude ante el Juez de Familia cuando existe disparidad de criterios entre quienes deben otorgar la autorización, es decir, cuando uno de los padres no concede el permiso, pues así lo señala expresamente la precitada ley.</w:t>
      </w:r>
    </w:p>
    <w:p w14:paraId="29F7A3EB" w14:textId="1798EE1F" w:rsidR="006A3FAC" w:rsidRPr="006A3FAC" w:rsidRDefault="006A3FAC" w:rsidP="006A3FAC">
      <w:pPr>
        <w:jc w:val="both"/>
        <w:rPr>
          <w:rFonts w:ascii="Verdana" w:hAnsi="Verdana"/>
          <w:sz w:val="22"/>
          <w:szCs w:val="22"/>
        </w:rPr>
      </w:pPr>
      <w:r w:rsidRPr="006A3FAC">
        <w:rPr>
          <w:rFonts w:ascii="Verdana" w:hAnsi="Verdana"/>
          <w:sz w:val="22"/>
          <w:szCs w:val="22"/>
        </w:rPr>
        <w:t>Ésta solicitud se tramita a través de un proceso verbal sumario, previsto en el artículo 435 del Código de Procedimiento Civil, y es ésta autoridad judicial quien definirá sobre la procedencia o no de otorgar el permiso de salida del país, de acuerdo a lo contemplado en el artículo 44</w:t>
      </w:r>
      <w:r w:rsidRPr="006A3FAC">
        <w:rPr>
          <w:rFonts w:ascii="Verdana" w:hAnsi="Verdana"/>
          <w:sz w:val="22"/>
          <w:szCs w:val="22"/>
          <w:vertAlign w:val="subscript"/>
        </w:rPr>
        <w:t>[6]</w:t>
      </w:r>
      <w:r w:rsidRPr="006A3FAC">
        <w:rPr>
          <w:rFonts w:ascii="Verdana" w:hAnsi="Verdana"/>
          <w:sz w:val="22"/>
          <w:szCs w:val="22"/>
        </w:rPr>
        <w:t> de la Constitución Política, teniendo en cuenta los derechos fundamentales a la vida, a la integridad física, a la salud y a la seguridad social, a una alimentación equilibrada, a su nombre y nacionalidad, a tener una familia y no ser separados de ella, al cuidado y amor, a la educación y la cultura, la recreación, a la libre expresión de su opinión y al desarrollo armónico e integral.</w:t>
      </w:r>
    </w:p>
    <w:p w14:paraId="1C583F85" w14:textId="77777777" w:rsidR="006A3FAC" w:rsidRPr="006A3FAC" w:rsidRDefault="006A3FAC" w:rsidP="006A3FAC">
      <w:pPr>
        <w:jc w:val="both"/>
        <w:rPr>
          <w:rFonts w:ascii="Verdana" w:hAnsi="Verdana"/>
          <w:sz w:val="22"/>
          <w:szCs w:val="22"/>
        </w:rPr>
      </w:pPr>
      <w:r w:rsidRPr="006A3FAC">
        <w:rPr>
          <w:rFonts w:ascii="Verdana" w:hAnsi="Verdana"/>
          <w:b/>
          <w:bCs/>
          <w:sz w:val="22"/>
          <w:szCs w:val="22"/>
          <w:u w:val="single"/>
        </w:rPr>
        <w:t>(2.3) Término de expedición del permiso de salida del país</w:t>
      </w:r>
    </w:p>
    <w:p w14:paraId="0089A04C" w14:textId="5EF14CBB" w:rsidR="006A3FAC" w:rsidRPr="006A3FAC" w:rsidRDefault="006A3FAC" w:rsidP="006A3FAC">
      <w:pPr>
        <w:jc w:val="both"/>
        <w:rPr>
          <w:rFonts w:ascii="Verdana" w:hAnsi="Verdana"/>
          <w:sz w:val="22"/>
          <w:szCs w:val="22"/>
        </w:rPr>
      </w:pPr>
      <w:r w:rsidRPr="006A3FAC">
        <w:rPr>
          <w:rFonts w:ascii="Verdana" w:hAnsi="Verdana"/>
          <w:sz w:val="22"/>
          <w:szCs w:val="22"/>
        </w:rPr>
        <w:t xml:space="preserve">Establece el artículo 110 de la Ley 1098 de 2006 en su párrafo 6 que la autorización de salida del país del menor de </w:t>
      </w:r>
      <w:proofErr w:type="gramStart"/>
      <w:r w:rsidRPr="006A3FAC">
        <w:rPr>
          <w:rFonts w:ascii="Verdana" w:hAnsi="Verdana"/>
          <w:sz w:val="22"/>
          <w:szCs w:val="22"/>
        </w:rPr>
        <w:t>edad,</w:t>
      </w:r>
      <w:proofErr w:type="gramEnd"/>
      <w:r w:rsidRPr="006A3FAC">
        <w:rPr>
          <w:rFonts w:ascii="Verdana" w:hAnsi="Verdana"/>
          <w:sz w:val="22"/>
          <w:szCs w:val="22"/>
        </w:rPr>
        <w:t xml:space="preserve"> tiene una vigencia de 60 días hábiles, contados a partir de su ejecutoria, es de aclarar que dicho término hace </w:t>
      </w:r>
      <w:r w:rsidRPr="006A3FAC">
        <w:rPr>
          <w:rFonts w:ascii="Verdana" w:hAnsi="Verdana"/>
          <w:sz w:val="22"/>
          <w:szCs w:val="22"/>
        </w:rPr>
        <w:lastRenderedPageBreak/>
        <w:t>relación a la vigencia del citado permiso, no al término máximo de duración en que el niño, niña o adolescente este en el exterior.</w:t>
      </w:r>
    </w:p>
    <w:p w14:paraId="3AD721F5" w14:textId="77777777" w:rsidR="006A3FAC" w:rsidRPr="006A3FAC" w:rsidRDefault="006A3FAC" w:rsidP="006A3FAC">
      <w:pPr>
        <w:jc w:val="both"/>
        <w:rPr>
          <w:rFonts w:ascii="Verdana" w:hAnsi="Verdana"/>
          <w:sz w:val="22"/>
          <w:szCs w:val="22"/>
        </w:rPr>
      </w:pPr>
      <w:r w:rsidRPr="006A3FAC">
        <w:rPr>
          <w:rFonts w:ascii="Verdana" w:hAnsi="Verdana"/>
          <w:sz w:val="22"/>
          <w:szCs w:val="22"/>
        </w:rPr>
        <w:t>Es decir, que la ley no establece un término de permanencia, para los niños, niñas y adolescentes que desean salir fuera del país, dicho tema es exclusivo de los padres sin olvidar que el permiso otorgado ya sea por la autoridad administrativa o por el Juez, es un permiso esencialmente provisional según el motivo de la solicitud, así por ejemplo el niño, niña o adolescente que requiere permiso para realizar estudios fuera del país, se puede conceder por el tiempo requerido para adelantar dicha actividad, </w:t>
      </w:r>
      <w:r w:rsidRPr="006A3FAC">
        <w:rPr>
          <w:rFonts w:ascii="Verdana" w:hAnsi="Verdana"/>
          <w:sz w:val="22"/>
          <w:szCs w:val="22"/>
          <w:u w:val="single"/>
        </w:rPr>
        <w:t>lo que la ley regula es la vigencia para el uso del citado permiso, que es de 60 días.</w:t>
      </w:r>
      <w:r w:rsidRPr="006A3FAC">
        <w:rPr>
          <w:rFonts w:ascii="Verdana" w:hAnsi="Verdana"/>
          <w:sz w:val="22"/>
          <w:szCs w:val="22"/>
        </w:rPr>
        <w:t xml:space="preserve"> (Subrayado fuera de texto). Permiso que debe reunir, los siguientes requisitos: i) lugar de destino, </w:t>
      </w:r>
      <w:proofErr w:type="spellStart"/>
      <w:r w:rsidRPr="006A3FAC">
        <w:rPr>
          <w:rFonts w:ascii="Verdana" w:hAnsi="Verdana"/>
          <w:sz w:val="22"/>
          <w:szCs w:val="22"/>
        </w:rPr>
        <w:t>ii</w:t>
      </w:r>
      <w:proofErr w:type="spellEnd"/>
      <w:r w:rsidRPr="006A3FAC">
        <w:rPr>
          <w:rFonts w:ascii="Verdana" w:hAnsi="Verdana"/>
          <w:sz w:val="22"/>
          <w:szCs w:val="22"/>
        </w:rPr>
        <w:t xml:space="preserve">) el propósito del viaje, </w:t>
      </w:r>
      <w:proofErr w:type="spellStart"/>
      <w:r w:rsidRPr="006A3FAC">
        <w:rPr>
          <w:rFonts w:ascii="Verdana" w:hAnsi="Verdana"/>
          <w:sz w:val="22"/>
          <w:szCs w:val="22"/>
        </w:rPr>
        <w:t>iii</w:t>
      </w:r>
      <w:proofErr w:type="spellEnd"/>
      <w:r w:rsidRPr="006A3FAC">
        <w:rPr>
          <w:rFonts w:ascii="Verdana" w:hAnsi="Verdana"/>
          <w:sz w:val="22"/>
          <w:szCs w:val="22"/>
        </w:rPr>
        <w:t xml:space="preserve">) la fecha de salida y </w:t>
      </w:r>
      <w:proofErr w:type="spellStart"/>
      <w:r w:rsidRPr="006A3FAC">
        <w:rPr>
          <w:rFonts w:ascii="Verdana" w:hAnsi="Verdana"/>
          <w:sz w:val="22"/>
          <w:szCs w:val="22"/>
        </w:rPr>
        <w:t>iv</w:t>
      </w:r>
      <w:proofErr w:type="spellEnd"/>
      <w:r w:rsidRPr="006A3FAC">
        <w:rPr>
          <w:rFonts w:ascii="Verdana" w:hAnsi="Verdana"/>
          <w:sz w:val="22"/>
          <w:szCs w:val="22"/>
        </w:rPr>
        <w:t>) fecha de ingreso de nuevo al País.</w:t>
      </w:r>
    </w:p>
    <w:p w14:paraId="6A3E7D22" w14:textId="77777777" w:rsidR="006A3FAC" w:rsidRPr="006A3FAC" w:rsidRDefault="006A3FAC" w:rsidP="006A3FAC">
      <w:pPr>
        <w:jc w:val="both"/>
        <w:rPr>
          <w:rFonts w:ascii="Verdana" w:hAnsi="Verdana"/>
          <w:sz w:val="22"/>
          <w:szCs w:val="22"/>
        </w:rPr>
      </w:pPr>
      <w:r w:rsidRPr="006A3FAC">
        <w:rPr>
          <w:rFonts w:ascii="Verdana" w:hAnsi="Verdana"/>
          <w:b/>
          <w:bCs/>
          <w:sz w:val="22"/>
          <w:szCs w:val="22"/>
        </w:rPr>
        <w:t>3. CONCLUSIONES</w:t>
      </w:r>
    </w:p>
    <w:p w14:paraId="7A537171" w14:textId="77777777" w:rsidR="006A3FAC" w:rsidRPr="006A3FAC" w:rsidRDefault="006A3FAC" w:rsidP="006A3FAC">
      <w:pPr>
        <w:jc w:val="both"/>
        <w:rPr>
          <w:rFonts w:ascii="Verdana" w:hAnsi="Verdana"/>
          <w:sz w:val="22"/>
          <w:szCs w:val="22"/>
        </w:rPr>
      </w:pPr>
      <w:proofErr w:type="gramStart"/>
      <w:r w:rsidRPr="006A3FAC">
        <w:rPr>
          <w:rFonts w:ascii="Verdana" w:hAnsi="Verdana"/>
          <w:sz w:val="22"/>
          <w:szCs w:val="22"/>
        </w:rPr>
        <w:t>Primero.-</w:t>
      </w:r>
      <w:proofErr w:type="gramEnd"/>
      <w:r w:rsidRPr="006A3FAC">
        <w:rPr>
          <w:rFonts w:ascii="Verdana" w:hAnsi="Verdana"/>
          <w:sz w:val="22"/>
          <w:szCs w:val="22"/>
        </w:rPr>
        <w:t xml:space="preserve"> El permiso de salida del país es una facultad que la ley confiere a los representantes legales del menor de edad conjuntamente, cuando un niño, niña o adolescente pretenda salir del país con un tercero, o con uno de ellos si el otro no viaja.</w:t>
      </w:r>
    </w:p>
    <w:p w14:paraId="6E33F20F" w14:textId="77777777" w:rsidR="006A3FAC" w:rsidRPr="006A3FAC" w:rsidRDefault="006A3FAC" w:rsidP="006A3FAC">
      <w:pPr>
        <w:jc w:val="both"/>
        <w:rPr>
          <w:rFonts w:ascii="Verdana" w:hAnsi="Verdana"/>
          <w:sz w:val="22"/>
          <w:szCs w:val="22"/>
        </w:rPr>
      </w:pPr>
      <w:r w:rsidRPr="006A3FAC">
        <w:rPr>
          <w:rFonts w:ascii="Verdana" w:hAnsi="Verdana"/>
          <w:sz w:val="22"/>
          <w:szCs w:val="22"/>
        </w:rPr>
        <w:t>Segundo. No existe un término por la ley que determine la permanencia del niño, niña o adolescentes en otro país, lo que la ley establece es la vigencia para el uso del permiso disponiendo para tal fin de 60 días hábiles.</w:t>
      </w:r>
    </w:p>
    <w:p w14:paraId="59DA2CF2" w14:textId="535CAB30" w:rsidR="006A3FAC" w:rsidRPr="006A3FAC" w:rsidRDefault="006A3FAC" w:rsidP="006A3FAC">
      <w:pPr>
        <w:jc w:val="both"/>
        <w:rPr>
          <w:rFonts w:ascii="Verdana" w:hAnsi="Verdana"/>
          <w:sz w:val="22"/>
          <w:szCs w:val="22"/>
        </w:rPr>
      </w:pPr>
      <w:r w:rsidRPr="006A3FAC">
        <w:rPr>
          <w:rFonts w:ascii="Verdana" w:hAnsi="Verdana"/>
          <w:sz w:val="22"/>
          <w:szCs w:val="22"/>
        </w:rPr>
        <w:t xml:space="preserve">Tercero. Por </w:t>
      </w:r>
      <w:proofErr w:type="gramStart"/>
      <w:r w:rsidRPr="006A3FAC">
        <w:rPr>
          <w:rFonts w:ascii="Verdana" w:hAnsi="Verdana"/>
          <w:sz w:val="22"/>
          <w:szCs w:val="22"/>
        </w:rPr>
        <w:t>último</w:t>
      </w:r>
      <w:proofErr w:type="gramEnd"/>
      <w:r w:rsidRPr="006A3FAC">
        <w:rPr>
          <w:rFonts w:ascii="Verdana" w:hAnsi="Verdana"/>
          <w:sz w:val="22"/>
          <w:szCs w:val="22"/>
        </w:rPr>
        <w:t xml:space="preserve"> es preciso indicar que el presente </w:t>
      </w:r>
      <w:proofErr w:type="gramStart"/>
      <w:r w:rsidRPr="006A3FAC">
        <w:rPr>
          <w:rFonts w:ascii="Verdana" w:hAnsi="Verdana"/>
          <w:sz w:val="22"/>
          <w:szCs w:val="22"/>
        </w:rPr>
        <w:t>concepto</w:t>
      </w:r>
      <w:r w:rsidRPr="006A3FAC">
        <w:rPr>
          <w:rFonts w:ascii="Verdana" w:hAnsi="Verdana"/>
          <w:sz w:val="22"/>
          <w:szCs w:val="22"/>
          <w:vertAlign w:val="subscript"/>
        </w:rPr>
        <w:t>[</w:t>
      </w:r>
      <w:proofErr w:type="gramEnd"/>
      <w:r w:rsidRPr="006A3FAC">
        <w:rPr>
          <w:rFonts w:ascii="Verdana" w:hAnsi="Verdana"/>
          <w:sz w:val="22"/>
          <w:szCs w:val="22"/>
          <w:vertAlign w:val="subscript"/>
        </w:rPr>
        <w:t>7]</w:t>
      </w:r>
      <w:r w:rsidRPr="006A3FAC">
        <w:rPr>
          <w:rFonts w:ascii="Verdana" w:hAnsi="Verdana"/>
          <w:sz w:val="22"/>
          <w:szCs w:val="22"/>
        </w:rPr>
        <w:t xml:space="preserve"> no es de obligatorio cumplimiento o ejecución para particulares o agentes externos, de conformidad con lo establecido en el artículo 28 de la ley 1427 &lt;sic, es 1437&gt; de 2011, Código de Procedimiento Administrativo y de lo Contencioso Administrativo. No </w:t>
      </w:r>
      <w:proofErr w:type="gramStart"/>
      <w:r w:rsidRPr="006A3FAC">
        <w:rPr>
          <w:rFonts w:ascii="Verdana" w:hAnsi="Verdana"/>
          <w:sz w:val="22"/>
          <w:szCs w:val="22"/>
        </w:rPr>
        <w:t>obstante</w:t>
      </w:r>
      <w:proofErr w:type="gramEnd"/>
      <w:r w:rsidRPr="006A3FAC">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E94F831" w14:textId="77777777" w:rsidR="006A3FAC" w:rsidRDefault="006A3FAC" w:rsidP="006A3FAC">
      <w:pPr>
        <w:jc w:val="both"/>
        <w:rPr>
          <w:rFonts w:ascii="Verdana" w:hAnsi="Verdana"/>
          <w:sz w:val="22"/>
          <w:szCs w:val="22"/>
        </w:rPr>
      </w:pPr>
    </w:p>
    <w:p w14:paraId="21FB37BA" w14:textId="601C73D7" w:rsidR="006A3FAC" w:rsidRPr="006A3FAC" w:rsidRDefault="006A3FAC" w:rsidP="006A3FAC">
      <w:pPr>
        <w:jc w:val="both"/>
        <w:rPr>
          <w:rFonts w:ascii="Verdana" w:hAnsi="Verdana"/>
          <w:sz w:val="22"/>
          <w:szCs w:val="22"/>
        </w:rPr>
      </w:pPr>
      <w:r w:rsidRPr="006A3FAC">
        <w:rPr>
          <w:rFonts w:ascii="Verdana" w:hAnsi="Verdana"/>
          <w:sz w:val="22"/>
          <w:szCs w:val="22"/>
        </w:rPr>
        <w:t>Cordialmente,</w:t>
      </w:r>
    </w:p>
    <w:p w14:paraId="2A0D6D07" w14:textId="77777777" w:rsidR="006A3FAC" w:rsidRDefault="006A3FAC" w:rsidP="006A3FAC">
      <w:pPr>
        <w:jc w:val="both"/>
        <w:rPr>
          <w:rFonts w:ascii="Verdana" w:hAnsi="Verdana"/>
          <w:b/>
          <w:bCs/>
          <w:sz w:val="22"/>
          <w:szCs w:val="22"/>
        </w:rPr>
      </w:pPr>
    </w:p>
    <w:p w14:paraId="3D959F0E" w14:textId="196DF2EF" w:rsidR="006A3FAC" w:rsidRPr="006A3FAC" w:rsidRDefault="006A3FAC" w:rsidP="006A3FAC">
      <w:pPr>
        <w:jc w:val="both"/>
        <w:rPr>
          <w:rFonts w:ascii="Verdana" w:hAnsi="Verdana"/>
          <w:sz w:val="22"/>
          <w:szCs w:val="22"/>
        </w:rPr>
      </w:pPr>
      <w:r w:rsidRPr="006A3FAC">
        <w:rPr>
          <w:rFonts w:ascii="Verdana" w:hAnsi="Verdana"/>
          <w:b/>
          <w:bCs/>
          <w:sz w:val="22"/>
          <w:szCs w:val="22"/>
        </w:rPr>
        <w:t>LUZ KARIME FERNANDEZ CASTILLO</w:t>
      </w:r>
    </w:p>
    <w:p w14:paraId="3003B6AD" w14:textId="77777777" w:rsidR="006A3FAC" w:rsidRPr="006A3FAC" w:rsidRDefault="006A3FAC" w:rsidP="006A3FAC">
      <w:pPr>
        <w:jc w:val="both"/>
        <w:rPr>
          <w:rFonts w:ascii="Verdana" w:hAnsi="Verdana"/>
          <w:sz w:val="22"/>
          <w:szCs w:val="22"/>
        </w:rPr>
      </w:pPr>
      <w:r w:rsidRPr="006A3FAC">
        <w:rPr>
          <w:rFonts w:ascii="Verdana" w:hAnsi="Verdana"/>
          <w:sz w:val="22"/>
          <w:szCs w:val="22"/>
        </w:rPr>
        <w:t>Jefe Oficina Asesora Jurídica</w:t>
      </w:r>
    </w:p>
    <w:p w14:paraId="3F93854F" w14:textId="77777777" w:rsidR="006A3FAC" w:rsidRDefault="006A3FAC" w:rsidP="006A3FAC">
      <w:pPr>
        <w:jc w:val="both"/>
        <w:rPr>
          <w:rFonts w:ascii="Verdana" w:hAnsi="Verdana"/>
          <w:b/>
          <w:bCs/>
          <w:sz w:val="22"/>
          <w:szCs w:val="22"/>
        </w:rPr>
      </w:pPr>
    </w:p>
    <w:p w14:paraId="1983D57B" w14:textId="0349C191" w:rsidR="006A3FAC" w:rsidRPr="006A3FAC" w:rsidRDefault="006A3FAC" w:rsidP="006A3FAC">
      <w:pPr>
        <w:jc w:val="both"/>
        <w:rPr>
          <w:rFonts w:ascii="Verdana" w:hAnsi="Verdana"/>
          <w:b/>
          <w:bCs/>
          <w:sz w:val="22"/>
          <w:szCs w:val="22"/>
        </w:rPr>
      </w:pPr>
      <w:r w:rsidRPr="006A3FAC">
        <w:rPr>
          <w:rFonts w:ascii="Verdana" w:hAnsi="Verdana"/>
          <w:b/>
          <w:bCs/>
          <w:sz w:val="22"/>
          <w:szCs w:val="22"/>
        </w:rPr>
        <w:t xml:space="preserve">Notas Pie de Página: </w:t>
      </w:r>
    </w:p>
    <w:p w14:paraId="71A17FDC" w14:textId="756C2D18" w:rsidR="006A3FAC" w:rsidRPr="006A3FAC" w:rsidRDefault="006A3FAC" w:rsidP="006A3FAC">
      <w:pPr>
        <w:pStyle w:val="Prrafodelista"/>
        <w:numPr>
          <w:ilvl w:val="0"/>
          <w:numId w:val="17"/>
        </w:numPr>
        <w:jc w:val="both"/>
        <w:rPr>
          <w:rFonts w:ascii="Verdana" w:hAnsi="Verdana"/>
          <w:sz w:val="22"/>
          <w:szCs w:val="22"/>
        </w:rPr>
      </w:pPr>
      <w:r w:rsidRPr="006A3FAC">
        <w:rPr>
          <w:rFonts w:ascii="Verdana" w:hAnsi="Verdana"/>
          <w:sz w:val="22"/>
          <w:szCs w:val="22"/>
        </w:rPr>
        <w:t>Sentencia T- 921 de 2013 M.P. Jorge Ignacio Pretelt Chaljub</w:t>
      </w:r>
    </w:p>
    <w:p w14:paraId="5BB31341" w14:textId="41B15773" w:rsidR="006A3FAC" w:rsidRPr="006A3FAC" w:rsidRDefault="006A3FAC" w:rsidP="006A3FAC">
      <w:pPr>
        <w:pStyle w:val="Prrafodelista"/>
        <w:numPr>
          <w:ilvl w:val="0"/>
          <w:numId w:val="17"/>
        </w:numPr>
        <w:jc w:val="both"/>
        <w:rPr>
          <w:rFonts w:ascii="Verdana" w:hAnsi="Verdana"/>
          <w:sz w:val="22"/>
          <w:szCs w:val="22"/>
        </w:rPr>
      </w:pPr>
      <w:r w:rsidRPr="006A3FAC">
        <w:rPr>
          <w:rFonts w:ascii="Verdana" w:hAnsi="Verdana"/>
          <w:sz w:val="22"/>
          <w:szCs w:val="22"/>
        </w:rPr>
        <w:t>Sentencia T-510 </w:t>
      </w:r>
      <w:proofErr w:type="gramStart"/>
      <w:r w:rsidRPr="006A3FAC">
        <w:rPr>
          <w:rFonts w:ascii="Verdana" w:hAnsi="Verdana"/>
          <w:sz w:val="22"/>
          <w:szCs w:val="22"/>
        </w:rPr>
        <w:t>de  2003</w:t>
      </w:r>
      <w:proofErr w:type="gramEnd"/>
      <w:r w:rsidRPr="006A3FAC">
        <w:rPr>
          <w:rFonts w:ascii="Verdana" w:hAnsi="Verdana"/>
          <w:sz w:val="22"/>
          <w:szCs w:val="22"/>
        </w:rPr>
        <w:t>, M. P. Dr. Manuel José Cepeda Espinosa.</w:t>
      </w:r>
    </w:p>
    <w:p w14:paraId="7FF69A06" w14:textId="024CDE6F" w:rsidR="006A3FAC" w:rsidRPr="006A3FAC" w:rsidRDefault="006A3FAC" w:rsidP="006A3FAC">
      <w:pPr>
        <w:pStyle w:val="Prrafodelista"/>
        <w:numPr>
          <w:ilvl w:val="0"/>
          <w:numId w:val="17"/>
        </w:numPr>
        <w:jc w:val="both"/>
        <w:rPr>
          <w:rFonts w:ascii="Verdana" w:hAnsi="Verdana"/>
          <w:sz w:val="22"/>
          <w:szCs w:val="22"/>
        </w:rPr>
      </w:pPr>
      <w:r w:rsidRPr="006A3FAC">
        <w:rPr>
          <w:rFonts w:ascii="Verdana" w:hAnsi="Verdana"/>
          <w:sz w:val="22"/>
          <w:szCs w:val="22"/>
        </w:rPr>
        <w:t>Sentencia T-800 de 2005</w:t>
      </w:r>
      <w:r w:rsidRPr="006A3FAC">
        <w:rPr>
          <w:rFonts w:ascii="Verdana" w:hAnsi="Verdana"/>
          <w:i/>
          <w:iCs/>
          <w:sz w:val="22"/>
          <w:szCs w:val="22"/>
        </w:rPr>
        <w:t>,</w:t>
      </w:r>
      <w:r w:rsidRPr="006A3FAC">
        <w:rPr>
          <w:rFonts w:ascii="Verdana" w:hAnsi="Verdana"/>
          <w:sz w:val="22"/>
          <w:szCs w:val="22"/>
        </w:rPr>
        <w:t> M.P. Jaime Córdoba Triviño</w:t>
      </w:r>
    </w:p>
    <w:p w14:paraId="327FCA39" w14:textId="001D6000" w:rsidR="006A3FAC" w:rsidRPr="006A3FAC" w:rsidRDefault="006A3FAC" w:rsidP="006A3FAC">
      <w:pPr>
        <w:pStyle w:val="Prrafodelista"/>
        <w:numPr>
          <w:ilvl w:val="0"/>
          <w:numId w:val="17"/>
        </w:numPr>
        <w:jc w:val="both"/>
        <w:rPr>
          <w:rFonts w:ascii="Verdana" w:hAnsi="Verdana"/>
          <w:sz w:val="22"/>
          <w:szCs w:val="22"/>
        </w:rPr>
      </w:pPr>
      <w:r w:rsidRPr="006A3FAC">
        <w:rPr>
          <w:rFonts w:ascii="Verdana" w:hAnsi="Verdana"/>
          <w:sz w:val="22"/>
          <w:szCs w:val="22"/>
        </w:rPr>
        <w:t>Por el cual se suprimen y reforman regulaciones, procedimientos o trámites innecesarios existentes en la Administración Pública.</w:t>
      </w:r>
    </w:p>
    <w:p w14:paraId="6B7DB1DD" w14:textId="564637BB" w:rsidR="006A3FAC" w:rsidRPr="006A3FAC" w:rsidRDefault="006A3FAC" w:rsidP="006A3FAC">
      <w:pPr>
        <w:pStyle w:val="Prrafodelista"/>
        <w:numPr>
          <w:ilvl w:val="0"/>
          <w:numId w:val="17"/>
        </w:numPr>
        <w:jc w:val="both"/>
        <w:rPr>
          <w:rFonts w:ascii="Verdana" w:hAnsi="Verdana"/>
          <w:sz w:val="22"/>
          <w:szCs w:val="22"/>
        </w:rPr>
      </w:pPr>
      <w:r w:rsidRPr="006A3FAC">
        <w:rPr>
          <w:rFonts w:ascii="Verdana" w:hAnsi="Verdana"/>
          <w:sz w:val="22"/>
          <w:szCs w:val="22"/>
        </w:rPr>
        <w:t>Ley 1098 de 2006.</w:t>
      </w:r>
    </w:p>
    <w:p w14:paraId="501D5E39" w14:textId="38C4CD02" w:rsidR="006A3FAC" w:rsidRPr="006A3FAC" w:rsidRDefault="006A3FAC" w:rsidP="006A3FAC">
      <w:pPr>
        <w:pStyle w:val="Prrafodelista"/>
        <w:numPr>
          <w:ilvl w:val="0"/>
          <w:numId w:val="17"/>
        </w:numPr>
        <w:jc w:val="both"/>
        <w:rPr>
          <w:rFonts w:ascii="Verdana" w:hAnsi="Verdana"/>
          <w:sz w:val="22"/>
          <w:szCs w:val="22"/>
        </w:rPr>
      </w:pPr>
      <w:r w:rsidRPr="006A3FAC">
        <w:rPr>
          <w:rFonts w:ascii="Verdana" w:hAnsi="Verdana"/>
          <w:sz w:val="22"/>
          <w:szCs w:val="22"/>
        </w:rPr>
        <w:t>Constitución Política. Artículo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loe demás derechos consagrados en la Constitución, en las leyes y en los tratados internacionales ratificados por Colombia.</w:t>
      </w:r>
    </w:p>
    <w:p w14:paraId="11B4A320" w14:textId="77777777" w:rsidR="006A3FAC" w:rsidRPr="006A3FAC" w:rsidRDefault="006A3FAC" w:rsidP="006A3FAC">
      <w:pPr>
        <w:pStyle w:val="Prrafodelista"/>
        <w:jc w:val="both"/>
        <w:rPr>
          <w:rFonts w:ascii="Verdana" w:hAnsi="Verdana"/>
          <w:sz w:val="22"/>
          <w:szCs w:val="22"/>
        </w:rPr>
      </w:pPr>
      <w:r w:rsidRPr="006A3FAC">
        <w:rPr>
          <w:rFonts w:ascii="Verdana" w:hAnsi="Verdana"/>
          <w:sz w:val="22"/>
          <w:szCs w:val="22"/>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59E2C41C" w14:textId="77777777" w:rsidR="006A3FAC" w:rsidRPr="006A3FAC" w:rsidRDefault="006A3FAC" w:rsidP="006A3FAC">
      <w:pPr>
        <w:pStyle w:val="Prrafodelista"/>
        <w:jc w:val="both"/>
        <w:rPr>
          <w:rFonts w:ascii="Verdana" w:hAnsi="Verdana"/>
          <w:sz w:val="22"/>
          <w:szCs w:val="22"/>
        </w:rPr>
      </w:pPr>
      <w:r w:rsidRPr="006A3FAC">
        <w:rPr>
          <w:rFonts w:ascii="Verdana" w:hAnsi="Verdana"/>
          <w:sz w:val="22"/>
          <w:szCs w:val="22"/>
        </w:rPr>
        <w:t>Los derechos de les niños prevalecen sobre los derechos de los demás.</w:t>
      </w:r>
    </w:p>
    <w:p w14:paraId="6B8A5CEE" w14:textId="540F1533" w:rsidR="006A3FAC" w:rsidRPr="006A3FAC" w:rsidRDefault="006A3FAC" w:rsidP="006A3FAC">
      <w:pPr>
        <w:pStyle w:val="Prrafodelista"/>
        <w:numPr>
          <w:ilvl w:val="0"/>
          <w:numId w:val="17"/>
        </w:numPr>
        <w:jc w:val="both"/>
        <w:rPr>
          <w:rFonts w:ascii="Verdana" w:hAnsi="Verdana"/>
          <w:sz w:val="22"/>
          <w:szCs w:val="22"/>
        </w:rPr>
      </w:pPr>
      <w:r w:rsidRPr="006A3FAC">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w:t>
      </w:r>
      <w:r w:rsidRPr="006A3FAC">
        <w:rPr>
          <w:rFonts w:ascii="Verdana" w:hAnsi="Verdana"/>
          <w:sz w:val="22"/>
          <w:szCs w:val="22"/>
        </w:rPr>
        <w:lastRenderedPageBreak/>
        <w:t>acto administrativo, de una naturaleza igual o similar a las llamadas circulares o instrucciones de servicio”. Corte Constitucional. Sentencia C - 877 de 2000. M.P. Antonio Barrera Carbonel.</w:t>
      </w:r>
    </w:p>
    <w:p w14:paraId="4D77D58F" w14:textId="14454DA8" w:rsidR="008161D5" w:rsidRPr="006A3FAC" w:rsidRDefault="008161D5" w:rsidP="006A3FAC">
      <w:pPr>
        <w:jc w:val="both"/>
        <w:rPr>
          <w:rFonts w:ascii="Verdana" w:hAnsi="Verdana"/>
          <w:sz w:val="22"/>
          <w:szCs w:val="22"/>
          <w:lang w:val="es-ES"/>
        </w:rPr>
      </w:pPr>
    </w:p>
    <w:sectPr w:rsidR="008161D5" w:rsidRPr="006A3FAC"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CA9"/>
    <w:multiLevelType w:val="hybridMultilevel"/>
    <w:tmpl w:val="162E5A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4C5A1B"/>
    <w:multiLevelType w:val="hybridMultilevel"/>
    <w:tmpl w:val="1D06B9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01667C"/>
    <w:multiLevelType w:val="hybridMultilevel"/>
    <w:tmpl w:val="FDA08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C716CC"/>
    <w:multiLevelType w:val="hybridMultilevel"/>
    <w:tmpl w:val="20805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3FA3BD4"/>
    <w:multiLevelType w:val="hybridMultilevel"/>
    <w:tmpl w:val="ED2C6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9FE776B"/>
    <w:multiLevelType w:val="hybridMultilevel"/>
    <w:tmpl w:val="8D44C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75B24C3"/>
    <w:multiLevelType w:val="hybridMultilevel"/>
    <w:tmpl w:val="272661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D4C310C"/>
    <w:multiLevelType w:val="hybridMultilevel"/>
    <w:tmpl w:val="DC74C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5"/>
  </w:num>
  <w:num w:numId="2" w16cid:durableId="1791362817">
    <w:abstractNumId w:val="10"/>
  </w:num>
  <w:num w:numId="3" w16cid:durableId="1876769472">
    <w:abstractNumId w:val="3"/>
  </w:num>
  <w:num w:numId="4" w16cid:durableId="240725908">
    <w:abstractNumId w:val="12"/>
  </w:num>
  <w:num w:numId="5" w16cid:durableId="2097169698">
    <w:abstractNumId w:val="13"/>
  </w:num>
  <w:num w:numId="6" w16cid:durableId="1841038729">
    <w:abstractNumId w:val="15"/>
  </w:num>
  <w:num w:numId="7" w16cid:durableId="147789284">
    <w:abstractNumId w:val="6"/>
  </w:num>
  <w:num w:numId="8" w16cid:durableId="340664898">
    <w:abstractNumId w:val="9"/>
  </w:num>
  <w:num w:numId="9" w16cid:durableId="632908422">
    <w:abstractNumId w:val="11"/>
  </w:num>
  <w:num w:numId="10" w16cid:durableId="1782334579">
    <w:abstractNumId w:val="7"/>
  </w:num>
  <w:num w:numId="11" w16cid:durableId="842352027">
    <w:abstractNumId w:val="4"/>
  </w:num>
  <w:num w:numId="12" w16cid:durableId="773594747">
    <w:abstractNumId w:val="1"/>
  </w:num>
  <w:num w:numId="13" w16cid:durableId="1213228086">
    <w:abstractNumId w:val="8"/>
  </w:num>
  <w:num w:numId="14" w16cid:durableId="872570799">
    <w:abstractNumId w:val="14"/>
  </w:num>
  <w:num w:numId="15" w16cid:durableId="1454204316">
    <w:abstractNumId w:val="16"/>
  </w:num>
  <w:num w:numId="16" w16cid:durableId="1493716556">
    <w:abstractNumId w:val="2"/>
  </w:num>
  <w:num w:numId="17" w16cid:durableId="125612877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4F55"/>
    <w:rsid w:val="00026D08"/>
    <w:rsid w:val="00026F55"/>
    <w:rsid w:val="00046557"/>
    <w:rsid w:val="00051592"/>
    <w:rsid w:val="000628AB"/>
    <w:rsid w:val="0007791F"/>
    <w:rsid w:val="000B3E63"/>
    <w:rsid w:val="000B6B07"/>
    <w:rsid w:val="000C3720"/>
    <w:rsid w:val="000D4B4E"/>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91607"/>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972B9"/>
    <w:rsid w:val="004B5C62"/>
    <w:rsid w:val="004C739F"/>
    <w:rsid w:val="004E635F"/>
    <w:rsid w:val="004F78C2"/>
    <w:rsid w:val="00521018"/>
    <w:rsid w:val="00522476"/>
    <w:rsid w:val="005228AC"/>
    <w:rsid w:val="00526D44"/>
    <w:rsid w:val="00527130"/>
    <w:rsid w:val="0053036E"/>
    <w:rsid w:val="005547E9"/>
    <w:rsid w:val="00556F3D"/>
    <w:rsid w:val="00563EC6"/>
    <w:rsid w:val="005811A8"/>
    <w:rsid w:val="00582BFF"/>
    <w:rsid w:val="00585B94"/>
    <w:rsid w:val="00592A16"/>
    <w:rsid w:val="00595593"/>
    <w:rsid w:val="005962EC"/>
    <w:rsid w:val="005B13FA"/>
    <w:rsid w:val="005B3F6A"/>
    <w:rsid w:val="005C02FA"/>
    <w:rsid w:val="005C1334"/>
    <w:rsid w:val="005C27DE"/>
    <w:rsid w:val="005D3ED4"/>
    <w:rsid w:val="006002B6"/>
    <w:rsid w:val="00601A61"/>
    <w:rsid w:val="0061491F"/>
    <w:rsid w:val="00633C5C"/>
    <w:rsid w:val="00650C02"/>
    <w:rsid w:val="00692316"/>
    <w:rsid w:val="006A291A"/>
    <w:rsid w:val="006A3FAC"/>
    <w:rsid w:val="006A6FD5"/>
    <w:rsid w:val="006D36A9"/>
    <w:rsid w:val="006D593F"/>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0567D"/>
    <w:rsid w:val="00A1618E"/>
    <w:rsid w:val="00A41641"/>
    <w:rsid w:val="00A4658B"/>
    <w:rsid w:val="00A67021"/>
    <w:rsid w:val="00A674FF"/>
    <w:rsid w:val="00A724C4"/>
    <w:rsid w:val="00A72C94"/>
    <w:rsid w:val="00AD442C"/>
    <w:rsid w:val="00AE7F95"/>
    <w:rsid w:val="00B26934"/>
    <w:rsid w:val="00B31D81"/>
    <w:rsid w:val="00B330EA"/>
    <w:rsid w:val="00B33194"/>
    <w:rsid w:val="00B478E2"/>
    <w:rsid w:val="00B52E0B"/>
    <w:rsid w:val="00B76778"/>
    <w:rsid w:val="00B76C1A"/>
    <w:rsid w:val="00BA5A6E"/>
    <w:rsid w:val="00BC67A6"/>
    <w:rsid w:val="00BD1227"/>
    <w:rsid w:val="00BD2A76"/>
    <w:rsid w:val="00BE5A0B"/>
    <w:rsid w:val="00BF0383"/>
    <w:rsid w:val="00C13107"/>
    <w:rsid w:val="00C21886"/>
    <w:rsid w:val="00C2785B"/>
    <w:rsid w:val="00C36B7D"/>
    <w:rsid w:val="00C37ABB"/>
    <w:rsid w:val="00C60F44"/>
    <w:rsid w:val="00C632C9"/>
    <w:rsid w:val="00C64EF6"/>
    <w:rsid w:val="00C713C9"/>
    <w:rsid w:val="00CA438C"/>
    <w:rsid w:val="00CD6DC4"/>
    <w:rsid w:val="00CE7663"/>
    <w:rsid w:val="00D03B71"/>
    <w:rsid w:val="00D3170D"/>
    <w:rsid w:val="00D40E92"/>
    <w:rsid w:val="00D6102A"/>
    <w:rsid w:val="00D61345"/>
    <w:rsid w:val="00D61853"/>
    <w:rsid w:val="00D6673C"/>
    <w:rsid w:val="00D87CDA"/>
    <w:rsid w:val="00D96A0B"/>
    <w:rsid w:val="00DA022A"/>
    <w:rsid w:val="00DB49A0"/>
    <w:rsid w:val="00E141B2"/>
    <w:rsid w:val="00E21086"/>
    <w:rsid w:val="00E37210"/>
    <w:rsid w:val="00E56025"/>
    <w:rsid w:val="00E56719"/>
    <w:rsid w:val="00E60092"/>
    <w:rsid w:val="00E61C80"/>
    <w:rsid w:val="00E642C9"/>
    <w:rsid w:val="00E712EE"/>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6F00"/>
    <w:rsid w:val="00F647D6"/>
    <w:rsid w:val="00F67EA1"/>
    <w:rsid w:val="00F74742"/>
    <w:rsid w:val="00F74B7A"/>
    <w:rsid w:val="00FB0CEC"/>
    <w:rsid w:val="00FB2502"/>
    <w:rsid w:val="00FD4636"/>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23F9C922-78EA-4A90-A76E-60A90F037641}"/>
</file>

<file path=customXml/itemProps2.xml><?xml version="1.0" encoding="utf-8"?>
<ds:datastoreItem xmlns:ds="http://schemas.openxmlformats.org/officeDocument/2006/customXml" ds:itemID="{93F3F31A-8042-4BCC-9A4E-1DD2E1B1BD19}"/>
</file>

<file path=customXml/itemProps3.xml><?xml version="1.0" encoding="utf-8"?>
<ds:datastoreItem xmlns:ds="http://schemas.openxmlformats.org/officeDocument/2006/customXml" ds:itemID="{D1F132AE-E068-43E4-B2DA-6C56A71A125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236</TotalTime>
  <Pages>7</Pages>
  <Words>2387</Words>
  <Characters>13134</Characters>
  <Application>Microsoft Office Word</Application>
  <DocSecurity>0</DocSecurity>
  <Lines>109</Lines>
  <Paragraphs>30</Paragraphs>
  <ScaleCrop>false</ScaleCrop>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163</cp:revision>
  <dcterms:created xsi:type="dcterms:W3CDTF">2026-05-08T19:08:00Z</dcterms:created>
  <dcterms:modified xsi:type="dcterms:W3CDTF">2026-07-12T22:31:00Z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