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CD579" w14:textId="77777777" w:rsidR="00ED30B4" w:rsidRPr="00ED30B4" w:rsidRDefault="00ED30B4" w:rsidP="00ED30B4">
      <w:pPr>
        <w:jc w:val="center"/>
        <w:rPr>
          <w:rFonts w:ascii="Verdana" w:hAnsi="Verdana"/>
          <w:sz w:val="22"/>
          <w:szCs w:val="22"/>
        </w:rPr>
      </w:pPr>
      <w:r w:rsidRPr="00ED30B4">
        <w:rPr>
          <w:rFonts w:ascii="Verdana" w:hAnsi="Verdana"/>
          <w:b/>
          <w:bCs/>
          <w:sz w:val="22"/>
          <w:szCs w:val="22"/>
        </w:rPr>
        <w:t>CONCEPTO 14 DE 2017</w:t>
      </w:r>
    </w:p>
    <w:p w14:paraId="29B66770" w14:textId="77777777" w:rsidR="00ED30B4" w:rsidRPr="00ED30B4" w:rsidRDefault="00ED30B4" w:rsidP="00ED30B4">
      <w:pPr>
        <w:jc w:val="center"/>
        <w:rPr>
          <w:rFonts w:ascii="Verdana" w:hAnsi="Verdana"/>
          <w:sz w:val="22"/>
          <w:szCs w:val="22"/>
        </w:rPr>
      </w:pPr>
      <w:r w:rsidRPr="00ED30B4">
        <w:rPr>
          <w:rFonts w:ascii="Verdana" w:hAnsi="Verdana"/>
          <w:sz w:val="22"/>
          <w:szCs w:val="22"/>
        </w:rPr>
        <w:t>(febrero 14)</w:t>
      </w:r>
    </w:p>
    <w:p w14:paraId="1BC8C186" w14:textId="77777777" w:rsidR="00ED30B4" w:rsidRPr="00ED30B4" w:rsidRDefault="00ED30B4" w:rsidP="00ED30B4">
      <w:pPr>
        <w:jc w:val="center"/>
        <w:rPr>
          <w:rFonts w:ascii="Verdana" w:hAnsi="Verdana"/>
          <w:sz w:val="22"/>
          <w:szCs w:val="22"/>
        </w:rPr>
      </w:pPr>
      <w:r w:rsidRPr="00ED30B4">
        <w:rPr>
          <w:rFonts w:ascii="Verdana" w:hAnsi="Verdana"/>
          <w:b/>
          <w:bCs/>
          <w:sz w:val="22"/>
          <w:szCs w:val="22"/>
        </w:rPr>
        <w:t>INSTITUTO COLOMBIANO DE BIENESTAR FAMILIAR</w:t>
      </w:r>
    </w:p>
    <w:p w14:paraId="6EB6CAA7" w14:textId="40136F58" w:rsidR="00ED30B4" w:rsidRPr="00ED30B4" w:rsidRDefault="00ED30B4" w:rsidP="00ED30B4">
      <w:pPr>
        <w:jc w:val="center"/>
        <w:rPr>
          <w:rFonts w:ascii="Verdana" w:hAnsi="Verdana"/>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57"/>
        <w:gridCol w:w="7481"/>
      </w:tblGrid>
      <w:tr w:rsidR="00ED30B4" w:rsidRPr="00ED30B4" w14:paraId="05C7084B" w14:textId="77777777">
        <w:trPr>
          <w:tblCellSpacing w:w="15" w:type="dxa"/>
        </w:trPr>
        <w:tc>
          <w:tcPr>
            <w:tcW w:w="750" w:type="pct"/>
            <w:tcBorders>
              <w:top w:val="nil"/>
              <w:left w:val="nil"/>
              <w:bottom w:val="nil"/>
              <w:right w:val="nil"/>
            </w:tcBorders>
            <w:tcMar>
              <w:top w:w="0" w:type="dxa"/>
              <w:left w:w="0" w:type="dxa"/>
              <w:bottom w:w="0" w:type="dxa"/>
              <w:right w:w="0" w:type="dxa"/>
            </w:tcMar>
            <w:hideMark/>
          </w:tcPr>
          <w:p w14:paraId="75894DF8" w14:textId="77777777" w:rsidR="00ED30B4" w:rsidRPr="00ED30B4" w:rsidRDefault="00ED30B4" w:rsidP="00ED30B4">
            <w:pPr>
              <w:jc w:val="both"/>
              <w:rPr>
                <w:rFonts w:ascii="Verdana" w:hAnsi="Verdana"/>
                <w:sz w:val="22"/>
                <w:szCs w:val="22"/>
              </w:rPr>
            </w:pPr>
            <w:r w:rsidRPr="00ED30B4">
              <w:rPr>
                <w:rFonts w:ascii="Verdana" w:hAnsi="Verdana"/>
                <w:sz w:val="22"/>
                <w:szCs w:val="22"/>
              </w:rPr>
              <w:t>PARA:</w:t>
            </w:r>
          </w:p>
        </w:tc>
        <w:tc>
          <w:tcPr>
            <w:tcW w:w="4250" w:type="pct"/>
            <w:tcBorders>
              <w:top w:val="nil"/>
              <w:left w:val="nil"/>
              <w:bottom w:val="nil"/>
              <w:right w:val="nil"/>
            </w:tcBorders>
            <w:tcMar>
              <w:top w:w="0" w:type="dxa"/>
              <w:left w:w="0" w:type="dxa"/>
              <w:bottom w:w="0" w:type="dxa"/>
              <w:right w:w="0" w:type="dxa"/>
            </w:tcMar>
            <w:hideMark/>
          </w:tcPr>
          <w:p w14:paraId="2F81131D" w14:textId="77777777" w:rsidR="00ED30B4" w:rsidRPr="00ED30B4" w:rsidRDefault="00ED30B4" w:rsidP="00ED30B4">
            <w:pPr>
              <w:jc w:val="both"/>
              <w:rPr>
                <w:rFonts w:ascii="Verdana" w:hAnsi="Verdana"/>
                <w:sz w:val="22"/>
                <w:szCs w:val="22"/>
              </w:rPr>
            </w:pPr>
            <w:r w:rsidRPr="00ED30B4">
              <w:rPr>
                <w:rFonts w:ascii="Verdana" w:hAnsi="Verdana"/>
                <w:sz w:val="22"/>
                <w:szCs w:val="22"/>
              </w:rPr>
              <w:t>Grupo Jurídico</w:t>
            </w:r>
          </w:p>
        </w:tc>
      </w:tr>
      <w:tr w:rsidR="00ED30B4" w:rsidRPr="00ED30B4" w14:paraId="74CD0A2D" w14:textId="77777777">
        <w:trPr>
          <w:tblCellSpacing w:w="15" w:type="dxa"/>
        </w:trPr>
        <w:tc>
          <w:tcPr>
            <w:tcW w:w="5000" w:type="pct"/>
            <w:gridSpan w:val="2"/>
            <w:tcBorders>
              <w:top w:val="nil"/>
              <w:left w:val="nil"/>
              <w:bottom w:val="nil"/>
              <w:right w:val="nil"/>
            </w:tcBorders>
            <w:tcMar>
              <w:top w:w="0" w:type="dxa"/>
              <w:left w:w="0" w:type="dxa"/>
              <w:bottom w:w="0" w:type="dxa"/>
              <w:right w:w="0" w:type="dxa"/>
            </w:tcMar>
            <w:hideMark/>
          </w:tcPr>
          <w:p w14:paraId="3F95E709" w14:textId="77777777" w:rsidR="00ED30B4" w:rsidRPr="00ED30B4" w:rsidRDefault="00ED30B4" w:rsidP="00ED30B4">
            <w:pPr>
              <w:jc w:val="both"/>
              <w:rPr>
                <w:rFonts w:ascii="Verdana" w:hAnsi="Verdana"/>
                <w:sz w:val="22"/>
                <w:szCs w:val="22"/>
              </w:rPr>
            </w:pPr>
            <w:r w:rsidRPr="00ED30B4">
              <w:rPr>
                <w:rFonts w:ascii="Verdana" w:hAnsi="Verdana"/>
                <w:sz w:val="22"/>
                <w:szCs w:val="22"/>
              </w:rPr>
              <w:t>Regional ICBF Sucre</w:t>
            </w:r>
          </w:p>
        </w:tc>
      </w:tr>
      <w:tr w:rsidR="00ED30B4" w:rsidRPr="00ED30B4" w14:paraId="117D5C4A" w14:textId="77777777">
        <w:trPr>
          <w:tblCellSpacing w:w="15" w:type="dxa"/>
        </w:trPr>
        <w:tc>
          <w:tcPr>
            <w:tcW w:w="750" w:type="pct"/>
            <w:tcBorders>
              <w:top w:val="nil"/>
              <w:left w:val="nil"/>
              <w:bottom w:val="nil"/>
              <w:right w:val="nil"/>
            </w:tcBorders>
            <w:tcMar>
              <w:top w:w="0" w:type="dxa"/>
              <w:left w:w="0" w:type="dxa"/>
              <w:bottom w:w="0" w:type="dxa"/>
              <w:right w:w="0" w:type="dxa"/>
            </w:tcMar>
            <w:hideMark/>
          </w:tcPr>
          <w:p w14:paraId="790C4C3E" w14:textId="77777777" w:rsidR="00ED30B4" w:rsidRPr="00ED30B4" w:rsidRDefault="00ED30B4" w:rsidP="00ED30B4">
            <w:pPr>
              <w:jc w:val="both"/>
              <w:rPr>
                <w:rFonts w:ascii="Verdana" w:hAnsi="Verdana"/>
                <w:sz w:val="22"/>
                <w:szCs w:val="22"/>
              </w:rPr>
            </w:pPr>
            <w:r w:rsidRPr="00ED30B4">
              <w:rPr>
                <w:rFonts w:ascii="Verdana" w:hAnsi="Verdana"/>
                <w:sz w:val="22"/>
                <w:szCs w:val="22"/>
              </w:rPr>
              <w:t>ASUNTO:</w:t>
            </w:r>
          </w:p>
        </w:tc>
        <w:tc>
          <w:tcPr>
            <w:tcW w:w="4250" w:type="pct"/>
            <w:tcBorders>
              <w:top w:val="nil"/>
              <w:left w:val="nil"/>
              <w:bottom w:val="nil"/>
              <w:right w:val="nil"/>
            </w:tcBorders>
            <w:tcMar>
              <w:top w:w="0" w:type="dxa"/>
              <w:left w:w="0" w:type="dxa"/>
              <w:bottom w:w="0" w:type="dxa"/>
              <w:right w:w="0" w:type="dxa"/>
            </w:tcMar>
            <w:hideMark/>
          </w:tcPr>
          <w:p w14:paraId="67D5D5F1" w14:textId="77777777" w:rsidR="00ED30B4" w:rsidRPr="00ED30B4" w:rsidRDefault="00ED30B4" w:rsidP="00ED30B4">
            <w:pPr>
              <w:jc w:val="both"/>
              <w:rPr>
                <w:rFonts w:ascii="Verdana" w:hAnsi="Verdana"/>
                <w:sz w:val="22"/>
                <w:szCs w:val="22"/>
              </w:rPr>
            </w:pPr>
            <w:r w:rsidRPr="00ED30B4">
              <w:rPr>
                <w:rFonts w:ascii="Verdana" w:hAnsi="Verdana"/>
                <w:sz w:val="22"/>
                <w:szCs w:val="22"/>
              </w:rPr>
              <w:t>Solicitud de concepto de acuerdo ha radicado en el ICBF No. 45858 del 31 de enero de 2017</w:t>
            </w:r>
          </w:p>
        </w:tc>
      </w:tr>
    </w:tbl>
    <w:p w14:paraId="114A3F47" w14:textId="1296D91A" w:rsidR="00ED30B4" w:rsidRPr="00ED30B4" w:rsidRDefault="00ED30B4" w:rsidP="00ED30B4">
      <w:pPr>
        <w:jc w:val="both"/>
        <w:rPr>
          <w:rFonts w:ascii="Verdana" w:hAnsi="Verdana"/>
          <w:sz w:val="22"/>
          <w:szCs w:val="22"/>
        </w:rPr>
      </w:pPr>
      <w:r w:rsidRPr="00ED30B4">
        <w:rPr>
          <w:rFonts w:ascii="Verdana" w:hAnsi="Verdana"/>
          <w:sz w:val="22"/>
          <w:szCs w:val="22"/>
        </w:rPr>
        <w:t>De manera atenta, en relación con el asunto de la referencia, en los términos previstos en los artículos 26 del Código Civil, Ley 1755 de 2015 y el artículo 6</w:t>
      </w:r>
      <w:r w:rsidRPr="00ED30B4">
        <w:rPr>
          <w:rFonts w:ascii="Verdana" w:hAnsi="Verdana"/>
          <w:sz w:val="22"/>
          <w:szCs w:val="22"/>
          <w:vertAlign w:val="superscript"/>
        </w:rPr>
        <w:t>o</w:t>
      </w:r>
      <w:r w:rsidRPr="00ED30B4">
        <w:rPr>
          <w:rFonts w:ascii="Verdana" w:hAnsi="Verdana"/>
          <w:sz w:val="22"/>
          <w:szCs w:val="22"/>
        </w:rPr>
        <w:t>, numeral 4, del Decreto 987 de 2012, se responde la consulta sobre el caso en cuestión, en los términos que siguen:</w:t>
      </w:r>
    </w:p>
    <w:p w14:paraId="686A49B4" w14:textId="77777777" w:rsidR="00ED30B4" w:rsidRPr="00ED30B4" w:rsidRDefault="00ED30B4" w:rsidP="00ED30B4">
      <w:pPr>
        <w:jc w:val="both"/>
        <w:rPr>
          <w:rFonts w:ascii="Verdana" w:hAnsi="Verdana"/>
          <w:sz w:val="22"/>
          <w:szCs w:val="22"/>
        </w:rPr>
      </w:pPr>
      <w:r w:rsidRPr="00ED30B4">
        <w:rPr>
          <w:rFonts w:ascii="Verdana" w:hAnsi="Verdana"/>
          <w:b/>
          <w:bCs/>
          <w:sz w:val="22"/>
          <w:szCs w:val="22"/>
        </w:rPr>
        <w:t>1. CONSULTA</w:t>
      </w:r>
    </w:p>
    <w:p w14:paraId="509A6019" w14:textId="77777777" w:rsidR="00ED30B4" w:rsidRPr="00ED30B4" w:rsidRDefault="00ED30B4" w:rsidP="00ED30B4">
      <w:pPr>
        <w:jc w:val="both"/>
        <w:rPr>
          <w:rFonts w:ascii="Verdana" w:hAnsi="Verdana"/>
          <w:sz w:val="22"/>
          <w:szCs w:val="22"/>
        </w:rPr>
      </w:pPr>
      <w:r w:rsidRPr="00ED30B4">
        <w:rPr>
          <w:rFonts w:ascii="Verdana" w:hAnsi="Verdana"/>
          <w:sz w:val="22"/>
          <w:szCs w:val="22"/>
        </w:rPr>
        <w:t>¿Las Instituciones que desean pertenecer al Sistema Nacional de Bienestar Familiar y que cuentan con inscripción de representante legal ante Cámara y Comercio, deben realizar dicha inscripción ante el ICBF, de ser así cual es el procedimiento?</w:t>
      </w:r>
    </w:p>
    <w:p w14:paraId="4D657387" w14:textId="77777777" w:rsidR="00ED30B4" w:rsidRPr="00ED30B4" w:rsidRDefault="00ED30B4" w:rsidP="00ED30B4">
      <w:pPr>
        <w:jc w:val="both"/>
        <w:rPr>
          <w:rFonts w:ascii="Verdana" w:hAnsi="Verdana"/>
          <w:sz w:val="22"/>
          <w:szCs w:val="22"/>
        </w:rPr>
      </w:pPr>
      <w:r w:rsidRPr="00ED30B4">
        <w:rPr>
          <w:rFonts w:ascii="Verdana" w:hAnsi="Verdana"/>
          <w:b/>
          <w:bCs/>
          <w:sz w:val="22"/>
          <w:szCs w:val="22"/>
        </w:rPr>
        <w:t>2. ANÁLISIS</w:t>
      </w:r>
    </w:p>
    <w:p w14:paraId="480DD0B8" w14:textId="77777777" w:rsidR="00ED30B4" w:rsidRPr="00ED30B4" w:rsidRDefault="00ED30B4" w:rsidP="00ED30B4">
      <w:pPr>
        <w:jc w:val="both"/>
        <w:rPr>
          <w:rFonts w:ascii="Verdana" w:hAnsi="Verdana"/>
          <w:sz w:val="22"/>
          <w:szCs w:val="22"/>
        </w:rPr>
      </w:pPr>
      <w:r w:rsidRPr="00ED30B4">
        <w:rPr>
          <w:rFonts w:ascii="Verdana" w:hAnsi="Verdana"/>
          <w:sz w:val="22"/>
          <w:szCs w:val="22"/>
        </w:rPr>
        <w:t>El presente problema jurídico se abordará así: 2.1. El servicio público de Bienestar Familiar, 2.2 Requisitos que debe tener en cuenta el ICBF para la inscripción de los representantes legales y 2.3 Conclusiones.</w:t>
      </w:r>
    </w:p>
    <w:p w14:paraId="550CF20B" w14:textId="77777777" w:rsidR="00ED30B4" w:rsidRPr="00ED30B4" w:rsidRDefault="00ED30B4" w:rsidP="00ED30B4">
      <w:pPr>
        <w:jc w:val="both"/>
        <w:rPr>
          <w:rFonts w:ascii="Verdana" w:hAnsi="Verdana"/>
          <w:sz w:val="22"/>
          <w:szCs w:val="22"/>
        </w:rPr>
      </w:pPr>
      <w:r w:rsidRPr="00ED30B4">
        <w:rPr>
          <w:rFonts w:ascii="Verdana" w:hAnsi="Verdana"/>
          <w:b/>
          <w:bCs/>
          <w:sz w:val="22"/>
          <w:szCs w:val="22"/>
        </w:rPr>
        <w:t>2.1. El servicio público de Bienestar Familiar</w:t>
      </w:r>
    </w:p>
    <w:p w14:paraId="6CAE699C" w14:textId="77777777" w:rsidR="00ED30B4" w:rsidRPr="00ED30B4" w:rsidRDefault="00ED30B4" w:rsidP="00ED30B4">
      <w:pPr>
        <w:jc w:val="both"/>
        <w:rPr>
          <w:rFonts w:ascii="Verdana" w:hAnsi="Verdana"/>
          <w:sz w:val="22"/>
          <w:szCs w:val="22"/>
        </w:rPr>
      </w:pPr>
      <w:r w:rsidRPr="00ED30B4">
        <w:rPr>
          <w:rFonts w:ascii="Verdana" w:hAnsi="Verdana"/>
          <w:sz w:val="22"/>
          <w:szCs w:val="22"/>
        </w:rPr>
        <w:t>Se entiende como servicio público de Bienestar Familiar 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w:t>
      </w:r>
      <w:r w:rsidRPr="00ED30B4">
        <w:rPr>
          <w:rFonts w:ascii="Verdana" w:hAnsi="Verdana"/>
          <w:sz w:val="22"/>
          <w:szCs w:val="22"/>
          <w:vertAlign w:val="superscript"/>
        </w:rPr>
        <w:t>[1]</w:t>
      </w:r>
    </w:p>
    <w:p w14:paraId="7A1668CC" w14:textId="5500578D" w:rsidR="00ED30B4" w:rsidRPr="00ED30B4" w:rsidRDefault="00ED30B4" w:rsidP="00ED30B4">
      <w:pPr>
        <w:jc w:val="both"/>
        <w:rPr>
          <w:rFonts w:ascii="Verdana" w:hAnsi="Verdana"/>
          <w:sz w:val="22"/>
          <w:szCs w:val="22"/>
        </w:rPr>
      </w:pPr>
      <w:r w:rsidRPr="00ED30B4">
        <w:rPr>
          <w:rFonts w:ascii="Verdana" w:hAnsi="Verdana"/>
          <w:sz w:val="22"/>
          <w:szCs w:val="22"/>
        </w:rPr>
        <w:t xml:space="preserve">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w:t>
      </w:r>
      <w:proofErr w:type="gramStart"/>
      <w:r w:rsidRPr="00ED30B4">
        <w:rPr>
          <w:rFonts w:ascii="Verdana" w:hAnsi="Verdana"/>
          <w:sz w:val="22"/>
          <w:szCs w:val="22"/>
        </w:rPr>
        <w:t>los mismos</w:t>
      </w:r>
      <w:proofErr w:type="gramEnd"/>
      <w:r w:rsidRPr="00ED30B4">
        <w:rPr>
          <w:rFonts w:ascii="Verdana" w:hAnsi="Verdana"/>
          <w:sz w:val="22"/>
          <w:szCs w:val="22"/>
        </w:rPr>
        <w:t xml:space="preserve"> en los ámbitos nacional, departamental, distrital y municipal.</w:t>
      </w:r>
    </w:p>
    <w:p w14:paraId="48BF664D" w14:textId="063845FA" w:rsidR="00ED30B4" w:rsidRPr="00ED30B4" w:rsidRDefault="00ED30B4" w:rsidP="00ED30B4">
      <w:pPr>
        <w:jc w:val="both"/>
        <w:rPr>
          <w:rFonts w:ascii="Verdana" w:hAnsi="Verdana"/>
          <w:sz w:val="22"/>
          <w:szCs w:val="22"/>
        </w:rPr>
      </w:pPr>
      <w:r w:rsidRPr="00ED30B4">
        <w:rPr>
          <w:rFonts w:ascii="Verdana" w:hAnsi="Verdana"/>
          <w:sz w:val="22"/>
          <w:szCs w:val="22"/>
        </w:rPr>
        <w:lastRenderedPageBreak/>
        <w:t>El Decreto 936 de 2013</w:t>
      </w:r>
      <w:r w:rsidRPr="00ED30B4">
        <w:rPr>
          <w:rFonts w:ascii="Verdana" w:hAnsi="Verdana"/>
          <w:sz w:val="22"/>
          <w:szCs w:val="22"/>
          <w:vertAlign w:val="superscript"/>
        </w:rPr>
        <w:t>[2]</w:t>
      </w:r>
      <w:r w:rsidRPr="00ED30B4">
        <w:rPr>
          <w:rFonts w:ascii="Verdana" w:hAnsi="Verdana"/>
          <w:sz w:val="22"/>
          <w:szCs w:val="22"/>
        </w:rPr>
        <w:t> establece los principios rectores del Sistema Nacional de Bienestar Familiar, indicando que:</w:t>
      </w:r>
    </w:p>
    <w:p w14:paraId="71C46C1D" w14:textId="1BA4D997" w:rsidR="00ED30B4" w:rsidRPr="00ED30B4" w:rsidRDefault="00ED30B4" w:rsidP="00ED30B4">
      <w:pPr>
        <w:jc w:val="both"/>
        <w:rPr>
          <w:rFonts w:ascii="Verdana" w:hAnsi="Verdana"/>
          <w:sz w:val="22"/>
          <w:szCs w:val="22"/>
        </w:rPr>
      </w:pPr>
      <w:r w:rsidRPr="00ED30B4">
        <w:rPr>
          <w:rFonts w:ascii="Verdana" w:hAnsi="Verdana"/>
          <w:i/>
          <w:iCs/>
          <w:sz w:val="22"/>
          <w:szCs w:val="22"/>
        </w:rPr>
        <w:t>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w:t>
      </w:r>
      <w:r w:rsidRPr="00ED30B4">
        <w:rPr>
          <w:rFonts w:ascii="Verdana" w:hAnsi="Verdana"/>
          <w:sz w:val="22"/>
          <w:szCs w:val="22"/>
        </w:rPr>
        <w:t> </w:t>
      </w:r>
      <w:r w:rsidRPr="00ED30B4">
        <w:rPr>
          <w:rFonts w:ascii="Verdana" w:hAnsi="Verdana"/>
          <w:i/>
          <w:iCs/>
          <w:sz w:val="22"/>
          <w:szCs w:val="22"/>
        </w:rPr>
        <w:t>interés superior de los niños, las niñas y los adolescentes, prevalencia de los derechos, corresponsabilidad, exigibilidad de los derechos y perspectiva de género, consagrados en los artículos</w:t>
      </w:r>
      <w:r w:rsidRPr="00ED30B4">
        <w:rPr>
          <w:rFonts w:ascii="Verdana" w:hAnsi="Verdana"/>
          <w:sz w:val="22"/>
          <w:szCs w:val="22"/>
        </w:rPr>
        <w:t> 7, </w:t>
      </w:r>
      <w:r w:rsidRPr="00ED30B4">
        <w:rPr>
          <w:rFonts w:ascii="Verdana" w:hAnsi="Verdana"/>
          <w:i/>
          <w:iCs/>
          <w:sz w:val="22"/>
          <w:szCs w:val="22"/>
        </w:rPr>
        <w:t>8, 9. 10, 11 Y 12 de la Ley 1098 de 2006 y por los principios rectores de las políticas públicas de infancia, adolescencia y familia previstos en el artículo 203 de la misma ley.</w:t>
      </w:r>
    </w:p>
    <w:p w14:paraId="17749411" w14:textId="77777777" w:rsidR="00ED30B4" w:rsidRPr="00ED30B4" w:rsidRDefault="00ED30B4" w:rsidP="00ED30B4">
      <w:pPr>
        <w:jc w:val="both"/>
        <w:rPr>
          <w:rFonts w:ascii="Verdana" w:hAnsi="Verdana"/>
          <w:sz w:val="22"/>
          <w:szCs w:val="22"/>
        </w:rPr>
      </w:pPr>
      <w:r w:rsidRPr="00ED30B4">
        <w:rPr>
          <w:rFonts w:ascii="Verdana" w:hAnsi="Verdana"/>
          <w:sz w:val="22"/>
          <w:szCs w:val="22"/>
        </w:rPr>
        <w:t>En el marco de la necesaria articulación y coordinación, el mismo Decreto dispone los objetivos del Sistema Nacional de Bienestar Familiar así:</w:t>
      </w:r>
    </w:p>
    <w:p w14:paraId="6E6109A5" w14:textId="77777777" w:rsidR="00ED30B4" w:rsidRPr="00ED30B4" w:rsidRDefault="00ED30B4" w:rsidP="00ED30B4">
      <w:pPr>
        <w:jc w:val="both"/>
        <w:rPr>
          <w:rFonts w:ascii="Verdana" w:hAnsi="Verdana"/>
          <w:sz w:val="22"/>
          <w:szCs w:val="22"/>
        </w:rPr>
      </w:pPr>
      <w:r w:rsidRPr="00ED30B4">
        <w:rPr>
          <w:rFonts w:ascii="Verdana" w:hAnsi="Verdana"/>
          <w:sz w:val="22"/>
          <w:szCs w:val="22"/>
        </w:rPr>
        <w:t>--Lograr la protección integral de la primera infancia, la infancia y la adolescencia y promover el fortalecimiento familiar a través de una respuesta articulada y oportuna del Estado bajo el principio de corresponsabilidad con la familia y la sociedad.</w:t>
      </w:r>
    </w:p>
    <w:p w14:paraId="1BBBE4FF" w14:textId="77777777" w:rsidR="00ED30B4" w:rsidRPr="00ED30B4" w:rsidRDefault="00ED30B4" w:rsidP="00ED30B4">
      <w:pPr>
        <w:jc w:val="both"/>
        <w:rPr>
          <w:rFonts w:ascii="Verdana" w:hAnsi="Verdana"/>
          <w:sz w:val="22"/>
          <w:szCs w:val="22"/>
        </w:rPr>
      </w:pPr>
      <w:r w:rsidRPr="00ED30B4">
        <w:rPr>
          <w:rFonts w:ascii="Verdana" w:hAnsi="Verdana"/>
          <w:sz w:val="22"/>
          <w:szCs w:val="22"/>
        </w:rPr>
        <w:t>--Promover la formulación, implementación, seguimiento y evaluación de políticas de primera infancia, infancia y adolescencia y fortalecimiento familiar en los ámbitos nacional y territorial con enfoque diferencial.</w:t>
      </w:r>
    </w:p>
    <w:p w14:paraId="124CCD67" w14:textId="77777777" w:rsidR="00ED30B4" w:rsidRPr="00ED30B4" w:rsidRDefault="00ED30B4" w:rsidP="00ED30B4">
      <w:pPr>
        <w:jc w:val="both"/>
        <w:rPr>
          <w:rFonts w:ascii="Verdana" w:hAnsi="Verdana"/>
          <w:sz w:val="22"/>
          <w:szCs w:val="22"/>
        </w:rPr>
      </w:pPr>
      <w:r w:rsidRPr="00ED30B4">
        <w:rPr>
          <w:rFonts w:ascii="Verdana" w:hAnsi="Verdana"/>
          <w:sz w:val="22"/>
          <w:szCs w:val="22"/>
        </w:rPr>
        <w:t>--Lograr que la primera infancia, la infancia y adolescencia y el fortalecimiento familiar sean una prioridad social, política, técnica y financiera en el ámbito nacional y territorial.</w:t>
      </w:r>
    </w:p>
    <w:p w14:paraId="277095D4" w14:textId="77777777" w:rsidR="00ED30B4" w:rsidRPr="00ED30B4" w:rsidRDefault="00ED30B4" w:rsidP="00ED30B4">
      <w:pPr>
        <w:jc w:val="both"/>
        <w:rPr>
          <w:rFonts w:ascii="Verdana" w:hAnsi="Verdana"/>
          <w:sz w:val="22"/>
          <w:szCs w:val="22"/>
        </w:rPr>
      </w:pPr>
      <w:r w:rsidRPr="00ED30B4">
        <w:rPr>
          <w:rFonts w:ascii="Verdana" w:hAnsi="Verdana"/>
          <w:sz w:val="22"/>
          <w:szCs w:val="22"/>
        </w:rPr>
        <w:t>--Mejorar el ejercicio de la participación y movilización social en torno a la protección integral de la primera infancia, la infancia, la adolescencia y el fortalecimiento familiar en los niveles nacional y territorial.</w:t>
      </w:r>
    </w:p>
    <w:p w14:paraId="25309C57" w14:textId="77777777" w:rsidR="00ED30B4" w:rsidRPr="00ED30B4" w:rsidRDefault="00ED30B4" w:rsidP="00ED30B4">
      <w:pPr>
        <w:jc w:val="both"/>
        <w:rPr>
          <w:rFonts w:ascii="Verdana" w:hAnsi="Verdana"/>
          <w:sz w:val="22"/>
          <w:szCs w:val="22"/>
        </w:rPr>
      </w:pPr>
      <w:r w:rsidRPr="00ED30B4">
        <w:rPr>
          <w:rFonts w:ascii="Verdana" w:hAnsi="Verdana"/>
          <w:sz w:val="22"/>
          <w:szCs w:val="22"/>
        </w:rPr>
        <w:t>--Evaluar y hacer seguimiento del estado de realización de derechos de los niños, niñas y adolescentes.</w:t>
      </w:r>
    </w:p>
    <w:p w14:paraId="54EA8388" w14:textId="08773FA1" w:rsidR="00ED30B4" w:rsidRPr="00ED30B4" w:rsidRDefault="00ED30B4" w:rsidP="00ED30B4">
      <w:pPr>
        <w:jc w:val="both"/>
        <w:rPr>
          <w:rFonts w:ascii="Verdana" w:hAnsi="Verdana"/>
          <w:sz w:val="22"/>
          <w:szCs w:val="22"/>
        </w:rPr>
      </w:pPr>
      <w:r w:rsidRPr="00ED30B4">
        <w:rPr>
          <w:rFonts w:ascii="Verdana" w:hAnsi="Verdana"/>
          <w:sz w:val="22"/>
          <w:szCs w:val="22"/>
        </w:rPr>
        <w:t>En relación con lo anterior se debe recordar que mediante el Decreto 2388 de 1979 se reglamentaron las Leyes 75 de 1968, 27 de 1974 y 7o de 1979, y se dispuso entre otras cosas que:</w:t>
      </w:r>
    </w:p>
    <w:p w14:paraId="43C4CEA6" w14:textId="2C440FDD" w:rsidR="00ED30B4" w:rsidRPr="00ED30B4" w:rsidRDefault="00ED30B4" w:rsidP="00ED30B4">
      <w:pPr>
        <w:jc w:val="both"/>
        <w:rPr>
          <w:rFonts w:ascii="Verdana" w:hAnsi="Verdana"/>
          <w:sz w:val="22"/>
          <w:szCs w:val="22"/>
        </w:rPr>
      </w:pPr>
      <w:r w:rsidRPr="00ED30B4">
        <w:rPr>
          <w:rFonts w:ascii="Verdana" w:hAnsi="Verdana"/>
          <w:b/>
          <w:bCs/>
          <w:sz w:val="22"/>
          <w:szCs w:val="22"/>
        </w:rPr>
        <w:t>Artículo </w:t>
      </w:r>
      <w:r w:rsidRPr="00ED30B4">
        <w:rPr>
          <w:rFonts w:ascii="Verdana" w:hAnsi="Verdana"/>
          <w:sz w:val="22"/>
          <w:szCs w:val="22"/>
        </w:rPr>
        <w:t>6. Integran el Sistema Nacional de Bienestar Familiar:</w:t>
      </w:r>
    </w:p>
    <w:p w14:paraId="703892C3" w14:textId="77777777" w:rsidR="00ED30B4" w:rsidRPr="00ED30B4" w:rsidRDefault="00ED30B4" w:rsidP="00ED30B4">
      <w:pPr>
        <w:jc w:val="both"/>
        <w:rPr>
          <w:rFonts w:ascii="Verdana" w:hAnsi="Verdana"/>
          <w:sz w:val="22"/>
          <w:szCs w:val="22"/>
        </w:rPr>
      </w:pPr>
      <w:r w:rsidRPr="00ED30B4">
        <w:rPr>
          <w:rFonts w:ascii="Verdana" w:hAnsi="Verdana"/>
          <w:sz w:val="22"/>
          <w:szCs w:val="22"/>
        </w:rPr>
        <w:lastRenderedPageBreak/>
        <w:t>a) El Instituto Colombiano de Bienestar Familiar (ICBF) sus regionales o agencias en los Departamentos, en el Distrito Especial de Bogotá, en las Intendencias, Comisarías y en los Municipios;</w:t>
      </w:r>
    </w:p>
    <w:p w14:paraId="45634896" w14:textId="77777777" w:rsidR="00ED30B4" w:rsidRPr="00ED30B4" w:rsidRDefault="00ED30B4" w:rsidP="00ED30B4">
      <w:pPr>
        <w:jc w:val="both"/>
        <w:rPr>
          <w:rFonts w:ascii="Verdana" w:hAnsi="Verdana"/>
          <w:sz w:val="22"/>
          <w:szCs w:val="22"/>
        </w:rPr>
      </w:pPr>
      <w:r w:rsidRPr="00ED30B4">
        <w:rPr>
          <w:rFonts w:ascii="Verdana" w:hAnsi="Verdana"/>
          <w:sz w:val="22"/>
          <w:szCs w:val="22"/>
        </w:rPr>
        <w:t>(...)</w:t>
      </w:r>
    </w:p>
    <w:p w14:paraId="0CE4852D" w14:textId="191A48B3" w:rsidR="00ED30B4" w:rsidRPr="00ED30B4" w:rsidRDefault="00ED30B4" w:rsidP="00ED30B4">
      <w:pPr>
        <w:jc w:val="both"/>
        <w:rPr>
          <w:rFonts w:ascii="Verdana" w:hAnsi="Verdana"/>
          <w:sz w:val="22"/>
          <w:szCs w:val="22"/>
        </w:rPr>
      </w:pPr>
      <w:r w:rsidRPr="00ED30B4">
        <w:rPr>
          <w:rFonts w:ascii="Verdana" w:hAnsi="Verdana"/>
          <w:b/>
          <w:bCs/>
          <w:sz w:val="22"/>
          <w:szCs w:val="22"/>
        </w:rPr>
        <w:t>Artículo </w:t>
      </w:r>
      <w:r w:rsidRPr="00ED30B4">
        <w:rPr>
          <w:rFonts w:ascii="Verdana" w:hAnsi="Verdana"/>
          <w:sz w:val="22"/>
          <w:szCs w:val="22"/>
        </w:rPr>
        <w:t xml:space="preserve">8. Hacen parte también del Sistema Nacional de Bienestar Familiar las entidades públicas o privadas, de carácter nacional, distrital, departamental, </w:t>
      </w:r>
      <w:proofErr w:type="spellStart"/>
      <w:r w:rsidRPr="00ED30B4">
        <w:rPr>
          <w:rFonts w:ascii="Verdana" w:hAnsi="Verdana"/>
          <w:sz w:val="22"/>
          <w:szCs w:val="22"/>
        </w:rPr>
        <w:t>comisarial</w:t>
      </w:r>
      <w:proofErr w:type="spellEnd"/>
      <w:r w:rsidRPr="00ED30B4">
        <w:rPr>
          <w:rFonts w:ascii="Verdana" w:hAnsi="Verdana"/>
          <w:sz w:val="22"/>
          <w:szCs w:val="22"/>
        </w:rPr>
        <w:t xml:space="preserve">, </w:t>
      </w:r>
      <w:proofErr w:type="spellStart"/>
      <w:r w:rsidRPr="00ED30B4">
        <w:rPr>
          <w:rFonts w:ascii="Verdana" w:hAnsi="Verdana"/>
          <w:sz w:val="22"/>
          <w:szCs w:val="22"/>
        </w:rPr>
        <w:t>intendencial</w:t>
      </w:r>
      <w:proofErr w:type="spellEnd"/>
      <w:r w:rsidRPr="00ED30B4">
        <w:rPr>
          <w:rFonts w:ascii="Verdana" w:hAnsi="Verdana"/>
          <w:sz w:val="22"/>
          <w:szCs w:val="22"/>
        </w:rPr>
        <w:t xml:space="preserve"> o municipal, que habitualmente realicen actividades relacionadas con la protección preventiva y especial del menor, la garantía de sus derechos y la realización e integración armónica de la familia.</w:t>
      </w:r>
    </w:p>
    <w:p w14:paraId="35D5CB4B" w14:textId="686E9EA5" w:rsidR="00ED30B4" w:rsidRPr="00ED30B4" w:rsidRDefault="00ED30B4" w:rsidP="00ED30B4">
      <w:pPr>
        <w:jc w:val="both"/>
        <w:rPr>
          <w:rFonts w:ascii="Verdana" w:hAnsi="Verdana"/>
          <w:sz w:val="22"/>
          <w:szCs w:val="22"/>
        </w:rPr>
      </w:pPr>
      <w:r w:rsidRPr="00ED30B4">
        <w:rPr>
          <w:rFonts w:ascii="Verdana" w:hAnsi="Verdana"/>
          <w:b/>
          <w:bCs/>
          <w:sz w:val="22"/>
          <w:szCs w:val="22"/>
        </w:rPr>
        <w:t>Artículo </w:t>
      </w:r>
      <w:r w:rsidRPr="00ED30B4">
        <w:rPr>
          <w:rFonts w:ascii="Verdana" w:hAnsi="Verdana"/>
          <w:sz w:val="22"/>
          <w:szCs w:val="22"/>
        </w:rPr>
        <w:t>12. Las actividades que realicen (as entidades mencionadas en los artículos anteriores, deberán cumplirse con estricta sujeción a las normas del servicio y a los reglamentos dictados por el ICBF.</w:t>
      </w:r>
    </w:p>
    <w:p w14:paraId="65E4BBB5" w14:textId="348A5C87" w:rsidR="00ED30B4" w:rsidRPr="00ED30B4" w:rsidRDefault="00ED30B4" w:rsidP="00ED30B4">
      <w:pPr>
        <w:jc w:val="both"/>
        <w:rPr>
          <w:rFonts w:ascii="Verdana" w:hAnsi="Verdana"/>
          <w:sz w:val="22"/>
          <w:szCs w:val="22"/>
        </w:rPr>
      </w:pPr>
      <w:r w:rsidRPr="00ED30B4">
        <w:rPr>
          <w:rFonts w:ascii="Verdana" w:hAnsi="Verdana"/>
          <w:b/>
          <w:bCs/>
          <w:sz w:val="22"/>
          <w:szCs w:val="22"/>
        </w:rPr>
        <w:t>Artículo </w:t>
      </w:r>
      <w:r w:rsidRPr="00ED30B4">
        <w:rPr>
          <w:rFonts w:ascii="Verdana" w:hAnsi="Verdana"/>
          <w:sz w:val="22"/>
          <w:szCs w:val="22"/>
        </w:rPr>
        <w:t>20. De conformidad con lo previsto en la Ley 7 de 1979 y de modo especial en los artículos 12, 14. 15, 19, 20 y 21, la dirección del Sistema Nacional de Bienestar Familiar está a cargo del ICBF. En ejercicio de ella le corresponde:</w:t>
      </w:r>
    </w:p>
    <w:p w14:paraId="13020931" w14:textId="77777777" w:rsidR="00ED30B4" w:rsidRPr="00ED30B4" w:rsidRDefault="00ED30B4" w:rsidP="00ED30B4">
      <w:pPr>
        <w:jc w:val="both"/>
        <w:rPr>
          <w:rFonts w:ascii="Verdana" w:hAnsi="Verdana"/>
          <w:sz w:val="22"/>
          <w:szCs w:val="22"/>
        </w:rPr>
      </w:pPr>
      <w:r w:rsidRPr="00ED30B4">
        <w:rPr>
          <w:rFonts w:ascii="Verdana" w:hAnsi="Verdana"/>
          <w:sz w:val="22"/>
          <w:szCs w:val="22"/>
        </w:rPr>
        <w:t>(...)</w:t>
      </w:r>
    </w:p>
    <w:p w14:paraId="502748A2" w14:textId="77777777" w:rsidR="00ED30B4" w:rsidRPr="00ED30B4" w:rsidRDefault="00ED30B4" w:rsidP="00ED30B4">
      <w:pPr>
        <w:jc w:val="both"/>
        <w:rPr>
          <w:rFonts w:ascii="Verdana" w:hAnsi="Verdana"/>
          <w:sz w:val="22"/>
          <w:szCs w:val="22"/>
        </w:rPr>
      </w:pPr>
      <w:r w:rsidRPr="00ED30B4">
        <w:rPr>
          <w:rFonts w:ascii="Verdana" w:hAnsi="Verdana"/>
          <w:sz w:val="22"/>
          <w:szCs w:val="22"/>
        </w:rPr>
        <w:t>9. Supervisar y controlar el funcionamiento de las entidades que constituyen el sistema y prestarle asesoría a las mismas.</w:t>
      </w:r>
    </w:p>
    <w:p w14:paraId="0E1A52A9" w14:textId="525E7523" w:rsidR="00ED30B4" w:rsidRPr="00ED30B4" w:rsidRDefault="00ED30B4" w:rsidP="00ED30B4">
      <w:pPr>
        <w:jc w:val="both"/>
        <w:rPr>
          <w:rFonts w:ascii="Verdana" w:hAnsi="Verdana"/>
          <w:sz w:val="22"/>
          <w:szCs w:val="22"/>
        </w:rPr>
      </w:pPr>
      <w:r w:rsidRPr="00ED30B4">
        <w:rPr>
          <w:rFonts w:ascii="Verdana" w:hAnsi="Verdana"/>
          <w:b/>
          <w:bCs/>
          <w:sz w:val="22"/>
          <w:szCs w:val="22"/>
        </w:rPr>
        <w:t>Artículo </w:t>
      </w:r>
      <w:r w:rsidRPr="00ED30B4">
        <w:rPr>
          <w:rFonts w:ascii="Verdana" w:hAnsi="Verdana"/>
          <w:sz w:val="22"/>
          <w:szCs w:val="22"/>
        </w:rPr>
        <w:t>27</w:t>
      </w:r>
      <w:r w:rsidRPr="00ED30B4">
        <w:rPr>
          <w:rFonts w:ascii="Verdana" w:hAnsi="Verdana"/>
          <w:b/>
          <w:bCs/>
          <w:sz w:val="22"/>
          <w:szCs w:val="22"/>
        </w:rPr>
        <w:t>.</w:t>
      </w:r>
      <w:r w:rsidRPr="00ED30B4">
        <w:rPr>
          <w:rFonts w:ascii="Verdana" w:hAnsi="Verdana"/>
          <w:sz w:val="22"/>
          <w:szCs w:val="22"/>
        </w:rPr>
        <w:t> A partir de la vigencia del presente decreto, todos los organismos instituciones, agencias o entidades de carácter público o privado, que cumplan actividades de las mencionadas en el artículo 8o., deberán ceñirse a las normas del Sistema Nacional de Bienestar Familiar.</w:t>
      </w:r>
    </w:p>
    <w:p w14:paraId="22E1CEC6" w14:textId="77777777" w:rsidR="00ED30B4" w:rsidRPr="00ED30B4" w:rsidRDefault="00ED30B4" w:rsidP="00ED30B4">
      <w:pPr>
        <w:jc w:val="both"/>
        <w:rPr>
          <w:rFonts w:ascii="Verdana" w:hAnsi="Verdana"/>
          <w:sz w:val="22"/>
          <w:szCs w:val="22"/>
        </w:rPr>
      </w:pPr>
      <w:r w:rsidRPr="00ED30B4">
        <w:rPr>
          <w:rFonts w:ascii="Verdana" w:hAnsi="Verdana"/>
          <w:b/>
          <w:bCs/>
          <w:sz w:val="22"/>
          <w:szCs w:val="22"/>
        </w:rPr>
        <w:t>2.2. Requisitos que debe tener en cuenta el ICBF para la inscripción del representante legal</w:t>
      </w:r>
    </w:p>
    <w:p w14:paraId="4BC6504E" w14:textId="2390ECE6" w:rsidR="00ED30B4" w:rsidRPr="00ED30B4" w:rsidRDefault="00ED30B4" w:rsidP="00ED30B4">
      <w:pPr>
        <w:jc w:val="both"/>
        <w:rPr>
          <w:rFonts w:ascii="Verdana" w:hAnsi="Verdana"/>
          <w:sz w:val="22"/>
          <w:szCs w:val="22"/>
        </w:rPr>
      </w:pPr>
      <w:r w:rsidRPr="00ED30B4">
        <w:rPr>
          <w:rFonts w:ascii="Verdana" w:hAnsi="Verdana"/>
          <w:sz w:val="22"/>
          <w:szCs w:val="22"/>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12039A07" w14:textId="5AB26639" w:rsidR="00ED30B4" w:rsidRPr="00ED30B4" w:rsidRDefault="00ED30B4" w:rsidP="00ED30B4">
      <w:pPr>
        <w:jc w:val="both"/>
        <w:rPr>
          <w:rFonts w:ascii="Verdana" w:hAnsi="Verdana"/>
          <w:sz w:val="22"/>
          <w:szCs w:val="22"/>
        </w:rPr>
      </w:pPr>
      <w:r w:rsidRPr="00ED30B4">
        <w:rPr>
          <w:rFonts w:ascii="Verdana" w:hAnsi="Verdana"/>
          <w:sz w:val="22"/>
          <w:szCs w:val="22"/>
        </w:rPr>
        <w:t>En igual sentido el Decreto 2388 de 1979, en sus artículos 8 y 27 establece que todos los organismos, instituciones o entidades de carácter público o privado que habitualmente realicen actividades relacionadas con la protección preventiva y especial de niños, niñas y adolescentes, la garantía de sus derechos y la realización e integración armónica de la familia, </w:t>
      </w:r>
      <w:r w:rsidRPr="00ED30B4">
        <w:rPr>
          <w:rFonts w:ascii="Verdana" w:hAnsi="Verdana"/>
          <w:b/>
          <w:bCs/>
          <w:sz w:val="22"/>
          <w:szCs w:val="22"/>
          <w:u w:val="single"/>
        </w:rPr>
        <w:t xml:space="preserve">deben ceñirse a las normas </w:t>
      </w:r>
      <w:r w:rsidRPr="00ED30B4">
        <w:rPr>
          <w:rFonts w:ascii="Verdana" w:hAnsi="Verdana"/>
          <w:b/>
          <w:bCs/>
          <w:sz w:val="22"/>
          <w:szCs w:val="22"/>
          <w:u w:val="single"/>
        </w:rPr>
        <w:lastRenderedPageBreak/>
        <w:t>del Sistema Nacional de Bienestar Familiar</w:t>
      </w:r>
      <w:r w:rsidRPr="00ED30B4">
        <w:rPr>
          <w:rFonts w:ascii="Verdana" w:hAnsi="Verdana"/>
          <w:sz w:val="22"/>
          <w:szCs w:val="22"/>
        </w:rPr>
        <w:t>. (Subrayado y resaltado fuera de texto).</w:t>
      </w:r>
    </w:p>
    <w:p w14:paraId="2F38C248" w14:textId="1CFCC8CC" w:rsidR="00ED30B4" w:rsidRPr="00ED30B4" w:rsidRDefault="00ED30B4" w:rsidP="00ED30B4">
      <w:pPr>
        <w:jc w:val="both"/>
        <w:rPr>
          <w:rFonts w:ascii="Verdana" w:hAnsi="Verdana"/>
          <w:sz w:val="22"/>
          <w:szCs w:val="22"/>
        </w:rPr>
      </w:pPr>
      <w:r w:rsidRPr="00ED30B4">
        <w:rPr>
          <w:rFonts w:ascii="Verdana" w:hAnsi="Verdana"/>
          <w:sz w:val="22"/>
          <w:szCs w:val="22"/>
        </w:rPr>
        <w:t>El artículo 9 de la Resolución No. 3899 de 2010, modificado por la Resolución No. 3435 y 9555 de 2016, establece los documentos que se deben presentar ante el ICBF para la solicitud de inscripción de representante legal y miembros de junta directiva, indicando además que en todos los casos deberá reportarse el cambio de estos allegando nuevamente los documentos requeridos en ese artículo.</w:t>
      </w:r>
    </w:p>
    <w:p w14:paraId="2F81FF6D" w14:textId="77777777" w:rsidR="00ED30B4" w:rsidRPr="00ED30B4" w:rsidRDefault="00ED30B4" w:rsidP="00ED30B4">
      <w:pPr>
        <w:jc w:val="both"/>
        <w:rPr>
          <w:rFonts w:ascii="Verdana" w:hAnsi="Verdana"/>
          <w:sz w:val="22"/>
          <w:szCs w:val="22"/>
        </w:rPr>
      </w:pPr>
      <w:r w:rsidRPr="00ED30B4">
        <w:rPr>
          <w:rFonts w:ascii="Verdana" w:hAnsi="Verdana"/>
          <w:b/>
          <w:bCs/>
          <w:sz w:val="22"/>
          <w:szCs w:val="22"/>
        </w:rPr>
        <w:t>2.3. Conclusiones</w:t>
      </w:r>
    </w:p>
    <w:p w14:paraId="2930C613" w14:textId="77777777" w:rsidR="00ED30B4" w:rsidRPr="00ED30B4" w:rsidRDefault="00ED30B4" w:rsidP="00ED30B4">
      <w:pPr>
        <w:jc w:val="both"/>
        <w:rPr>
          <w:rFonts w:ascii="Verdana" w:hAnsi="Verdana"/>
          <w:sz w:val="22"/>
          <w:szCs w:val="22"/>
        </w:rPr>
      </w:pPr>
      <w:r w:rsidRPr="00ED30B4">
        <w:rPr>
          <w:rFonts w:ascii="Verdana" w:hAnsi="Verdana"/>
          <w:sz w:val="22"/>
          <w:szCs w:val="22"/>
        </w:rPr>
        <w:t>Así las cosas y teniendo en cuenta las consideraciones de orden legal expuestas, se puede concluir lo siguiente:</w:t>
      </w:r>
    </w:p>
    <w:p w14:paraId="4F2B99B3" w14:textId="52BB248B" w:rsidR="00ED30B4" w:rsidRPr="00ED30B4" w:rsidRDefault="00ED30B4" w:rsidP="00ED30B4">
      <w:pPr>
        <w:jc w:val="both"/>
        <w:rPr>
          <w:rFonts w:ascii="Verdana" w:hAnsi="Verdana"/>
          <w:sz w:val="22"/>
          <w:szCs w:val="22"/>
        </w:rPr>
      </w:pPr>
      <w:r w:rsidRPr="00ED30B4">
        <w:rPr>
          <w:rFonts w:ascii="Verdana" w:hAnsi="Verdana"/>
          <w:b/>
          <w:bCs/>
          <w:sz w:val="22"/>
          <w:szCs w:val="22"/>
        </w:rPr>
        <w:t>Primera</w:t>
      </w:r>
      <w:r w:rsidRPr="00ED30B4">
        <w:rPr>
          <w:rFonts w:ascii="Verdana" w:hAnsi="Verdana"/>
          <w:sz w:val="22"/>
          <w:szCs w:val="22"/>
        </w:rPr>
        <w:t>: Las instituciones que deseen pertenecer al Sistema Nacional de Bienestar Familiar deben realizar la inscripción del representante legal ante el ICBF, exceptuando aquellas cuya inscripción fue realizada ante la Cámara y Comercio dentro de la transición de la derogatoria del Decreto 427 de 1996 y la vigencia del Decreto 1422 de 1996, durante el periodo comprendido entre el 5 de marzo al 14 de agosto de 1996.</w:t>
      </w:r>
      <w:r w:rsidRPr="00ED30B4">
        <w:rPr>
          <w:rFonts w:ascii="Verdana" w:hAnsi="Verdana"/>
          <w:sz w:val="22"/>
          <w:szCs w:val="22"/>
          <w:vertAlign w:val="superscript"/>
        </w:rPr>
        <w:t>[4]</w:t>
      </w:r>
    </w:p>
    <w:p w14:paraId="56B436DA" w14:textId="0CBA5C92" w:rsidR="00ED30B4" w:rsidRPr="00ED30B4" w:rsidRDefault="00ED30B4" w:rsidP="00ED30B4">
      <w:pPr>
        <w:jc w:val="both"/>
        <w:rPr>
          <w:rFonts w:ascii="Verdana" w:hAnsi="Verdana"/>
          <w:sz w:val="22"/>
          <w:szCs w:val="22"/>
        </w:rPr>
      </w:pPr>
      <w:r w:rsidRPr="00ED30B4">
        <w:rPr>
          <w:rFonts w:ascii="Verdana" w:hAnsi="Verdana"/>
          <w:b/>
          <w:bCs/>
          <w:sz w:val="22"/>
          <w:szCs w:val="22"/>
        </w:rPr>
        <w:t>Segundo</w:t>
      </w:r>
      <w:r w:rsidRPr="00ED30B4">
        <w:rPr>
          <w:rFonts w:ascii="Verdana" w:hAnsi="Verdana"/>
          <w:sz w:val="22"/>
          <w:szCs w:val="22"/>
        </w:rPr>
        <w:t>: El trámite para dicha inscripción es el establecido en el artículo 9 de la Resolución 3899 de 2010, modificada y adicionada por las Resoluciones No. 3435 y 9555 de 2016. Una vez se verifique que se encuentra la documentación allí establecida podrá expedirse por parte del ICBF el certificado de existencia y representación legal.</w:t>
      </w:r>
    </w:p>
    <w:p w14:paraId="5AA92654" w14:textId="4C5C2C4E" w:rsidR="00ED30B4" w:rsidRPr="00ED30B4" w:rsidRDefault="00ED30B4" w:rsidP="00ED30B4">
      <w:pPr>
        <w:jc w:val="both"/>
        <w:rPr>
          <w:rFonts w:ascii="Verdana" w:hAnsi="Verdana"/>
          <w:sz w:val="22"/>
          <w:szCs w:val="22"/>
        </w:rPr>
      </w:pPr>
      <w:r w:rsidRPr="00ED30B4">
        <w:rPr>
          <w:rFonts w:ascii="Verdana" w:hAnsi="Verdana"/>
          <w:sz w:val="22"/>
          <w:szCs w:val="22"/>
        </w:rPr>
        <w:t xml:space="preserve">El presente </w:t>
      </w:r>
      <w:proofErr w:type="gramStart"/>
      <w:r w:rsidRPr="00ED30B4">
        <w:rPr>
          <w:rFonts w:ascii="Verdana" w:hAnsi="Verdana"/>
          <w:sz w:val="22"/>
          <w:szCs w:val="22"/>
        </w:rPr>
        <w:t>concepto</w:t>
      </w:r>
      <w:r w:rsidRPr="00ED30B4">
        <w:rPr>
          <w:rFonts w:ascii="Verdana" w:hAnsi="Verdana"/>
          <w:sz w:val="22"/>
          <w:szCs w:val="22"/>
          <w:vertAlign w:val="superscript"/>
        </w:rPr>
        <w:t>[</w:t>
      </w:r>
      <w:proofErr w:type="gramEnd"/>
      <w:r w:rsidRPr="00ED30B4">
        <w:rPr>
          <w:rFonts w:ascii="Verdana" w:hAnsi="Verdana"/>
          <w:sz w:val="22"/>
          <w:szCs w:val="22"/>
          <w:vertAlign w:val="superscript"/>
        </w:rPr>
        <w:t>5]</w:t>
      </w:r>
      <w:r w:rsidRPr="00ED30B4">
        <w:rPr>
          <w:rFonts w:ascii="Verdana" w:hAnsi="Verdana"/>
          <w:sz w:val="22"/>
          <w:szCs w:val="22"/>
        </w:rPr>
        <w:t xml:space="preserve"> no es de obligatorio cumplimiento o ejecución para particulares o agentes externos, de conformidad con lo establecido 1755 de 2015. No </w:t>
      </w:r>
      <w:proofErr w:type="gramStart"/>
      <w:r w:rsidRPr="00ED30B4">
        <w:rPr>
          <w:rFonts w:ascii="Verdana" w:hAnsi="Verdana"/>
          <w:sz w:val="22"/>
          <w:szCs w:val="22"/>
        </w:rPr>
        <w:t>obstante</w:t>
      </w:r>
      <w:proofErr w:type="gramEnd"/>
      <w:r w:rsidRPr="00ED30B4">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r w:rsidRPr="00ED30B4">
        <w:rPr>
          <w:rFonts w:ascii="Verdana" w:hAnsi="Verdana"/>
          <w:i/>
          <w:iCs/>
          <w:sz w:val="22"/>
          <w:szCs w:val="22"/>
        </w:rPr>
        <w:t>.</w:t>
      </w:r>
    </w:p>
    <w:p w14:paraId="26305C41" w14:textId="77777777" w:rsidR="00ED30B4" w:rsidRPr="00ED30B4" w:rsidRDefault="00ED30B4" w:rsidP="00ED30B4">
      <w:pPr>
        <w:jc w:val="both"/>
        <w:rPr>
          <w:rFonts w:ascii="Verdana" w:hAnsi="Verdana"/>
          <w:sz w:val="22"/>
          <w:szCs w:val="22"/>
        </w:rPr>
      </w:pPr>
      <w:r w:rsidRPr="00ED30B4">
        <w:rPr>
          <w:rFonts w:ascii="Verdana" w:hAnsi="Verdana"/>
          <w:sz w:val="22"/>
          <w:szCs w:val="22"/>
        </w:rPr>
        <w:t>Cordialmente,</w:t>
      </w:r>
    </w:p>
    <w:p w14:paraId="284FE722" w14:textId="77777777" w:rsidR="00ED30B4" w:rsidRPr="00ED30B4" w:rsidRDefault="00ED30B4" w:rsidP="00ED30B4">
      <w:pPr>
        <w:jc w:val="both"/>
        <w:rPr>
          <w:rFonts w:ascii="Verdana" w:hAnsi="Verdana"/>
          <w:sz w:val="22"/>
          <w:szCs w:val="22"/>
        </w:rPr>
      </w:pPr>
      <w:r w:rsidRPr="00ED30B4">
        <w:rPr>
          <w:rFonts w:ascii="Verdana" w:hAnsi="Verdana"/>
          <w:b/>
          <w:bCs/>
          <w:sz w:val="22"/>
          <w:szCs w:val="22"/>
        </w:rPr>
        <w:t>LUZ KARIME FERNANDEZ CASTILLO</w:t>
      </w:r>
    </w:p>
    <w:p w14:paraId="1C62BBB3" w14:textId="77777777" w:rsidR="00ED30B4" w:rsidRPr="00ED30B4" w:rsidRDefault="00ED30B4" w:rsidP="00ED30B4">
      <w:pPr>
        <w:jc w:val="both"/>
        <w:rPr>
          <w:rFonts w:ascii="Verdana" w:hAnsi="Verdana"/>
          <w:sz w:val="22"/>
          <w:szCs w:val="22"/>
        </w:rPr>
      </w:pPr>
      <w:r w:rsidRPr="00ED30B4">
        <w:rPr>
          <w:rFonts w:ascii="Verdana" w:hAnsi="Verdana"/>
          <w:sz w:val="22"/>
          <w:szCs w:val="22"/>
        </w:rPr>
        <w:t>Jefe Oficina Asesora Jurídica</w:t>
      </w:r>
    </w:p>
    <w:p w14:paraId="4B8AF318" w14:textId="77777777" w:rsidR="00ED30B4" w:rsidRDefault="00ED30B4" w:rsidP="00ED30B4">
      <w:pPr>
        <w:jc w:val="both"/>
        <w:rPr>
          <w:rFonts w:ascii="Verdana" w:hAnsi="Verdana"/>
          <w:sz w:val="22"/>
          <w:szCs w:val="22"/>
        </w:rPr>
      </w:pPr>
    </w:p>
    <w:p w14:paraId="12DAFC62" w14:textId="43227536" w:rsidR="00ED30B4" w:rsidRPr="00ED30B4" w:rsidRDefault="00ED30B4" w:rsidP="00ED30B4">
      <w:pPr>
        <w:jc w:val="both"/>
        <w:rPr>
          <w:rFonts w:ascii="Verdana" w:hAnsi="Verdana"/>
          <w:b/>
          <w:bCs/>
          <w:sz w:val="22"/>
          <w:szCs w:val="22"/>
        </w:rPr>
      </w:pPr>
      <w:r w:rsidRPr="00ED30B4">
        <w:rPr>
          <w:rFonts w:ascii="Verdana" w:hAnsi="Verdana"/>
          <w:b/>
          <w:bCs/>
          <w:sz w:val="22"/>
          <w:szCs w:val="22"/>
        </w:rPr>
        <w:t>Notas pie de página:</w:t>
      </w:r>
    </w:p>
    <w:p w14:paraId="0C5D8039" w14:textId="2C9CB510" w:rsidR="00ED30B4" w:rsidRPr="00ED30B4" w:rsidRDefault="00ED30B4" w:rsidP="00ED30B4">
      <w:pPr>
        <w:jc w:val="both"/>
        <w:rPr>
          <w:rFonts w:ascii="Verdana" w:hAnsi="Verdana"/>
          <w:sz w:val="22"/>
          <w:szCs w:val="22"/>
        </w:rPr>
      </w:pPr>
      <w:r w:rsidRPr="00ED30B4">
        <w:rPr>
          <w:rFonts w:ascii="Verdana" w:hAnsi="Verdana"/>
          <w:sz w:val="22"/>
          <w:szCs w:val="22"/>
        </w:rPr>
        <w:lastRenderedPageBreak/>
        <w:t>1. Decreto 936 de 2013</w:t>
      </w:r>
    </w:p>
    <w:p w14:paraId="7A0CCAEB" w14:textId="276E92A8" w:rsidR="00ED30B4" w:rsidRPr="00ED30B4" w:rsidRDefault="00ED30B4" w:rsidP="00ED30B4">
      <w:pPr>
        <w:jc w:val="both"/>
        <w:rPr>
          <w:rFonts w:ascii="Verdana" w:hAnsi="Verdana"/>
          <w:sz w:val="22"/>
          <w:szCs w:val="22"/>
        </w:rPr>
      </w:pPr>
      <w:r w:rsidRPr="00ED30B4">
        <w:rPr>
          <w:rFonts w:ascii="Verdana" w:hAnsi="Verdana"/>
          <w:sz w:val="22"/>
          <w:szCs w:val="22"/>
        </w:rPr>
        <w:t>2. Por el cual se reorganiza el Sistema Nacional de Bienestar Familiar se reglamenta el inciso primero del artículo 205 de la Ley 1098 de 2006 y se dictan otras disposiciones</w:t>
      </w:r>
    </w:p>
    <w:p w14:paraId="57D18CC2" w14:textId="51F1FD5B" w:rsidR="00ED30B4" w:rsidRPr="00ED30B4" w:rsidRDefault="00ED30B4" w:rsidP="00ED30B4">
      <w:pPr>
        <w:jc w:val="both"/>
        <w:rPr>
          <w:rFonts w:ascii="Verdana" w:hAnsi="Verdana"/>
          <w:sz w:val="22"/>
          <w:szCs w:val="22"/>
        </w:rPr>
      </w:pPr>
      <w:r w:rsidRPr="00ED30B4">
        <w:rPr>
          <w:rFonts w:ascii="Verdana" w:hAnsi="Verdana"/>
          <w:sz w:val="22"/>
          <w:szCs w:val="22"/>
        </w:rPr>
        <w:t>3. “Por el cual se reglamentan las Leyes 75 de 1968 27 de 1974 y 7 de 1979” Hoy incorporados en el Decreto 1048 de 2015 por medio del cual se expide el Decreto Único Reglamentario del Sector de inclusión Social y Reconciliación”, parte 4, titulo 1</w:t>
      </w:r>
    </w:p>
    <w:p w14:paraId="1D11E431" w14:textId="15EE1AB1" w:rsidR="00ED30B4" w:rsidRPr="00ED30B4" w:rsidRDefault="00ED30B4" w:rsidP="00ED30B4">
      <w:pPr>
        <w:jc w:val="both"/>
        <w:rPr>
          <w:rFonts w:ascii="Verdana" w:hAnsi="Verdana"/>
          <w:sz w:val="22"/>
          <w:szCs w:val="22"/>
        </w:rPr>
      </w:pPr>
      <w:r w:rsidRPr="00ED30B4">
        <w:rPr>
          <w:rFonts w:ascii="Verdana" w:hAnsi="Verdana"/>
          <w:sz w:val="22"/>
          <w:szCs w:val="22"/>
        </w:rPr>
        <w:t>4. Decreto 427 de 1996, Decreto 1422 de 1996.</w:t>
      </w:r>
    </w:p>
    <w:p w14:paraId="526BECFD" w14:textId="118BCC5C" w:rsidR="00ED30B4" w:rsidRPr="00ED30B4" w:rsidRDefault="00ED30B4" w:rsidP="00ED30B4">
      <w:pPr>
        <w:jc w:val="both"/>
        <w:rPr>
          <w:rFonts w:ascii="Verdana" w:hAnsi="Verdana"/>
          <w:sz w:val="22"/>
          <w:szCs w:val="22"/>
        </w:rPr>
      </w:pPr>
      <w:r w:rsidRPr="00ED30B4">
        <w:rPr>
          <w:rFonts w:ascii="Verdana" w:hAnsi="Verdana"/>
          <w:sz w:val="22"/>
          <w:szCs w:val="22"/>
        </w:rPr>
        <w:t>5. Como al realizar las referidas intervenciones la Administración debe aplicar el derecho, no siempre a través de funcionarios con conocimientos jurídicos, o cuando la debida ejecución de la ley requiere precisiones de orden técnico, se hace necesario que aquella haga uso del poder de instrucción, a través </w:t>
      </w:r>
      <w:r w:rsidRPr="00ED30B4">
        <w:rPr>
          <w:rFonts w:ascii="Verdana" w:hAnsi="Verdana"/>
          <w:i/>
          <w:iCs/>
          <w:sz w:val="22"/>
          <w:szCs w:val="22"/>
        </w:rPr>
        <w:t>de </w:t>
      </w:r>
      <w:r w:rsidRPr="00ED30B4">
        <w:rPr>
          <w:rFonts w:ascii="Verdana" w:hAnsi="Verdana"/>
          <w:sz w:val="22"/>
          <w:szCs w:val="22"/>
        </w:rPr>
        <w:t>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p w14:paraId="64D885C3" w14:textId="0572D935" w:rsidR="00ED30B4" w:rsidRPr="00ED30B4" w:rsidRDefault="00ED30B4" w:rsidP="00ED30B4">
      <w:pPr>
        <w:jc w:val="both"/>
        <w:rPr>
          <w:rFonts w:ascii="Verdana" w:hAnsi="Verdana"/>
          <w:sz w:val="22"/>
          <w:szCs w:val="22"/>
        </w:rPr>
      </w:pPr>
    </w:p>
    <w:sectPr w:rsidR="00ED30B4" w:rsidRPr="00ED30B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0B4"/>
    <w:rsid w:val="00321972"/>
    <w:rsid w:val="00ED30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9DCD"/>
  <w15:chartTrackingRefBased/>
  <w15:docId w15:val="{E9B61BDF-C35D-4B1F-89D8-9BFE9CBF4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D30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D30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D30B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D30B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D30B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D30B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D30B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D30B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D30B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30B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D30B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D30B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D30B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D30B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D30B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D30B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D30B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D30B4"/>
    <w:rPr>
      <w:rFonts w:eastAsiaTheme="majorEastAsia" w:cstheme="majorBidi"/>
      <w:color w:val="272727" w:themeColor="text1" w:themeTint="D8"/>
    </w:rPr>
  </w:style>
  <w:style w:type="paragraph" w:styleId="Ttulo">
    <w:name w:val="Title"/>
    <w:basedOn w:val="Normal"/>
    <w:next w:val="Normal"/>
    <w:link w:val="TtuloCar"/>
    <w:uiPriority w:val="10"/>
    <w:qFormat/>
    <w:rsid w:val="00ED30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D30B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D30B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D30B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D30B4"/>
    <w:pPr>
      <w:spacing w:before="160"/>
      <w:jc w:val="center"/>
    </w:pPr>
    <w:rPr>
      <w:i/>
      <w:iCs/>
      <w:color w:val="404040" w:themeColor="text1" w:themeTint="BF"/>
    </w:rPr>
  </w:style>
  <w:style w:type="character" w:customStyle="1" w:styleId="CitaCar">
    <w:name w:val="Cita Car"/>
    <w:basedOn w:val="Fuentedeprrafopredeter"/>
    <w:link w:val="Cita"/>
    <w:uiPriority w:val="29"/>
    <w:rsid w:val="00ED30B4"/>
    <w:rPr>
      <w:i/>
      <w:iCs/>
      <w:color w:val="404040" w:themeColor="text1" w:themeTint="BF"/>
    </w:rPr>
  </w:style>
  <w:style w:type="paragraph" w:styleId="Prrafodelista">
    <w:name w:val="List Paragraph"/>
    <w:basedOn w:val="Normal"/>
    <w:uiPriority w:val="34"/>
    <w:qFormat/>
    <w:rsid w:val="00ED30B4"/>
    <w:pPr>
      <w:ind w:left="720"/>
      <w:contextualSpacing/>
    </w:pPr>
  </w:style>
  <w:style w:type="character" w:styleId="nfasisintenso">
    <w:name w:val="Intense Emphasis"/>
    <w:basedOn w:val="Fuentedeprrafopredeter"/>
    <w:uiPriority w:val="21"/>
    <w:qFormat/>
    <w:rsid w:val="00ED30B4"/>
    <w:rPr>
      <w:i/>
      <w:iCs/>
      <w:color w:val="0F4761" w:themeColor="accent1" w:themeShade="BF"/>
    </w:rPr>
  </w:style>
  <w:style w:type="paragraph" w:styleId="Citadestacada">
    <w:name w:val="Intense Quote"/>
    <w:basedOn w:val="Normal"/>
    <w:next w:val="Normal"/>
    <w:link w:val="CitadestacadaCar"/>
    <w:uiPriority w:val="30"/>
    <w:qFormat/>
    <w:rsid w:val="00ED3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D30B4"/>
    <w:rPr>
      <w:i/>
      <w:iCs/>
      <w:color w:val="0F4761" w:themeColor="accent1" w:themeShade="BF"/>
    </w:rPr>
  </w:style>
  <w:style w:type="character" w:styleId="Referenciaintensa">
    <w:name w:val="Intense Reference"/>
    <w:basedOn w:val="Fuentedeprrafopredeter"/>
    <w:uiPriority w:val="32"/>
    <w:qFormat/>
    <w:rsid w:val="00ED30B4"/>
    <w:rPr>
      <w:b/>
      <w:bCs/>
      <w:smallCaps/>
      <w:color w:val="0F4761" w:themeColor="accent1" w:themeShade="BF"/>
      <w:spacing w:val="5"/>
    </w:rPr>
  </w:style>
  <w:style w:type="character" w:styleId="Hipervnculo">
    <w:name w:val="Hyperlink"/>
    <w:basedOn w:val="Fuentedeprrafopredeter"/>
    <w:uiPriority w:val="99"/>
    <w:unhideWhenUsed/>
    <w:rsid w:val="00ED30B4"/>
    <w:rPr>
      <w:color w:val="467886" w:themeColor="hyperlink"/>
      <w:u w:val="single"/>
    </w:rPr>
  </w:style>
  <w:style w:type="character" w:styleId="Mencinsinresolver">
    <w:name w:val="Unresolved Mention"/>
    <w:basedOn w:val="Fuentedeprrafopredeter"/>
    <w:uiPriority w:val="99"/>
    <w:semiHidden/>
    <w:unhideWhenUsed/>
    <w:rsid w:val="00ED3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C5F9C-C7C4-4BB7-B954-F0A914892B71}"/>
</file>

<file path=customXml/itemProps2.xml><?xml version="1.0" encoding="utf-8"?>
<ds:datastoreItem xmlns:ds="http://schemas.openxmlformats.org/officeDocument/2006/customXml" ds:itemID="{8F17034E-92D4-45DF-8325-46DB50E091D7}"/>
</file>

<file path=customXml/itemProps3.xml><?xml version="1.0" encoding="utf-8"?>
<ds:datastoreItem xmlns:ds="http://schemas.openxmlformats.org/officeDocument/2006/customXml" ds:itemID="{219A00F2-269D-497E-83CC-84B56F294F46}"/>
</file>

<file path=docProps/app.xml><?xml version="1.0" encoding="utf-8"?>
<Properties xmlns="http://schemas.openxmlformats.org/officeDocument/2006/extended-properties" xmlns:vt="http://schemas.openxmlformats.org/officeDocument/2006/docPropsVTypes">
  <Template>Normal</Template>
  <TotalTime>1</TotalTime>
  <Pages>5</Pages>
  <Words>1612</Words>
  <Characters>8872</Characters>
  <Application>Microsoft Office Word</Application>
  <DocSecurity>0</DocSecurity>
  <Lines>73</Lines>
  <Paragraphs>20</Paragraphs>
  <ScaleCrop>false</ScaleCrop>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2026-04-27T15:20:00Z</dcterms:created>
  <dcterms:modified xsi:type="dcterms:W3CDTF">2026-04-27T15:21:00Z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