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5C94D" w14:textId="77777777" w:rsidR="00113D56" w:rsidRPr="00113D56" w:rsidRDefault="00113D56" w:rsidP="00113D56">
      <w:pPr>
        <w:jc w:val="center"/>
        <w:rPr>
          <w:rFonts w:ascii="Verdana" w:hAnsi="Verdana"/>
          <w:sz w:val="22"/>
          <w:szCs w:val="22"/>
        </w:rPr>
      </w:pPr>
      <w:r w:rsidRPr="00113D56">
        <w:rPr>
          <w:rFonts w:ascii="Verdana" w:hAnsi="Verdana"/>
          <w:b/>
          <w:bCs/>
          <w:sz w:val="22"/>
          <w:szCs w:val="22"/>
        </w:rPr>
        <w:t>CONCEPTO 14 DE 2014</w:t>
      </w:r>
    </w:p>
    <w:p w14:paraId="3C188762" w14:textId="77777777" w:rsidR="00113D56" w:rsidRPr="00113D56" w:rsidRDefault="00113D56" w:rsidP="00113D56">
      <w:pPr>
        <w:jc w:val="center"/>
        <w:rPr>
          <w:rFonts w:ascii="Verdana" w:hAnsi="Verdana"/>
          <w:sz w:val="22"/>
          <w:szCs w:val="22"/>
        </w:rPr>
      </w:pPr>
      <w:r w:rsidRPr="00113D56">
        <w:rPr>
          <w:rFonts w:ascii="Verdana" w:hAnsi="Verdana"/>
          <w:sz w:val="22"/>
          <w:szCs w:val="22"/>
        </w:rPr>
        <w:t>(enero 30)</w:t>
      </w:r>
    </w:p>
    <w:p w14:paraId="0DCC0B73" w14:textId="77777777" w:rsidR="00113D56" w:rsidRPr="00113D56" w:rsidRDefault="00113D56" w:rsidP="00113D56">
      <w:pPr>
        <w:jc w:val="center"/>
        <w:rPr>
          <w:rFonts w:ascii="Verdana" w:hAnsi="Verdana"/>
          <w:sz w:val="22"/>
          <w:szCs w:val="22"/>
        </w:rPr>
      </w:pPr>
      <w:r w:rsidRPr="00113D56">
        <w:rPr>
          <w:rFonts w:ascii="Verdana" w:hAnsi="Verdana"/>
          <w:b/>
          <w:bCs/>
          <w:sz w:val="22"/>
          <w:szCs w:val="22"/>
        </w:rPr>
        <w:t>INSTITUTO COLOMBIANO DE BIENESTAR FAMILIAR – ICBF</w:t>
      </w:r>
    </w:p>
    <w:p w14:paraId="724D53A3" w14:textId="77777777" w:rsidR="00113D56" w:rsidRDefault="00113D56" w:rsidP="00113D56">
      <w:pPr>
        <w:jc w:val="both"/>
        <w:rPr>
          <w:rFonts w:ascii="Verdana" w:hAnsi="Verdana"/>
          <w:sz w:val="22"/>
          <w:szCs w:val="22"/>
        </w:rPr>
      </w:pPr>
    </w:p>
    <w:p w14:paraId="04E6C67D" w14:textId="2FA89AF4" w:rsidR="00113D56" w:rsidRPr="00113D56" w:rsidRDefault="00113D56" w:rsidP="00113D56">
      <w:pPr>
        <w:jc w:val="both"/>
        <w:rPr>
          <w:rFonts w:ascii="Verdana" w:hAnsi="Verdana"/>
          <w:sz w:val="22"/>
          <w:szCs w:val="22"/>
        </w:rPr>
      </w:pPr>
      <w:r w:rsidRPr="00113D56">
        <w:rPr>
          <w:rFonts w:ascii="Verdana" w:hAnsi="Verdana"/>
          <w:b/>
          <w:bCs/>
          <w:sz w:val="22"/>
          <w:szCs w:val="22"/>
        </w:rPr>
        <w:t>ASUNTO:</w:t>
      </w:r>
      <w:r w:rsidRPr="00113D56">
        <w:rPr>
          <w:rFonts w:ascii="Verdana" w:hAnsi="Verdana"/>
          <w:sz w:val="22"/>
          <w:szCs w:val="22"/>
        </w:rPr>
        <w:t xml:space="preserve"> Conflicto de competencia administrativa.</w:t>
      </w:r>
    </w:p>
    <w:p w14:paraId="580A102E" w14:textId="77777777" w:rsidR="00113D56" w:rsidRDefault="00113D56" w:rsidP="00113D56">
      <w:pPr>
        <w:jc w:val="both"/>
        <w:rPr>
          <w:rFonts w:ascii="Verdana" w:hAnsi="Verdana"/>
          <w:sz w:val="22"/>
          <w:szCs w:val="22"/>
        </w:rPr>
      </w:pPr>
    </w:p>
    <w:p w14:paraId="24594F40" w14:textId="406AB0B6" w:rsidR="00113D56" w:rsidRPr="00113D56" w:rsidRDefault="00113D56" w:rsidP="00113D56">
      <w:pPr>
        <w:jc w:val="both"/>
        <w:rPr>
          <w:rFonts w:ascii="Verdana" w:hAnsi="Verdana"/>
          <w:sz w:val="22"/>
          <w:szCs w:val="22"/>
        </w:rPr>
      </w:pPr>
      <w:r w:rsidRPr="00113D56">
        <w:rPr>
          <w:rFonts w:ascii="Verdana" w:hAnsi="Verdana"/>
          <w:sz w:val="22"/>
          <w:szCs w:val="22"/>
        </w:rPr>
        <w:t xml:space="preserve">De manera atenta, en relación con el asunto de la referencia, en los términos previstas en los artículos 26 del Código Civil, 13 y </w:t>
      </w:r>
      <w:proofErr w:type="spellStart"/>
      <w:r w:rsidRPr="00113D56">
        <w:rPr>
          <w:rFonts w:ascii="Verdana" w:hAnsi="Verdana"/>
          <w:sz w:val="22"/>
          <w:szCs w:val="22"/>
        </w:rPr>
        <w:t>ss</w:t>
      </w:r>
      <w:proofErr w:type="spellEnd"/>
      <w:r w:rsidRPr="00113D56">
        <w:rPr>
          <w:rFonts w:ascii="Verdana" w:hAnsi="Verdana"/>
          <w:sz w:val="22"/>
          <w:szCs w:val="22"/>
        </w:rPr>
        <w:t>, del Código de Procedimiento Administrativo y de lo Contencioso Administrativo, y 6o, numeral 4, del Decreto 987 de 2012, se responde la solicitud de concepto definitivo sobre el caso en cuestión, en los siguientes términos:</w:t>
      </w:r>
    </w:p>
    <w:p w14:paraId="114219AD" w14:textId="10B3ED64" w:rsidR="00113D56" w:rsidRPr="00113D56" w:rsidRDefault="00113D56" w:rsidP="00113D56">
      <w:pPr>
        <w:jc w:val="both"/>
        <w:rPr>
          <w:rFonts w:ascii="Verdana" w:hAnsi="Verdana"/>
          <w:b/>
          <w:bCs/>
          <w:sz w:val="22"/>
          <w:szCs w:val="22"/>
        </w:rPr>
      </w:pPr>
      <w:r w:rsidRPr="00113D56">
        <w:rPr>
          <w:rFonts w:ascii="Verdana" w:hAnsi="Verdana"/>
          <w:b/>
          <w:bCs/>
          <w:sz w:val="22"/>
          <w:szCs w:val="22"/>
        </w:rPr>
        <w:t>1. PROBLEMA JURÍDICO</w:t>
      </w:r>
    </w:p>
    <w:p w14:paraId="2FDFCA01" w14:textId="77777777" w:rsidR="00113D56" w:rsidRPr="00113D56" w:rsidRDefault="00113D56" w:rsidP="00113D56">
      <w:pPr>
        <w:jc w:val="both"/>
        <w:rPr>
          <w:rFonts w:ascii="Verdana" w:hAnsi="Verdana"/>
          <w:sz w:val="22"/>
          <w:szCs w:val="22"/>
        </w:rPr>
      </w:pPr>
      <w:r w:rsidRPr="00113D56">
        <w:rPr>
          <w:rFonts w:ascii="Verdana" w:hAnsi="Verdana"/>
          <w:sz w:val="22"/>
          <w:szCs w:val="22"/>
        </w:rPr>
        <w:t>¿Cuál es la entidad competente para resolver un conflicto negativo de competencias entre las Comisarías de Familia de los Municipios de XXX Cundinamarca?</w:t>
      </w:r>
    </w:p>
    <w:p w14:paraId="37555F22" w14:textId="77777777" w:rsidR="00113D56" w:rsidRPr="00113D56" w:rsidRDefault="00113D56" w:rsidP="00113D56">
      <w:pPr>
        <w:jc w:val="both"/>
        <w:rPr>
          <w:rFonts w:ascii="Verdana" w:hAnsi="Verdana"/>
          <w:b/>
          <w:bCs/>
          <w:sz w:val="22"/>
          <w:szCs w:val="22"/>
        </w:rPr>
      </w:pPr>
      <w:r w:rsidRPr="00113D56">
        <w:rPr>
          <w:rFonts w:ascii="Verdana" w:hAnsi="Verdana"/>
          <w:b/>
          <w:bCs/>
          <w:sz w:val="22"/>
          <w:szCs w:val="22"/>
        </w:rPr>
        <w:t>2. ANÁLISIS DEL PROBLEMA JURÍDICO</w:t>
      </w:r>
    </w:p>
    <w:p w14:paraId="612F5BDD" w14:textId="77777777" w:rsidR="00113D56" w:rsidRPr="00113D56" w:rsidRDefault="00113D56" w:rsidP="00113D56">
      <w:pPr>
        <w:jc w:val="both"/>
        <w:rPr>
          <w:rFonts w:ascii="Verdana" w:hAnsi="Verdana"/>
          <w:sz w:val="22"/>
          <w:szCs w:val="22"/>
        </w:rPr>
      </w:pPr>
      <w:r w:rsidRPr="00113D56">
        <w:rPr>
          <w:rFonts w:ascii="Verdana" w:hAnsi="Verdana"/>
          <w:sz w:val="22"/>
          <w:szCs w:val="22"/>
        </w:rPr>
        <w:t>Se abordará el tema analizando: 2.1. Conflicto de competencia administrativa. 2.2. Del caso en concreto.</w:t>
      </w:r>
    </w:p>
    <w:p w14:paraId="70E4162F" w14:textId="77777777" w:rsidR="00113D56" w:rsidRPr="00113D56" w:rsidRDefault="00113D56" w:rsidP="00113D56">
      <w:pPr>
        <w:jc w:val="both"/>
        <w:rPr>
          <w:rFonts w:ascii="Verdana" w:hAnsi="Verdana"/>
          <w:sz w:val="22"/>
          <w:szCs w:val="22"/>
        </w:rPr>
      </w:pPr>
      <w:r w:rsidRPr="00113D56">
        <w:rPr>
          <w:rFonts w:ascii="Verdana" w:hAnsi="Verdana"/>
          <w:sz w:val="22"/>
          <w:szCs w:val="22"/>
        </w:rPr>
        <w:t>2.1 Conflicto de competencia administrativa</w:t>
      </w:r>
    </w:p>
    <w:p w14:paraId="7933EE4D" w14:textId="5982FBCF" w:rsidR="00113D56" w:rsidRPr="00113D56" w:rsidRDefault="00113D56" w:rsidP="00113D56">
      <w:pPr>
        <w:jc w:val="both"/>
        <w:rPr>
          <w:rFonts w:ascii="Verdana" w:hAnsi="Verdana"/>
          <w:sz w:val="22"/>
          <w:szCs w:val="22"/>
        </w:rPr>
      </w:pPr>
      <w:r w:rsidRPr="00113D56">
        <w:rPr>
          <w:rFonts w:ascii="Verdana" w:hAnsi="Verdana"/>
          <w:sz w:val="22"/>
          <w:szCs w:val="22"/>
        </w:rPr>
        <w:t>El artículo 39 de la Ley 1437 de 2011, determina la competencia funcional para dirimir los conflictos de competencia que se generen entre autoridades administrativas así:</w:t>
      </w:r>
      <w:r w:rsidRPr="00113D56">
        <w:rPr>
          <w:rFonts w:ascii="Verdana" w:hAnsi="Verdana"/>
          <w:sz w:val="22"/>
          <w:szCs w:val="22"/>
          <w:vertAlign w:val="subscript"/>
        </w:rPr>
        <w:t>[1]</w:t>
      </w:r>
    </w:p>
    <w:p w14:paraId="5849E919" w14:textId="77777777" w:rsidR="00113D56" w:rsidRPr="00113D56" w:rsidRDefault="00113D56" w:rsidP="00113D56">
      <w:pPr>
        <w:jc w:val="both"/>
        <w:rPr>
          <w:rFonts w:ascii="Verdana" w:hAnsi="Verdana"/>
          <w:sz w:val="22"/>
          <w:szCs w:val="22"/>
        </w:rPr>
      </w:pPr>
      <w:r w:rsidRPr="00113D56">
        <w:rPr>
          <w:rFonts w:ascii="Verdana" w:hAnsi="Verdana"/>
          <w:i/>
          <w:iCs/>
          <w:sz w:val="22"/>
          <w:szCs w:val="22"/>
        </w:rPr>
        <w:t>“ARTÍCULO 39. Conflictos de competencia administrativa. Los conflictos de competencia administrativa se promoverán de oficio o por solicitud de la persona interesada. La autoridad que se considere incompetente remitirá la actuación</w:t>
      </w:r>
      <w:r w:rsidRPr="00113D56">
        <w:rPr>
          <w:rFonts w:ascii="Verdana" w:hAnsi="Verdana"/>
          <w:sz w:val="22"/>
          <w:szCs w:val="22"/>
        </w:rPr>
        <w:t> a </w:t>
      </w:r>
      <w:r w:rsidRPr="00113D56">
        <w:rPr>
          <w:rFonts w:ascii="Verdana" w:hAnsi="Verdana"/>
          <w:i/>
          <w:iCs/>
          <w:sz w:val="22"/>
          <w:szCs w:val="22"/>
        </w:rPr>
        <w:t>la que estime competente; si ésta también se declara incompetente, remitirá inmediatamente la actuación a la Sala de Consulta y Servicio Civil del Consejo de Estado en relación con autoridades del orden nacional o </w:t>
      </w:r>
      <w:r w:rsidRPr="00113D56">
        <w:rPr>
          <w:rFonts w:ascii="Verdana" w:hAnsi="Verdana"/>
          <w:i/>
          <w:iCs/>
          <w:sz w:val="22"/>
          <w:szCs w:val="22"/>
          <w:u w:val="single"/>
        </w:rPr>
        <w:t>al Tribunal Administrativo</w:t>
      </w:r>
      <w:r w:rsidRPr="00113D56">
        <w:rPr>
          <w:rFonts w:ascii="Verdana" w:hAnsi="Verdana"/>
          <w:i/>
          <w:iCs/>
          <w:sz w:val="22"/>
          <w:szCs w:val="22"/>
        </w:rPr>
        <w:t> </w:t>
      </w:r>
      <w:r w:rsidRPr="00113D56">
        <w:rPr>
          <w:rFonts w:ascii="Verdana" w:hAnsi="Verdana"/>
          <w:i/>
          <w:iCs/>
          <w:sz w:val="22"/>
          <w:szCs w:val="22"/>
          <w:u w:val="single"/>
        </w:rPr>
        <w:t>correspondiente en relación con autoridades del orden</w:t>
      </w:r>
      <w:r w:rsidRPr="00113D56">
        <w:rPr>
          <w:rFonts w:ascii="Verdana" w:hAnsi="Verdana"/>
          <w:i/>
          <w:iCs/>
          <w:sz w:val="22"/>
          <w:szCs w:val="22"/>
        </w:rPr>
        <w:t> departamental, distrital o </w:t>
      </w:r>
      <w:r w:rsidRPr="00113D56">
        <w:rPr>
          <w:rFonts w:ascii="Verdana" w:hAnsi="Verdana"/>
          <w:i/>
          <w:iCs/>
          <w:sz w:val="22"/>
          <w:szCs w:val="22"/>
          <w:u w:val="single"/>
        </w:rPr>
        <w:t>municipal</w:t>
      </w:r>
      <w:r w:rsidRPr="00113D56">
        <w:rPr>
          <w:rFonts w:ascii="Verdana" w:hAnsi="Verdana"/>
          <w:i/>
          <w:iCs/>
          <w:sz w:val="22"/>
          <w:szCs w:val="22"/>
        </w:rPr>
        <w:t>. En caso de que el conflicto involucre autoridades nacionales y territoriales, o autoridades territoriales de distintos departamentos, conocerá la Sata de Consulta y Servicio Civil del Consejo de Estado. (Subrayado fuera de texto)</w:t>
      </w:r>
    </w:p>
    <w:p w14:paraId="268037EE" w14:textId="77777777" w:rsidR="00113D56" w:rsidRPr="00113D56" w:rsidRDefault="00113D56" w:rsidP="00113D56">
      <w:pPr>
        <w:jc w:val="both"/>
        <w:rPr>
          <w:rFonts w:ascii="Verdana" w:hAnsi="Verdana"/>
          <w:sz w:val="22"/>
          <w:szCs w:val="22"/>
        </w:rPr>
      </w:pPr>
      <w:r w:rsidRPr="00113D56">
        <w:rPr>
          <w:rFonts w:ascii="Verdana" w:hAnsi="Verdana"/>
          <w:i/>
          <w:iCs/>
          <w:sz w:val="22"/>
          <w:szCs w:val="22"/>
        </w:rPr>
        <w:lastRenderedPageBreak/>
        <w:t>De igual manera se procederá cuando dos autoridades administrativas se consideren competentes para conocer y definir un asunto determinado.</w:t>
      </w:r>
    </w:p>
    <w:p w14:paraId="1FEE62C1" w14:textId="77777777" w:rsidR="00113D56" w:rsidRPr="00113D56" w:rsidRDefault="00113D56" w:rsidP="00113D56">
      <w:pPr>
        <w:jc w:val="both"/>
        <w:rPr>
          <w:rFonts w:ascii="Verdana" w:hAnsi="Verdana"/>
          <w:sz w:val="22"/>
          <w:szCs w:val="22"/>
        </w:rPr>
      </w:pPr>
      <w:r w:rsidRPr="00113D56">
        <w:rPr>
          <w:rFonts w:ascii="Verdana" w:hAnsi="Verdana"/>
          <w:i/>
          <w:iCs/>
          <w:sz w:val="22"/>
          <w:szCs w:val="22"/>
        </w:rPr>
        <w:t xml:space="preserve">En los dos eventos descritos se observará el siguiente procedimiento: recibida la actuación en </w:t>
      </w:r>
      <w:proofErr w:type="gramStart"/>
      <w:r w:rsidRPr="00113D56">
        <w:rPr>
          <w:rFonts w:ascii="Verdana" w:hAnsi="Verdana"/>
          <w:i/>
          <w:iCs/>
          <w:sz w:val="22"/>
          <w:szCs w:val="22"/>
        </w:rPr>
        <w:t>Secretaría</w:t>
      </w:r>
      <w:proofErr w:type="gramEnd"/>
      <w:r w:rsidRPr="00113D56">
        <w:rPr>
          <w:rFonts w:ascii="Verdana" w:hAnsi="Verdana"/>
          <w:i/>
          <w:iCs/>
          <w:sz w:val="22"/>
          <w:szCs w:val="22"/>
        </w:rPr>
        <w:t xml:space="preserve"> se comunicará por el medio más eficaz</w:t>
      </w:r>
      <w:r w:rsidRPr="00113D56">
        <w:rPr>
          <w:rFonts w:ascii="Verdana" w:hAnsi="Verdana"/>
          <w:sz w:val="22"/>
          <w:szCs w:val="22"/>
        </w:rPr>
        <w:t> </w:t>
      </w:r>
      <w:r w:rsidRPr="00113D56">
        <w:rPr>
          <w:rFonts w:ascii="Verdana" w:hAnsi="Verdana"/>
          <w:i/>
          <w:iCs/>
          <w:sz w:val="22"/>
          <w:szCs w:val="22"/>
        </w:rPr>
        <w:t>a</w:t>
      </w:r>
      <w:r w:rsidRPr="00113D56">
        <w:rPr>
          <w:rFonts w:ascii="Verdana" w:hAnsi="Verdana"/>
          <w:sz w:val="22"/>
          <w:szCs w:val="22"/>
        </w:rPr>
        <w:t> </w:t>
      </w:r>
      <w:r w:rsidRPr="00113D56">
        <w:rPr>
          <w:rFonts w:ascii="Verdana" w:hAnsi="Verdana"/>
          <w:i/>
          <w:iCs/>
          <w:sz w:val="22"/>
          <w:szCs w:val="22"/>
        </w:rPr>
        <w:t>las autoridades involucradas y a los particulares interesados y se fijará un edicto por el término de cinco (5) días, plazo en el que éstas podrán presentar alegatos o consideraciones. Vencido el anterior término, la Sala de Consulta y Servicio Civil del Consejo de Estado o el tribunal, según el caso, decidirá dentro de los veinte (20) días siguientes. Contra esta decisión no procederá recurso alguno.</w:t>
      </w:r>
    </w:p>
    <w:p w14:paraId="174F4FEC" w14:textId="7E344430" w:rsidR="00113D56" w:rsidRPr="00113D56" w:rsidRDefault="00113D56" w:rsidP="00113D56">
      <w:pPr>
        <w:jc w:val="both"/>
        <w:rPr>
          <w:rFonts w:ascii="Verdana" w:hAnsi="Verdana"/>
          <w:sz w:val="22"/>
          <w:szCs w:val="22"/>
        </w:rPr>
      </w:pPr>
      <w:r w:rsidRPr="00113D56">
        <w:rPr>
          <w:rFonts w:ascii="Verdana" w:hAnsi="Verdana"/>
          <w:i/>
          <w:iCs/>
          <w:sz w:val="22"/>
          <w:szCs w:val="22"/>
        </w:rPr>
        <w:t>Mientras se resuelve el conflicto, los términos señalados en el artículo 14 se suspenderán.”</w:t>
      </w:r>
    </w:p>
    <w:p w14:paraId="58B9C0FD" w14:textId="77777777" w:rsidR="00113D56" w:rsidRPr="00113D56" w:rsidRDefault="00113D56" w:rsidP="00113D56">
      <w:pPr>
        <w:jc w:val="both"/>
        <w:rPr>
          <w:rFonts w:ascii="Verdana" w:hAnsi="Verdana"/>
          <w:sz w:val="22"/>
          <w:szCs w:val="22"/>
        </w:rPr>
      </w:pPr>
      <w:r w:rsidRPr="00113D56">
        <w:rPr>
          <w:rFonts w:ascii="Verdana" w:hAnsi="Verdana"/>
          <w:sz w:val="22"/>
          <w:szCs w:val="22"/>
        </w:rPr>
        <w:t>2.2 Respecto al caso en concreto</w:t>
      </w:r>
    </w:p>
    <w:p w14:paraId="692D82D9" w14:textId="77777777" w:rsidR="00113D56" w:rsidRPr="00113D56" w:rsidRDefault="00113D56" w:rsidP="00113D56">
      <w:pPr>
        <w:jc w:val="both"/>
        <w:rPr>
          <w:rFonts w:ascii="Verdana" w:hAnsi="Verdana"/>
          <w:sz w:val="22"/>
          <w:szCs w:val="22"/>
        </w:rPr>
      </w:pPr>
      <w:r w:rsidRPr="00113D56">
        <w:rPr>
          <w:rFonts w:ascii="Verdana" w:hAnsi="Verdana"/>
          <w:sz w:val="22"/>
          <w:szCs w:val="22"/>
        </w:rPr>
        <w:t>En este caso estamos frente a un conflicto de competencia negativo, generado entre dos autoridades administrativas del orden municipal, dado que estamos en presencia de las Comisarías de Familia de los municipios de XXX en el Departamento de Cundinamarca.</w:t>
      </w:r>
    </w:p>
    <w:p w14:paraId="1201AFFA" w14:textId="6FDA4414" w:rsidR="00113D56" w:rsidRPr="00113D56" w:rsidRDefault="00113D56" w:rsidP="00113D56">
      <w:pPr>
        <w:jc w:val="both"/>
        <w:rPr>
          <w:rFonts w:ascii="Verdana" w:hAnsi="Verdana"/>
          <w:sz w:val="22"/>
          <w:szCs w:val="22"/>
        </w:rPr>
      </w:pPr>
      <w:r w:rsidRPr="00113D56">
        <w:rPr>
          <w:rFonts w:ascii="Verdana" w:hAnsi="Verdana"/>
          <w:sz w:val="22"/>
          <w:szCs w:val="22"/>
        </w:rPr>
        <w:t>Al respecto, el artículo 39 de la Ley 1437 de 2011, es claro en determinar que la competencia funcional para dirimir los conflictos de competencia que se generen entre autoridades administrativas del orden municipal, como en efecto ocurre en el caso que nos atañe, es el Tribunal Administrativo correspondiente, que para el caso en concreto es el Tribunal Contencioso Administrativo de Cundinamarca.</w:t>
      </w:r>
    </w:p>
    <w:p w14:paraId="65C8C7EF" w14:textId="4BFB184A" w:rsidR="00113D56" w:rsidRPr="00113D56" w:rsidRDefault="00113D56" w:rsidP="00113D56">
      <w:pPr>
        <w:jc w:val="both"/>
        <w:rPr>
          <w:rFonts w:ascii="Verdana" w:hAnsi="Verdana"/>
          <w:sz w:val="22"/>
          <w:szCs w:val="22"/>
        </w:rPr>
      </w:pPr>
      <w:r w:rsidRPr="00113D56">
        <w:rPr>
          <w:rFonts w:ascii="Verdana" w:hAnsi="Verdana"/>
          <w:sz w:val="22"/>
          <w:szCs w:val="22"/>
        </w:rPr>
        <w:t>Es preciso aclarar que la norma en mención, se encuentra vigente dado que no fue objeto de derogatoria expresa de acuerdo a lo preceptuado en el artículo 626 de la ley 1564 de 2012,</w:t>
      </w:r>
      <w:r w:rsidRPr="00113D56">
        <w:rPr>
          <w:rFonts w:ascii="Verdana" w:hAnsi="Verdana"/>
          <w:sz w:val="22"/>
          <w:szCs w:val="22"/>
          <w:vertAlign w:val="subscript"/>
        </w:rPr>
        <w:t>[2]</w:t>
      </w:r>
      <w:r w:rsidRPr="00113D56">
        <w:rPr>
          <w:rFonts w:ascii="Verdana" w:hAnsi="Verdana"/>
          <w:sz w:val="22"/>
          <w:szCs w:val="22"/>
        </w:rPr>
        <w:t> y a la fecha no ha entrado en vigencia el numeral 16 del artículo 21 de la misma ley, que le otorga la competencia para conocer en única instancia de tos conflictos de competencia en asuntos de familia que se susciten entre defensores de familia, comisarios de familia, notados e inspectores de policía, a los Jueces de Familia;</w:t>
      </w:r>
      <w:r w:rsidRPr="00113D56">
        <w:rPr>
          <w:rFonts w:ascii="Verdana" w:hAnsi="Verdana"/>
          <w:sz w:val="22"/>
          <w:szCs w:val="22"/>
          <w:vertAlign w:val="subscript"/>
        </w:rPr>
        <w:t>[3]</w:t>
      </w:r>
      <w:r w:rsidRPr="00113D56">
        <w:rPr>
          <w:rFonts w:ascii="Verdana" w:hAnsi="Verdana"/>
          <w:sz w:val="22"/>
          <w:szCs w:val="22"/>
        </w:rPr>
        <w:t> lo anterior, dado que el numeral 6 del artículo 627 de la ley 1564 de 2012,</w:t>
      </w:r>
      <w:r w:rsidRPr="00113D56">
        <w:rPr>
          <w:rFonts w:ascii="Verdana" w:hAnsi="Verdana"/>
          <w:sz w:val="22"/>
          <w:szCs w:val="22"/>
          <w:vertAlign w:val="subscript"/>
        </w:rPr>
        <w:t>[4]</w:t>
      </w:r>
      <w:r w:rsidRPr="00113D56">
        <w:rPr>
          <w:rFonts w:ascii="Verdana" w:hAnsi="Verdana"/>
          <w:sz w:val="22"/>
          <w:szCs w:val="22"/>
        </w:rPr>
        <w:t> establece que:</w:t>
      </w:r>
    </w:p>
    <w:p w14:paraId="62AB0BEA" w14:textId="77777777" w:rsidR="00113D56" w:rsidRPr="00113D56" w:rsidRDefault="00113D56" w:rsidP="00113D56">
      <w:pPr>
        <w:jc w:val="both"/>
        <w:rPr>
          <w:rFonts w:ascii="Verdana" w:hAnsi="Verdana"/>
          <w:sz w:val="22"/>
          <w:szCs w:val="22"/>
        </w:rPr>
      </w:pPr>
      <w:r w:rsidRPr="00113D56">
        <w:rPr>
          <w:rFonts w:ascii="Verdana" w:hAnsi="Verdana"/>
          <w:i/>
          <w:iCs/>
          <w:sz w:val="22"/>
          <w:szCs w:val="22"/>
        </w:rPr>
        <w:t>“6.</w:t>
      </w:r>
      <w:r w:rsidRPr="00113D56">
        <w:rPr>
          <w:rFonts w:ascii="Verdana" w:hAnsi="Verdana"/>
          <w:sz w:val="22"/>
          <w:szCs w:val="22"/>
        </w:rPr>
        <w:t> </w:t>
      </w:r>
      <w:r w:rsidRPr="00113D56">
        <w:rPr>
          <w:rFonts w:ascii="Verdana" w:hAnsi="Verdana"/>
          <w:i/>
          <w:iCs/>
          <w:sz w:val="22"/>
          <w:szCs w:val="22"/>
          <w:u w:val="single"/>
        </w:rPr>
        <w:t>Los demás artículos de la presente ley entrarán en vigencia a partir del primero (1o) de enero, de dos mil catorce (2014), en forma gradual,</w:t>
      </w:r>
      <w:r w:rsidRPr="00113D56">
        <w:rPr>
          <w:rFonts w:ascii="Verdana" w:hAnsi="Verdana"/>
          <w:i/>
          <w:iCs/>
          <w:sz w:val="22"/>
          <w:szCs w:val="22"/>
        </w:rPr>
        <w:t xml:space="preserve"> en la medida en que se hayan ejecutado los programas de formación de funcionarios y empleados y se disponga de la infraestructura física y tecnológica, del número de despachos judiciales requeridos al día, y de los demás elementos necesarios para el funcionamiento del proceso oral y por audiencias, según lo determine el Consejo Superior de la Judicatura, y en un plazo máximo de tres (3) años, al </w:t>
      </w:r>
      <w:r w:rsidRPr="00113D56">
        <w:rPr>
          <w:rFonts w:ascii="Verdana" w:hAnsi="Verdana"/>
          <w:i/>
          <w:iCs/>
          <w:sz w:val="22"/>
          <w:szCs w:val="22"/>
        </w:rPr>
        <w:lastRenderedPageBreak/>
        <w:t>final del cual esta ley entrará en vigencia en todos los distritos judiciales del país." (Subrayado fuera de texto)</w:t>
      </w:r>
    </w:p>
    <w:p w14:paraId="56F50605" w14:textId="77777777" w:rsidR="00113D56" w:rsidRPr="00113D56" w:rsidRDefault="00113D56" w:rsidP="00113D56">
      <w:pPr>
        <w:jc w:val="both"/>
        <w:rPr>
          <w:rFonts w:ascii="Verdana" w:hAnsi="Verdana"/>
          <w:sz w:val="22"/>
          <w:szCs w:val="22"/>
        </w:rPr>
      </w:pPr>
      <w:r w:rsidRPr="00113D56">
        <w:rPr>
          <w:rFonts w:ascii="Verdana" w:hAnsi="Verdana"/>
          <w:sz w:val="22"/>
          <w:szCs w:val="22"/>
        </w:rPr>
        <w:t xml:space="preserve">En este mismo sentido, El Consejo Superior de la Judicatura Sala Administrativa mediante acuerdo No. PSAA13-10073 del 27 de diciembre de 2013 reglamentó la gradualidad para la implementación del Código General del Proceso, definiendo en su artículo primero el respectivo cronograma nacional, </w:t>
      </w:r>
      <w:proofErr w:type="gramStart"/>
      <w:r w:rsidRPr="00113D56">
        <w:rPr>
          <w:rFonts w:ascii="Verdana" w:hAnsi="Verdana"/>
          <w:sz w:val="22"/>
          <w:szCs w:val="22"/>
        </w:rPr>
        <w:t>que</w:t>
      </w:r>
      <w:proofErr w:type="gramEnd"/>
      <w:r w:rsidRPr="00113D56">
        <w:rPr>
          <w:rFonts w:ascii="Verdana" w:hAnsi="Verdana"/>
          <w:sz w:val="22"/>
          <w:szCs w:val="22"/>
        </w:rPr>
        <w:t xml:space="preserve"> para el caso en concreto, determino que el Departamento de Cundinamarca tiene como fecha límite para su implementación, el primero de diciembre del año 2015.</w:t>
      </w:r>
    </w:p>
    <w:p w14:paraId="10F4CAE1" w14:textId="77777777" w:rsidR="00113D56" w:rsidRPr="00113D56" w:rsidRDefault="00113D56" w:rsidP="00113D56">
      <w:pPr>
        <w:jc w:val="both"/>
        <w:rPr>
          <w:rFonts w:ascii="Verdana" w:hAnsi="Verdana"/>
          <w:b/>
          <w:bCs/>
          <w:sz w:val="22"/>
          <w:szCs w:val="22"/>
        </w:rPr>
      </w:pPr>
      <w:r w:rsidRPr="00113D56">
        <w:rPr>
          <w:rFonts w:ascii="Verdana" w:hAnsi="Verdana"/>
          <w:b/>
          <w:bCs/>
          <w:sz w:val="22"/>
          <w:szCs w:val="22"/>
        </w:rPr>
        <w:t>3. CONCLUSIONES</w:t>
      </w:r>
    </w:p>
    <w:p w14:paraId="1A17E425" w14:textId="77777777" w:rsidR="00113D56" w:rsidRPr="00113D56" w:rsidRDefault="00113D56" w:rsidP="00113D56">
      <w:pPr>
        <w:jc w:val="both"/>
        <w:rPr>
          <w:rFonts w:ascii="Verdana" w:hAnsi="Verdana"/>
          <w:sz w:val="22"/>
          <w:szCs w:val="22"/>
        </w:rPr>
      </w:pPr>
      <w:r w:rsidRPr="00113D56">
        <w:rPr>
          <w:rFonts w:ascii="Verdana" w:hAnsi="Verdana"/>
          <w:sz w:val="22"/>
          <w:szCs w:val="22"/>
        </w:rPr>
        <w:t>Primero: El instituto Colombiano de Bienestar Familiar no es la entidad competente para dirimir el conflicto de competencias generado entre autoridades administrativas.</w:t>
      </w:r>
    </w:p>
    <w:p w14:paraId="21982115" w14:textId="77777777" w:rsidR="00113D56" w:rsidRPr="00113D56" w:rsidRDefault="00113D56" w:rsidP="00113D56">
      <w:pPr>
        <w:jc w:val="both"/>
        <w:rPr>
          <w:rFonts w:ascii="Verdana" w:hAnsi="Verdana"/>
          <w:sz w:val="22"/>
          <w:szCs w:val="22"/>
        </w:rPr>
      </w:pPr>
      <w:r w:rsidRPr="00113D56">
        <w:rPr>
          <w:rFonts w:ascii="Verdana" w:hAnsi="Verdana"/>
          <w:sz w:val="22"/>
          <w:szCs w:val="22"/>
        </w:rPr>
        <w:t xml:space="preserve">Segundo: Existe norma expresa en la que se señala claramente quien es el ente que posee la competencia legal para resolver los conflictos de competencia que se susciten entre autoridades administrativas, motivo por el </w:t>
      </w:r>
      <w:proofErr w:type="gramStart"/>
      <w:r w:rsidRPr="00113D56">
        <w:rPr>
          <w:rFonts w:ascii="Verdana" w:hAnsi="Verdana"/>
          <w:sz w:val="22"/>
          <w:szCs w:val="22"/>
        </w:rPr>
        <w:t>cual</w:t>
      </w:r>
      <w:proofErr w:type="gramEnd"/>
      <w:r w:rsidRPr="00113D56">
        <w:rPr>
          <w:rFonts w:ascii="Verdana" w:hAnsi="Verdana"/>
          <w:sz w:val="22"/>
          <w:szCs w:val="22"/>
        </w:rPr>
        <w:t xml:space="preserve"> para el presente caso, el conflicto de competencia administrativa negativa debe ser presentado ante el Tribunal Contencioso Administrativo de Cundinamarca para su conocimiento y posterior trámite.</w:t>
      </w:r>
    </w:p>
    <w:p w14:paraId="6439DA99" w14:textId="106F68CB" w:rsidR="00113D56" w:rsidRPr="00113D56" w:rsidRDefault="00113D56" w:rsidP="00113D56">
      <w:pPr>
        <w:jc w:val="both"/>
        <w:rPr>
          <w:rFonts w:ascii="Verdana" w:hAnsi="Verdana"/>
          <w:sz w:val="22"/>
          <w:szCs w:val="22"/>
        </w:rPr>
      </w:pPr>
      <w:r w:rsidRPr="00113D56">
        <w:rPr>
          <w:rFonts w:ascii="Verdana" w:hAnsi="Verdana"/>
          <w:sz w:val="22"/>
          <w:szCs w:val="22"/>
        </w:rPr>
        <w:t xml:space="preserve">El presente </w:t>
      </w:r>
      <w:proofErr w:type="gramStart"/>
      <w:r w:rsidRPr="00113D56">
        <w:rPr>
          <w:rFonts w:ascii="Verdana" w:hAnsi="Verdana"/>
          <w:sz w:val="22"/>
          <w:szCs w:val="22"/>
        </w:rPr>
        <w:t>concepto</w:t>
      </w:r>
      <w:r w:rsidRPr="00113D56">
        <w:rPr>
          <w:rFonts w:ascii="Verdana" w:hAnsi="Verdana"/>
          <w:sz w:val="22"/>
          <w:szCs w:val="22"/>
          <w:vertAlign w:val="subscript"/>
        </w:rPr>
        <w:t>[</w:t>
      </w:r>
      <w:proofErr w:type="gramEnd"/>
      <w:r w:rsidRPr="00113D56">
        <w:rPr>
          <w:rFonts w:ascii="Verdana" w:hAnsi="Verdana"/>
          <w:sz w:val="22"/>
          <w:szCs w:val="22"/>
          <w:vertAlign w:val="subscript"/>
        </w:rPr>
        <w:t>5]</w:t>
      </w:r>
      <w:r w:rsidRPr="00113D56">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113D56">
        <w:rPr>
          <w:rFonts w:ascii="Verdana" w:hAnsi="Verdana"/>
          <w:sz w:val="22"/>
          <w:szCs w:val="22"/>
        </w:rPr>
        <w:t>obstante</w:t>
      </w:r>
      <w:proofErr w:type="gramEnd"/>
      <w:r w:rsidRPr="00113D56">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A29CD40" w14:textId="77777777" w:rsidR="00113D56" w:rsidRDefault="00113D56" w:rsidP="00113D56">
      <w:pPr>
        <w:jc w:val="both"/>
        <w:rPr>
          <w:rFonts w:ascii="Verdana" w:hAnsi="Verdana"/>
          <w:sz w:val="22"/>
          <w:szCs w:val="22"/>
        </w:rPr>
      </w:pPr>
    </w:p>
    <w:p w14:paraId="1A8413B9" w14:textId="63309750" w:rsidR="00113D56" w:rsidRPr="00113D56" w:rsidRDefault="00113D56" w:rsidP="00113D56">
      <w:pPr>
        <w:jc w:val="both"/>
        <w:rPr>
          <w:rFonts w:ascii="Verdana" w:hAnsi="Verdana"/>
          <w:sz w:val="22"/>
          <w:szCs w:val="22"/>
        </w:rPr>
      </w:pPr>
      <w:r w:rsidRPr="00113D56">
        <w:rPr>
          <w:rFonts w:ascii="Verdana" w:hAnsi="Verdana"/>
          <w:sz w:val="22"/>
          <w:szCs w:val="22"/>
        </w:rPr>
        <w:t>Cordialmente,</w:t>
      </w:r>
    </w:p>
    <w:p w14:paraId="57F56883" w14:textId="77777777" w:rsidR="00113D56" w:rsidRPr="00113D56" w:rsidRDefault="00113D56" w:rsidP="00113D56">
      <w:pPr>
        <w:jc w:val="both"/>
        <w:rPr>
          <w:rFonts w:ascii="Verdana" w:hAnsi="Verdana"/>
          <w:sz w:val="22"/>
          <w:szCs w:val="22"/>
        </w:rPr>
      </w:pPr>
      <w:r w:rsidRPr="00113D56">
        <w:rPr>
          <w:rFonts w:ascii="Verdana" w:hAnsi="Verdana"/>
          <w:b/>
          <w:bCs/>
          <w:sz w:val="22"/>
          <w:szCs w:val="22"/>
        </w:rPr>
        <w:t>LUISA MARINA BALLESTEROS ARISTÍZABAL</w:t>
      </w:r>
    </w:p>
    <w:p w14:paraId="7CB74E4A" w14:textId="77777777" w:rsidR="00113D56" w:rsidRPr="00113D56" w:rsidRDefault="00113D56" w:rsidP="00113D56">
      <w:pPr>
        <w:jc w:val="both"/>
        <w:rPr>
          <w:rFonts w:ascii="Verdana" w:hAnsi="Verdana"/>
          <w:sz w:val="22"/>
          <w:szCs w:val="22"/>
        </w:rPr>
      </w:pPr>
      <w:r w:rsidRPr="00113D56">
        <w:rPr>
          <w:rFonts w:ascii="Verdana" w:hAnsi="Verdana"/>
          <w:sz w:val="22"/>
          <w:szCs w:val="22"/>
        </w:rPr>
        <w:t>Jefe Oficina Asesora Jurídica</w:t>
      </w:r>
    </w:p>
    <w:p w14:paraId="2BF802A7" w14:textId="77777777" w:rsidR="00113D56" w:rsidRDefault="00113D56" w:rsidP="00113D56">
      <w:pPr>
        <w:jc w:val="both"/>
        <w:rPr>
          <w:rFonts w:ascii="Verdana" w:hAnsi="Verdana"/>
          <w:sz w:val="22"/>
          <w:szCs w:val="22"/>
        </w:rPr>
      </w:pPr>
    </w:p>
    <w:p w14:paraId="7029DE2A" w14:textId="42C6E449" w:rsidR="00113D56" w:rsidRPr="00113D56" w:rsidRDefault="00113D56" w:rsidP="00113D56">
      <w:pPr>
        <w:jc w:val="both"/>
        <w:rPr>
          <w:rFonts w:ascii="Verdana" w:hAnsi="Verdana"/>
          <w:b/>
          <w:bCs/>
          <w:sz w:val="22"/>
          <w:szCs w:val="22"/>
        </w:rPr>
      </w:pPr>
      <w:r w:rsidRPr="00113D56">
        <w:rPr>
          <w:rFonts w:ascii="Verdana" w:hAnsi="Verdana"/>
          <w:b/>
          <w:bCs/>
          <w:sz w:val="22"/>
          <w:szCs w:val="22"/>
        </w:rPr>
        <w:t xml:space="preserve">Notas Pie de Página: </w:t>
      </w:r>
    </w:p>
    <w:p w14:paraId="7974AE75" w14:textId="7F34E9BD" w:rsidR="00113D56" w:rsidRPr="00113D56" w:rsidRDefault="00113D56" w:rsidP="00113D56">
      <w:pPr>
        <w:pStyle w:val="Prrafodelista"/>
        <w:numPr>
          <w:ilvl w:val="0"/>
          <w:numId w:val="3"/>
        </w:numPr>
        <w:jc w:val="both"/>
        <w:rPr>
          <w:rFonts w:ascii="Verdana" w:hAnsi="Verdana"/>
          <w:sz w:val="22"/>
          <w:szCs w:val="22"/>
        </w:rPr>
      </w:pPr>
      <w:r w:rsidRPr="00113D56">
        <w:rPr>
          <w:rFonts w:ascii="Verdana" w:hAnsi="Verdana"/>
          <w:sz w:val="22"/>
          <w:szCs w:val="22"/>
        </w:rPr>
        <w:lastRenderedPageBreak/>
        <w:t>Artículo 39 Ley 1437 de 2011, Código de Procedimiento Administrativo y de lo Contencioso Administrativo.</w:t>
      </w:r>
    </w:p>
    <w:p w14:paraId="0C55CA06" w14:textId="0B90D392" w:rsidR="00113D56" w:rsidRPr="00113D56" w:rsidRDefault="00113D56" w:rsidP="00113D56">
      <w:pPr>
        <w:pStyle w:val="Prrafodelista"/>
        <w:numPr>
          <w:ilvl w:val="0"/>
          <w:numId w:val="3"/>
        </w:numPr>
        <w:jc w:val="both"/>
        <w:rPr>
          <w:rFonts w:ascii="Verdana" w:hAnsi="Verdana"/>
          <w:sz w:val="22"/>
          <w:szCs w:val="22"/>
        </w:rPr>
      </w:pPr>
      <w:r w:rsidRPr="00113D56">
        <w:rPr>
          <w:rFonts w:ascii="Verdana" w:hAnsi="Verdana"/>
          <w:sz w:val="22"/>
          <w:szCs w:val="22"/>
        </w:rPr>
        <w:t>Artículo 626 Ley 1564 de 2012, Código General del Proceso.</w:t>
      </w:r>
    </w:p>
    <w:p w14:paraId="5234040C" w14:textId="47FF6AFB" w:rsidR="00113D56" w:rsidRPr="00113D56" w:rsidRDefault="00113D56" w:rsidP="00113D56">
      <w:pPr>
        <w:pStyle w:val="Prrafodelista"/>
        <w:numPr>
          <w:ilvl w:val="0"/>
          <w:numId w:val="3"/>
        </w:numPr>
        <w:jc w:val="both"/>
        <w:rPr>
          <w:rFonts w:ascii="Verdana" w:hAnsi="Verdana"/>
          <w:sz w:val="22"/>
          <w:szCs w:val="22"/>
        </w:rPr>
      </w:pPr>
      <w:r w:rsidRPr="00113D56">
        <w:rPr>
          <w:rFonts w:ascii="Verdana" w:hAnsi="Verdana"/>
          <w:sz w:val="22"/>
          <w:szCs w:val="22"/>
        </w:rPr>
        <w:t>Numeral 16 artículo 21 Ley 1564 de 2012, Código General del Proceso.</w:t>
      </w:r>
    </w:p>
    <w:p w14:paraId="308C1F38" w14:textId="61C2F28A" w:rsidR="00113D56" w:rsidRPr="00113D56" w:rsidRDefault="00113D56" w:rsidP="00113D56">
      <w:pPr>
        <w:pStyle w:val="Prrafodelista"/>
        <w:numPr>
          <w:ilvl w:val="0"/>
          <w:numId w:val="3"/>
        </w:numPr>
        <w:jc w:val="both"/>
        <w:rPr>
          <w:rFonts w:ascii="Verdana" w:hAnsi="Verdana"/>
          <w:sz w:val="22"/>
          <w:szCs w:val="22"/>
        </w:rPr>
      </w:pPr>
      <w:r w:rsidRPr="00113D56">
        <w:rPr>
          <w:rFonts w:ascii="Verdana" w:hAnsi="Verdana"/>
          <w:sz w:val="22"/>
          <w:szCs w:val="22"/>
        </w:rPr>
        <w:t>Numeral 6 artículo 527 Ley 1564 de 2012, Código General del Proceso.</w:t>
      </w:r>
    </w:p>
    <w:p w14:paraId="0A967F8A" w14:textId="42FBB4C5" w:rsidR="00113D56" w:rsidRPr="00113D56" w:rsidRDefault="00113D56" w:rsidP="00113D56">
      <w:pPr>
        <w:jc w:val="both"/>
        <w:rPr>
          <w:rFonts w:ascii="Verdana" w:hAnsi="Verdana"/>
          <w:sz w:val="22"/>
          <w:szCs w:val="22"/>
        </w:rPr>
      </w:pPr>
      <w:r w:rsidRPr="00113D56">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determiné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w:t>
      </w:r>
      <w:proofErr w:type="gramStart"/>
      <w:r w:rsidRPr="00113D56">
        <w:rPr>
          <w:rFonts w:ascii="Verdana" w:hAnsi="Verdana"/>
          <w:sz w:val="22"/>
          <w:szCs w:val="22"/>
        </w:rPr>
        <w:t>imparcialidad.(...)</w:t>
      </w:r>
      <w:proofErr w:type="gramEnd"/>
      <w:r w:rsidRPr="00113D56">
        <w:rPr>
          <w:rFonts w:ascii="Verdana" w:hAnsi="Verdana"/>
          <w:sz w:val="22"/>
          <w:szCs w:val="22"/>
        </w:rPr>
        <w:t xml:space="preserve">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B5A"/>
    <w:multiLevelType w:val="hybridMultilevel"/>
    <w:tmpl w:val="132278DE"/>
    <w:lvl w:ilvl="0" w:tplc="EA7E745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D0F6F5D"/>
    <w:multiLevelType w:val="hybridMultilevel"/>
    <w:tmpl w:val="17929A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51B51F5"/>
    <w:multiLevelType w:val="hybridMultilevel"/>
    <w:tmpl w:val="3C2827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69143652">
    <w:abstractNumId w:val="0"/>
  </w:num>
  <w:num w:numId="2" w16cid:durableId="1754625877">
    <w:abstractNumId w:val="1"/>
  </w:num>
  <w:num w:numId="3" w16cid:durableId="101865507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13D56"/>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A75ED"/>
    <w:rsid w:val="007C0F3C"/>
    <w:rsid w:val="007C6955"/>
    <w:rsid w:val="007D166B"/>
    <w:rsid w:val="007D2D97"/>
    <w:rsid w:val="007D5988"/>
    <w:rsid w:val="007E7189"/>
    <w:rsid w:val="007F0C0F"/>
    <w:rsid w:val="007F2817"/>
    <w:rsid w:val="008060C8"/>
    <w:rsid w:val="008136F1"/>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52688"/>
    <w:rsid w:val="0096208E"/>
    <w:rsid w:val="009765F2"/>
    <w:rsid w:val="0098161C"/>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307</TotalTime>
  <Pages>4</Pages>
  <Words>1286</Words>
  <Characters>7075</Characters>
  <Application>Microsoft Office Word</Application>
  <DocSecurity>0</DocSecurity>
  <Lines>58</Lines>
  <Paragraphs>16</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213</cp:revision>
  <dcterms:created xsi:type="dcterms:W3CDTF">2026-05-08T19:08:00Z</dcterms:created>
  <dcterms:modified xsi:type="dcterms:W3CDTF">2026-07-21T03:25:00Z</dcterms:modified>
</cp:coreProperties>
</file>