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65431" w14:textId="77777777" w:rsidR="008A0CC8" w:rsidRPr="008A0CC8" w:rsidRDefault="008A0CC8" w:rsidP="008A0CC8">
      <w:pPr>
        <w:jc w:val="center"/>
        <w:rPr>
          <w:rFonts w:ascii="Verdana" w:hAnsi="Verdana"/>
          <w:sz w:val="22"/>
          <w:szCs w:val="22"/>
        </w:rPr>
      </w:pPr>
      <w:r w:rsidRPr="008A0CC8">
        <w:rPr>
          <w:rFonts w:ascii="Verdana" w:hAnsi="Verdana"/>
          <w:b/>
          <w:bCs/>
          <w:sz w:val="22"/>
          <w:szCs w:val="22"/>
        </w:rPr>
        <w:t>CONCEPTO 136 DE 2017</w:t>
      </w:r>
    </w:p>
    <w:p w14:paraId="63788802" w14:textId="77777777" w:rsidR="008A0CC8" w:rsidRPr="008A0CC8" w:rsidRDefault="008A0CC8" w:rsidP="008A0CC8">
      <w:pPr>
        <w:jc w:val="center"/>
        <w:rPr>
          <w:rFonts w:ascii="Verdana" w:hAnsi="Verdana"/>
          <w:sz w:val="22"/>
          <w:szCs w:val="22"/>
        </w:rPr>
      </w:pPr>
      <w:r w:rsidRPr="008A0CC8">
        <w:rPr>
          <w:rFonts w:ascii="Verdana" w:hAnsi="Verdana"/>
          <w:sz w:val="22"/>
          <w:szCs w:val="22"/>
        </w:rPr>
        <w:t>(noviembre 8)</w:t>
      </w:r>
    </w:p>
    <w:p w14:paraId="7501CF85" w14:textId="77777777" w:rsidR="008A0CC8" w:rsidRPr="008A0CC8" w:rsidRDefault="008A0CC8" w:rsidP="008A0CC8">
      <w:pPr>
        <w:jc w:val="center"/>
        <w:rPr>
          <w:rFonts w:ascii="Verdana" w:hAnsi="Verdana"/>
          <w:sz w:val="22"/>
          <w:szCs w:val="22"/>
        </w:rPr>
      </w:pPr>
      <w:r w:rsidRPr="008A0CC8">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2"/>
        <w:gridCol w:w="7666"/>
      </w:tblGrid>
      <w:tr w:rsidR="008A0CC8" w:rsidRPr="008A0CC8" w14:paraId="50D79799" w14:textId="77777777" w:rsidTr="008A0CC8">
        <w:trPr>
          <w:tblCellSpacing w:w="15" w:type="dxa"/>
        </w:trPr>
        <w:tc>
          <w:tcPr>
            <w:tcW w:w="4966" w:type="pct"/>
            <w:gridSpan w:val="2"/>
            <w:tcBorders>
              <w:top w:val="nil"/>
              <w:left w:val="nil"/>
              <w:bottom w:val="nil"/>
              <w:right w:val="nil"/>
            </w:tcBorders>
            <w:tcMar>
              <w:top w:w="0" w:type="dxa"/>
              <w:left w:w="0" w:type="dxa"/>
              <w:bottom w:w="0" w:type="dxa"/>
              <w:right w:w="0" w:type="dxa"/>
            </w:tcMar>
          </w:tcPr>
          <w:p w14:paraId="691B2141" w14:textId="45E2A969" w:rsidR="008A0CC8" w:rsidRPr="008A0CC8" w:rsidRDefault="008A0CC8" w:rsidP="008A0CC8">
            <w:pPr>
              <w:jc w:val="both"/>
              <w:rPr>
                <w:rFonts w:ascii="Verdana" w:hAnsi="Verdana"/>
                <w:sz w:val="22"/>
                <w:szCs w:val="22"/>
              </w:rPr>
            </w:pPr>
          </w:p>
        </w:tc>
      </w:tr>
      <w:tr w:rsidR="008A0CC8" w:rsidRPr="008A0CC8" w14:paraId="2C7EEA75" w14:textId="77777777" w:rsidTr="008A0CC8">
        <w:trPr>
          <w:tblCellSpacing w:w="15" w:type="dxa"/>
        </w:trPr>
        <w:tc>
          <w:tcPr>
            <w:tcW w:w="640" w:type="pct"/>
            <w:tcBorders>
              <w:top w:val="nil"/>
              <w:left w:val="nil"/>
              <w:bottom w:val="nil"/>
              <w:right w:val="nil"/>
            </w:tcBorders>
            <w:tcMar>
              <w:top w:w="0" w:type="dxa"/>
              <w:left w:w="0" w:type="dxa"/>
              <w:bottom w:w="0" w:type="dxa"/>
              <w:right w:w="0" w:type="dxa"/>
            </w:tcMar>
            <w:hideMark/>
          </w:tcPr>
          <w:p w14:paraId="79DFB261" w14:textId="77777777" w:rsidR="008A0CC8" w:rsidRPr="008A0CC8" w:rsidRDefault="008A0CC8" w:rsidP="008A0CC8">
            <w:pPr>
              <w:jc w:val="both"/>
              <w:rPr>
                <w:rFonts w:ascii="Verdana" w:hAnsi="Verdana"/>
                <w:sz w:val="22"/>
                <w:szCs w:val="22"/>
              </w:rPr>
            </w:pPr>
            <w:r w:rsidRPr="008A0CC8">
              <w:rPr>
                <w:rFonts w:ascii="Verdana" w:hAnsi="Verdana"/>
                <w:b/>
                <w:bCs/>
                <w:sz w:val="22"/>
                <w:szCs w:val="22"/>
              </w:rPr>
              <w:t>ASUNTO:</w:t>
            </w:r>
          </w:p>
        </w:tc>
        <w:tc>
          <w:tcPr>
            <w:tcW w:w="4309" w:type="pct"/>
            <w:tcBorders>
              <w:top w:val="nil"/>
              <w:left w:val="nil"/>
              <w:bottom w:val="nil"/>
              <w:right w:val="nil"/>
            </w:tcBorders>
            <w:tcMar>
              <w:top w:w="0" w:type="dxa"/>
              <w:left w:w="0" w:type="dxa"/>
              <w:bottom w:w="0" w:type="dxa"/>
              <w:right w:w="0" w:type="dxa"/>
            </w:tcMar>
            <w:hideMark/>
          </w:tcPr>
          <w:p w14:paraId="15CB1F5D" w14:textId="77777777" w:rsidR="008A0CC8" w:rsidRPr="008A0CC8" w:rsidRDefault="008A0CC8" w:rsidP="008A0CC8">
            <w:pPr>
              <w:jc w:val="both"/>
              <w:rPr>
                <w:rFonts w:ascii="Verdana" w:hAnsi="Verdana"/>
                <w:sz w:val="22"/>
                <w:szCs w:val="22"/>
              </w:rPr>
            </w:pPr>
            <w:r w:rsidRPr="008A0CC8">
              <w:rPr>
                <w:rFonts w:ascii="Verdana" w:hAnsi="Verdana"/>
                <w:sz w:val="22"/>
                <w:szCs w:val="22"/>
              </w:rPr>
              <w:t xml:space="preserve">Consulta remitida a través de correo electrónico del 27 de </w:t>
            </w:r>
            <w:proofErr w:type="gramStart"/>
            <w:r w:rsidRPr="008A0CC8">
              <w:rPr>
                <w:rFonts w:ascii="Verdana" w:hAnsi="Verdana"/>
                <w:sz w:val="22"/>
                <w:szCs w:val="22"/>
              </w:rPr>
              <w:t>Octubre</w:t>
            </w:r>
            <w:proofErr w:type="gramEnd"/>
            <w:r w:rsidRPr="008A0CC8">
              <w:rPr>
                <w:rFonts w:ascii="Verdana" w:hAnsi="Verdana"/>
                <w:sz w:val="22"/>
                <w:szCs w:val="22"/>
              </w:rPr>
              <w:t xml:space="preserve"> de 2017, sobre conflicto de competencia entre defensores de familia.</w:t>
            </w:r>
          </w:p>
        </w:tc>
      </w:tr>
    </w:tbl>
    <w:p w14:paraId="1BF562C6" w14:textId="243D9B25" w:rsidR="008A0CC8" w:rsidRPr="008A0CC8" w:rsidRDefault="008A0CC8" w:rsidP="008A0CC8">
      <w:pPr>
        <w:jc w:val="both"/>
        <w:rPr>
          <w:rFonts w:ascii="Verdana" w:hAnsi="Verdana"/>
          <w:sz w:val="22"/>
          <w:szCs w:val="22"/>
        </w:rPr>
      </w:pPr>
      <w:r w:rsidRPr="008A0CC8">
        <w:rPr>
          <w:rFonts w:ascii="Verdana" w:hAnsi="Verdana"/>
          <w:sz w:val="22"/>
          <w:szCs w:val="22"/>
        </w:rPr>
        <w:t>De manera atenta, en relación con el asunto de la referencia, en los términos previstos en los artículos 26 del Código Civil, artículos 26 del Código Civil, Ley 1755 de 2015, y numeral 4 del artículo 6o del Decreto 987 de 2012, se procede a emitir concepto en los siguientes términos:</w:t>
      </w:r>
    </w:p>
    <w:p w14:paraId="2FDAF85C" w14:textId="77777777" w:rsidR="008A0CC8" w:rsidRPr="008A0CC8" w:rsidRDefault="008A0CC8" w:rsidP="008A0CC8">
      <w:pPr>
        <w:jc w:val="both"/>
        <w:rPr>
          <w:rFonts w:ascii="Verdana" w:hAnsi="Verdana"/>
          <w:sz w:val="22"/>
          <w:szCs w:val="22"/>
        </w:rPr>
      </w:pPr>
      <w:r w:rsidRPr="008A0CC8">
        <w:rPr>
          <w:rFonts w:ascii="Verdana" w:hAnsi="Verdana"/>
          <w:b/>
          <w:bCs/>
          <w:sz w:val="22"/>
          <w:szCs w:val="22"/>
        </w:rPr>
        <w:t>1. PROBLEMA JURÍDICO</w:t>
      </w:r>
    </w:p>
    <w:p w14:paraId="7E769E43" w14:textId="77777777" w:rsidR="008A0CC8" w:rsidRPr="008A0CC8" w:rsidRDefault="008A0CC8" w:rsidP="008A0CC8">
      <w:pPr>
        <w:jc w:val="both"/>
        <w:rPr>
          <w:rFonts w:ascii="Verdana" w:hAnsi="Verdana"/>
          <w:sz w:val="22"/>
          <w:szCs w:val="22"/>
        </w:rPr>
      </w:pPr>
      <w:r w:rsidRPr="008A0CC8">
        <w:rPr>
          <w:rFonts w:ascii="Verdana" w:hAnsi="Verdana"/>
          <w:sz w:val="22"/>
          <w:szCs w:val="22"/>
        </w:rPr>
        <w:t xml:space="preserve">¿Quién es la Autoridad Administrativa competente para conocer de un Proceso Administrativo de Restablecimiento de Derechos de un menor de edad que por su perfil de discapacidad fue necesario ubicarlo en una institución en </w:t>
      </w:r>
      <w:proofErr w:type="gramStart"/>
      <w:r w:rsidRPr="008A0CC8">
        <w:rPr>
          <w:rFonts w:ascii="Verdana" w:hAnsi="Verdana"/>
          <w:sz w:val="22"/>
          <w:szCs w:val="22"/>
        </w:rPr>
        <w:t>Bogotá</w:t>
      </w:r>
      <w:proofErr w:type="gramEnd"/>
      <w:r w:rsidRPr="008A0CC8">
        <w:rPr>
          <w:rFonts w:ascii="Verdana" w:hAnsi="Verdana"/>
          <w:sz w:val="22"/>
          <w:szCs w:val="22"/>
        </w:rPr>
        <w:t xml:space="preserve"> pero su familia reside en Guaviare?</w:t>
      </w:r>
    </w:p>
    <w:p w14:paraId="27A25D10" w14:textId="77777777" w:rsidR="008A0CC8" w:rsidRPr="008A0CC8" w:rsidRDefault="008A0CC8" w:rsidP="008A0CC8">
      <w:pPr>
        <w:jc w:val="both"/>
        <w:rPr>
          <w:rFonts w:ascii="Verdana" w:hAnsi="Verdana"/>
          <w:sz w:val="22"/>
          <w:szCs w:val="22"/>
        </w:rPr>
      </w:pPr>
      <w:r w:rsidRPr="008A0CC8">
        <w:rPr>
          <w:rFonts w:ascii="Verdana" w:hAnsi="Verdana"/>
          <w:b/>
          <w:bCs/>
          <w:sz w:val="22"/>
          <w:szCs w:val="22"/>
        </w:rPr>
        <w:t>2. ANÁLISIS DEL PROBLEMA JURÍDICO</w:t>
      </w:r>
    </w:p>
    <w:p w14:paraId="1AD8F7DF" w14:textId="77777777" w:rsidR="008A0CC8" w:rsidRPr="008A0CC8" w:rsidRDefault="008A0CC8" w:rsidP="008A0CC8">
      <w:pPr>
        <w:jc w:val="both"/>
        <w:rPr>
          <w:rFonts w:ascii="Verdana" w:hAnsi="Verdana"/>
          <w:sz w:val="22"/>
          <w:szCs w:val="22"/>
        </w:rPr>
      </w:pPr>
      <w:r w:rsidRPr="008A0CC8">
        <w:rPr>
          <w:rFonts w:ascii="Verdana" w:hAnsi="Verdana"/>
          <w:sz w:val="22"/>
          <w:szCs w:val="22"/>
        </w:rPr>
        <w:t>Metodológicamente, estudiaremos 2.1 Proceso Administrativo de Restablecimiento de Derechos; 2.2 La función de las autoridades administrativas en el restablecimiento de los derechos de los niños, tas niñas y los adolescentes; 2.3 La competencia de la Autoridad Administrativa; 2,4 El caso en concreto.</w:t>
      </w:r>
    </w:p>
    <w:p w14:paraId="10A9DD50" w14:textId="77777777" w:rsidR="008A0CC8" w:rsidRPr="008A0CC8" w:rsidRDefault="008A0CC8" w:rsidP="008A0CC8">
      <w:pPr>
        <w:jc w:val="both"/>
        <w:rPr>
          <w:rFonts w:ascii="Verdana" w:hAnsi="Verdana"/>
          <w:sz w:val="22"/>
          <w:szCs w:val="22"/>
        </w:rPr>
      </w:pPr>
      <w:r w:rsidRPr="008A0CC8">
        <w:rPr>
          <w:rFonts w:ascii="Verdana" w:hAnsi="Verdana"/>
          <w:b/>
          <w:bCs/>
          <w:sz w:val="22"/>
          <w:szCs w:val="22"/>
          <w:u w:val="single"/>
        </w:rPr>
        <w:t>2.1 Proceso Administrativo de Restablecimiento de Derechos</w:t>
      </w:r>
    </w:p>
    <w:p w14:paraId="5F9BFB7C" w14:textId="56A662E7" w:rsidR="008A0CC8" w:rsidRPr="008A0CC8" w:rsidRDefault="008A0CC8" w:rsidP="008A0CC8">
      <w:pPr>
        <w:jc w:val="both"/>
        <w:rPr>
          <w:rFonts w:ascii="Verdana" w:hAnsi="Verdana"/>
          <w:sz w:val="22"/>
          <w:szCs w:val="22"/>
        </w:rPr>
      </w:pPr>
      <w:r w:rsidRPr="008A0CC8">
        <w:rPr>
          <w:rFonts w:ascii="Verdana" w:hAnsi="Verdana"/>
          <w:sz w:val="22"/>
          <w:szCs w:val="22"/>
        </w:rPr>
        <w:t>El Proceso Administrativo de Restablecimiento de los Derechos de los niños, niñas y adolescentes es “(…) conjunto de actuaciones administrativas y de otra naturaleza, que la autoridad competente debe desarrollar para la restauración de su dignidad e integridad como Sujetos de Derechos, y de su capacidad para disfrutar efectivamente de los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r w:rsidRPr="008A0CC8">
        <w:rPr>
          <w:rFonts w:ascii="Verdana" w:hAnsi="Verdana"/>
          <w:b/>
          <w:bCs/>
          <w:sz w:val="22"/>
          <w:szCs w:val="22"/>
          <w:vertAlign w:val="superscript"/>
        </w:rPr>
        <w:t>[1]</w:t>
      </w:r>
    </w:p>
    <w:p w14:paraId="7E0BB170" w14:textId="77777777" w:rsidR="008A0CC8" w:rsidRPr="008A0CC8" w:rsidRDefault="008A0CC8" w:rsidP="008A0CC8">
      <w:pPr>
        <w:jc w:val="both"/>
        <w:rPr>
          <w:rFonts w:ascii="Verdana" w:hAnsi="Verdana"/>
          <w:sz w:val="22"/>
          <w:szCs w:val="22"/>
        </w:rPr>
      </w:pPr>
      <w:r w:rsidRPr="008A0CC8">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8A0CC8">
        <w:rPr>
          <w:rFonts w:ascii="Verdana" w:hAnsi="Verdana"/>
          <w:sz w:val="22"/>
          <w:szCs w:val="22"/>
        </w:rPr>
        <w:t>Ley,</w:t>
      </w:r>
      <w:proofErr w:type="gramEnd"/>
      <w:r w:rsidRPr="008A0CC8">
        <w:rPr>
          <w:rFonts w:ascii="Verdana" w:hAnsi="Verdana"/>
          <w:sz w:val="22"/>
          <w:szCs w:val="22"/>
        </w:rPr>
        <w:t xml:space="preserve"> restablezcan a los niños, las niñas y los adolescentes el ejercicio pleno y efectivo de sus derechos.</w:t>
      </w:r>
    </w:p>
    <w:p w14:paraId="21A31D63" w14:textId="77777777" w:rsidR="008A0CC8" w:rsidRPr="008A0CC8" w:rsidRDefault="008A0CC8" w:rsidP="008A0CC8">
      <w:pPr>
        <w:jc w:val="both"/>
        <w:rPr>
          <w:rFonts w:ascii="Verdana" w:hAnsi="Verdana"/>
          <w:sz w:val="22"/>
          <w:szCs w:val="22"/>
        </w:rPr>
      </w:pPr>
      <w:proofErr w:type="gramStart"/>
      <w:r w:rsidRPr="008A0CC8">
        <w:rPr>
          <w:rFonts w:ascii="Verdana" w:hAnsi="Verdana"/>
          <w:sz w:val="22"/>
          <w:szCs w:val="22"/>
        </w:rPr>
        <w:lastRenderedPageBreak/>
        <w:t>Las medidas de restablecimiento da</w:t>
      </w:r>
      <w:proofErr w:type="gramEnd"/>
      <w:r w:rsidRPr="008A0CC8">
        <w:rPr>
          <w:rFonts w:ascii="Verdana" w:hAnsi="Verdana"/>
          <w:sz w:val="22"/>
          <w:szCs w:val="22"/>
        </w:rPr>
        <w:t xml:space="preserve"> derechos son decisiones de naturaleza administrativa que decreta la autoridad competente para garantizar y restablecer el ejercido de los derechos de los niños, niñas y adolescentes. Pueden ser provisionales o definitivas, y deberán ser acordes con el derecho amenazado o vulnerado, garantizando, en primer término, el derecho del menor de edad a permanecer en el medio familiar.</w:t>
      </w:r>
    </w:p>
    <w:p w14:paraId="09AB10A5" w14:textId="652A55F0" w:rsidR="008A0CC8" w:rsidRPr="008A0CC8" w:rsidRDefault="008A0CC8" w:rsidP="008A0CC8">
      <w:pPr>
        <w:jc w:val="both"/>
        <w:rPr>
          <w:rFonts w:ascii="Verdana" w:hAnsi="Verdana"/>
          <w:sz w:val="22"/>
          <w:szCs w:val="22"/>
        </w:rPr>
      </w:pPr>
      <w:r w:rsidRPr="008A0CC8">
        <w:rPr>
          <w:rFonts w:ascii="Verdana" w:hAnsi="Verdana"/>
          <w:sz w:val="22"/>
          <w:szCs w:val="22"/>
        </w:rPr>
        <w:t xml:space="preserve">El artículo 100 del Código de la Infancia y la Adolescencia, establece que la actuación administrativa deberá resolverse dentro de los cuatro (4) meses siguientes a la fecha de la presentación de la solicitud o la apertura oficiosa de la </w:t>
      </w:r>
      <w:proofErr w:type="gramStart"/>
      <w:r w:rsidRPr="008A0CC8">
        <w:rPr>
          <w:rFonts w:ascii="Verdana" w:hAnsi="Verdana"/>
          <w:sz w:val="22"/>
          <w:szCs w:val="22"/>
        </w:rPr>
        <w:t>investigación</w:t>
      </w:r>
      <w:r w:rsidRPr="008A0CC8">
        <w:rPr>
          <w:rFonts w:ascii="Verdana" w:hAnsi="Verdana"/>
          <w:b/>
          <w:bCs/>
          <w:sz w:val="22"/>
          <w:szCs w:val="22"/>
          <w:vertAlign w:val="superscript"/>
        </w:rPr>
        <w:t>[</w:t>
      </w:r>
      <w:proofErr w:type="gramEnd"/>
      <w:r w:rsidRPr="008A0CC8">
        <w:rPr>
          <w:rFonts w:ascii="Verdana" w:hAnsi="Verdana"/>
          <w:b/>
          <w:bCs/>
          <w:sz w:val="22"/>
          <w:szCs w:val="22"/>
          <w:vertAlign w:val="superscript"/>
        </w:rPr>
        <w:t>2]</w:t>
      </w:r>
      <w:r w:rsidRPr="008A0CC8">
        <w:rPr>
          <w:rFonts w:ascii="Verdana" w:hAnsi="Verdana"/>
          <w:sz w:val="22"/>
          <w:szCs w:val="22"/>
        </w:rPr>
        <w:t xml:space="preserve"> y el recurso de reposición que contra el fallo se presente deberá ser resuelto dentro de los diez (10) días siguientes al vencimiento del término para interponerlo. Vencido el término para fallar o para resolver el recurso de reposición sin haberse emitido la decisión correspondiente, la autoridad administrativa perderá competencia para seguir conociendo del asunto y remitirá inmediatamente el expediente al Juez de Familia, para que de oficio adelante la actuación o el proceso respectivo, teniendo éste el deber de informar a la Procuraduría General de la Nación de </w:t>
      </w:r>
      <w:proofErr w:type="gramStart"/>
      <w:r w:rsidRPr="008A0CC8">
        <w:rPr>
          <w:rFonts w:ascii="Verdana" w:hAnsi="Verdana"/>
          <w:sz w:val="22"/>
          <w:szCs w:val="22"/>
        </w:rPr>
        <w:t>dichas situación</w:t>
      </w:r>
      <w:proofErr w:type="gramEnd"/>
      <w:r w:rsidRPr="008A0CC8">
        <w:rPr>
          <w:rFonts w:ascii="Verdana" w:hAnsi="Verdana"/>
          <w:sz w:val="22"/>
          <w:szCs w:val="22"/>
        </w:rPr>
        <w:t>.</w:t>
      </w:r>
    </w:p>
    <w:p w14:paraId="02AA4DD5" w14:textId="4A5BF4C1" w:rsidR="008A0CC8" w:rsidRPr="008A0CC8" w:rsidRDefault="008A0CC8" w:rsidP="008A0CC8">
      <w:pPr>
        <w:jc w:val="both"/>
        <w:rPr>
          <w:rFonts w:ascii="Verdana" w:hAnsi="Verdana"/>
          <w:sz w:val="22"/>
          <w:szCs w:val="22"/>
        </w:rPr>
      </w:pPr>
      <w:r w:rsidRPr="008A0CC8">
        <w:rPr>
          <w:rFonts w:ascii="Verdana" w:hAnsi="Verdana"/>
          <w:sz w:val="22"/>
          <w:szCs w:val="22"/>
        </w:rPr>
        <w:t>De otra parte, en el parágrafo del artículo 11 de la Ley 1098 de 2006 se indica que el Instituto Colombiano de Bienestar Familiar como ente coordinador del Sistema Nacional de Bienestar Familiar definirá los lineamientos técnicos que las entidades deben cumplir para garantizar y asegurar el restablecimiento de los derechos de los niños, las niñas y los adolescentes.</w:t>
      </w:r>
    </w:p>
    <w:p w14:paraId="5A788738" w14:textId="77777777" w:rsidR="008A0CC8" w:rsidRPr="008A0CC8" w:rsidRDefault="008A0CC8" w:rsidP="008A0CC8">
      <w:pPr>
        <w:jc w:val="both"/>
        <w:rPr>
          <w:rFonts w:ascii="Verdana" w:hAnsi="Verdana"/>
          <w:sz w:val="22"/>
          <w:szCs w:val="22"/>
        </w:rPr>
      </w:pPr>
      <w:r w:rsidRPr="008A0CC8">
        <w:rPr>
          <w:rFonts w:ascii="Verdana" w:hAnsi="Verdana"/>
          <w:b/>
          <w:bCs/>
          <w:sz w:val="22"/>
          <w:szCs w:val="22"/>
          <w:u w:val="single"/>
        </w:rPr>
        <w:t>2.2. La función de las autoridades administrativas en el restablecimiento de los derechos de los niños, las niñas y los adolescentes</w:t>
      </w:r>
    </w:p>
    <w:p w14:paraId="5CE85AF1" w14:textId="77777777" w:rsidR="008A0CC8" w:rsidRPr="008A0CC8" w:rsidRDefault="008A0CC8" w:rsidP="008A0CC8">
      <w:pPr>
        <w:jc w:val="both"/>
        <w:rPr>
          <w:rFonts w:ascii="Verdana" w:hAnsi="Verdana"/>
          <w:sz w:val="22"/>
          <w:szCs w:val="22"/>
        </w:rPr>
      </w:pPr>
      <w:r w:rsidRPr="008A0CC8">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58F5BA19" w14:textId="77777777" w:rsidR="008A0CC8" w:rsidRPr="008A0CC8" w:rsidRDefault="008A0CC8" w:rsidP="008A0CC8">
      <w:pPr>
        <w:jc w:val="both"/>
        <w:rPr>
          <w:rFonts w:ascii="Verdana" w:hAnsi="Verdana"/>
          <w:sz w:val="22"/>
          <w:szCs w:val="22"/>
        </w:rPr>
      </w:pPr>
      <w:r w:rsidRPr="008A0CC8">
        <w:rPr>
          <w:rFonts w:ascii="Verdana" w:hAnsi="Verdana"/>
          <w:sz w:val="22"/>
          <w:szCs w:val="22"/>
        </w:rPr>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65F13629" w14:textId="346357CC" w:rsidR="008A0CC8" w:rsidRPr="008A0CC8" w:rsidRDefault="008A0CC8" w:rsidP="008A0CC8">
      <w:pPr>
        <w:jc w:val="both"/>
        <w:rPr>
          <w:rFonts w:ascii="Verdana" w:hAnsi="Verdana"/>
          <w:sz w:val="22"/>
          <w:szCs w:val="22"/>
        </w:rPr>
      </w:pPr>
      <w:r w:rsidRPr="008A0CC8">
        <w:rPr>
          <w:rFonts w:ascii="Verdana" w:hAnsi="Verdana"/>
          <w:sz w:val="22"/>
          <w:szCs w:val="22"/>
        </w:rPr>
        <w:t>La normatividad establecida en el Código de la Infancia y la Adolescencia aplica para todos los niños, niñas y adolescentes nacionales o extranjeros que se encuentren en el país, a los nacionales que se encuentren fuera del país y a aquellos con doble nacionalidad cuando una de ellas sea colombiana.</w:t>
      </w:r>
      <w:r w:rsidRPr="008A0CC8">
        <w:rPr>
          <w:rFonts w:ascii="Verdana" w:hAnsi="Verdana"/>
          <w:b/>
          <w:bCs/>
          <w:sz w:val="22"/>
          <w:szCs w:val="22"/>
          <w:vertAlign w:val="superscript"/>
        </w:rPr>
        <w:t>[3]</w:t>
      </w:r>
    </w:p>
    <w:p w14:paraId="71B79E01" w14:textId="77777777" w:rsidR="008A0CC8" w:rsidRPr="008A0CC8" w:rsidRDefault="008A0CC8" w:rsidP="008A0CC8">
      <w:pPr>
        <w:jc w:val="both"/>
        <w:rPr>
          <w:rFonts w:ascii="Verdana" w:hAnsi="Verdana"/>
          <w:sz w:val="22"/>
          <w:szCs w:val="22"/>
        </w:rPr>
      </w:pPr>
      <w:r w:rsidRPr="008A0CC8">
        <w:rPr>
          <w:rFonts w:ascii="Verdana" w:hAnsi="Verdana"/>
          <w:sz w:val="22"/>
          <w:szCs w:val="22"/>
        </w:rPr>
        <w:lastRenderedPageBreak/>
        <w:t>Al respecto, la Corte Constitucional precisó con relación al Código de la Infancia y la Adolescencia que:</w:t>
      </w:r>
    </w:p>
    <w:p w14:paraId="2C3587C6" w14:textId="20163843" w:rsidR="008A0CC8" w:rsidRPr="008A0CC8" w:rsidRDefault="008A0CC8" w:rsidP="008A0CC8">
      <w:pPr>
        <w:jc w:val="both"/>
        <w:rPr>
          <w:rFonts w:ascii="Verdana" w:hAnsi="Verdana"/>
          <w:sz w:val="22"/>
          <w:szCs w:val="22"/>
        </w:rPr>
      </w:pPr>
      <w:r w:rsidRPr="008A0CC8">
        <w:rPr>
          <w:rFonts w:ascii="Verdana" w:hAnsi="Verdana"/>
          <w:sz w:val="22"/>
          <w:szCs w:val="22"/>
        </w:rPr>
        <w:t>“El propio ordenamiento establece que sus normas son de orden público, de carácter irrenunciable y preferente</w:t>
      </w:r>
      <w:r w:rsidRPr="008A0CC8">
        <w:rPr>
          <w:rFonts w:ascii="Verdana" w:hAnsi="Verdana"/>
          <w:b/>
          <w:bCs/>
          <w:sz w:val="22"/>
          <w:szCs w:val="22"/>
        </w:rPr>
        <w:t>, l</w:t>
      </w:r>
      <w:r w:rsidRPr="008A0CC8">
        <w:rPr>
          <w:rFonts w:ascii="Verdana" w:hAnsi="Verdana"/>
          <w:sz w:val="22"/>
          <w:szCs w:val="22"/>
        </w:rPr>
        <w:t>as cuates a su vez deben ser interpretadas y aplicadas de acuerdo con la Constitución Política y los Tratados de Derechos Humanos ratificados por Colombia, en especial, por la Convención sobre los Derechos del Niño</w:t>
      </w:r>
      <w:r w:rsidRPr="008A0CC8">
        <w:rPr>
          <w:rFonts w:ascii="Verdana" w:hAnsi="Verdana"/>
          <w:b/>
          <w:bCs/>
          <w:sz w:val="22"/>
          <w:szCs w:val="22"/>
        </w:rPr>
        <w:t>, </w:t>
      </w:r>
      <w:r w:rsidRPr="008A0CC8">
        <w:rPr>
          <w:rFonts w:ascii="Verdana" w:hAnsi="Verdana"/>
          <w:sz w:val="22"/>
          <w:szCs w:val="22"/>
        </w:rPr>
        <w:t>ordenamientos que se entienden además integrados al citado código (arts. 5o y 6o)”.</w:t>
      </w:r>
      <w:r w:rsidRPr="008A0CC8">
        <w:rPr>
          <w:rFonts w:ascii="Verdana" w:hAnsi="Verdana"/>
          <w:b/>
          <w:bCs/>
          <w:sz w:val="22"/>
          <w:szCs w:val="22"/>
          <w:vertAlign w:val="superscript"/>
        </w:rPr>
        <w:t>[4]</w:t>
      </w:r>
    </w:p>
    <w:p w14:paraId="1CA670B4" w14:textId="77777777" w:rsidR="008A0CC8" w:rsidRPr="008A0CC8" w:rsidRDefault="008A0CC8" w:rsidP="008A0CC8">
      <w:pPr>
        <w:jc w:val="both"/>
        <w:rPr>
          <w:rFonts w:ascii="Verdana" w:hAnsi="Verdana"/>
          <w:sz w:val="22"/>
          <w:szCs w:val="22"/>
        </w:rPr>
      </w:pPr>
      <w:r w:rsidRPr="008A0CC8">
        <w:rPr>
          <w:rFonts w:ascii="Verdana" w:hAnsi="Verdana"/>
          <w:sz w:val="22"/>
          <w:szCs w:val="22"/>
        </w:rPr>
        <w:t>En el capítulo III de dicho Código se establece cuáles son las autoridades competentes para el restablecimiento de los derechos de los niños, las niñas y los adolescentes, cuya función primordial es prevenir, garantizar y restablecer los derechos de los menores de edad.</w:t>
      </w:r>
    </w:p>
    <w:p w14:paraId="383E5E97" w14:textId="77777777" w:rsidR="008A0CC8" w:rsidRPr="008A0CC8" w:rsidRDefault="008A0CC8" w:rsidP="008A0CC8">
      <w:pPr>
        <w:jc w:val="both"/>
        <w:rPr>
          <w:rFonts w:ascii="Verdana" w:hAnsi="Verdana"/>
          <w:sz w:val="22"/>
          <w:szCs w:val="22"/>
        </w:rPr>
      </w:pPr>
      <w:r w:rsidRPr="008A0CC8">
        <w:rPr>
          <w:rFonts w:ascii="Verdana" w:hAnsi="Verdana"/>
          <w:sz w:val="22"/>
          <w:szCs w:val="22"/>
        </w:rPr>
        <w:t>Al respecto, la Corte Constitucional indicó</w:t>
      </w:r>
    </w:p>
    <w:p w14:paraId="4BBF9F58" w14:textId="6BC2B4A1" w:rsidR="008A0CC8" w:rsidRPr="008A0CC8" w:rsidRDefault="008A0CC8" w:rsidP="008A0CC8">
      <w:pPr>
        <w:jc w:val="both"/>
        <w:rPr>
          <w:rFonts w:ascii="Verdana" w:hAnsi="Verdana"/>
          <w:sz w:val="22"/>
          <w:szCs w:val="22"/>
        </w:rPr>
      </w:pPr>
      <w:r w:rsidRPr="008A0CC8">
        <w:rPr>
          <w:rFonts w:ascii="Verdana" w:hAnsi="Verdana"/>
          <w:sz w:val="22"/>
          <w:szCs w:val="22"/>
        </w:rPr>
        <w:t xml:space="preserve">“(...) los artículos 81, 82 y 85 de la Ley 1098 de 2006 señalan los deberes y las funciones del defensor y del comisario de familia, siendo evidente que la misión encomendada es garantizar, proteger y restablecer los derechos prevalecientes de los menores de </w:t>
      </w:r>
      <w:proofErr w:type="gramStart"/>
      <w:r w:rsidRPr="008A0CC8">
        <w:rPr>
          <w:rFonts w:ascii="Verdana" w:hAnsi="Verdana"/>
          <w:sz w:val="22"/>
          <w:szCs w:val="22"/>
        </w:rPr>
        <w:t>edad”</w:t>
      </w:r>
      <w:r w:rsidRPr="008A0CC8">
        <w:rPr>
          <w:rFonts w:ascii="Verdana" w:hAnsi="Verdana"/>
          <w:b/>
          <w:bCs/>
          <w:sz w:val="22"/>
          <w:szCs w:val="22"/>
          <w:vertAlign w:val="superscript"/>
        </w:rPr>
        <w:t>[</w:t>
      </w:r>
      <w:proofErr w:type="gramEnd"/>
      <w:r w:rsidRPr="008A0CC8">
        <w:rPr>
          <w:rFonts w:ascii="Verdana" w:hAnsi="Verdana"/>
          <w:b/>
          <w:bCs/>
          <w:sz w:val="22"/>
          <w:szCs w:val="22"/>
          <w:vertAlign w:val="superscript"/>
        </w:rPr>
        <w:t>5]</w:t>
      </w:r>
    </w:p>
    <w:p w14:paraId="1150E0AB" w14:textId="4E69EF0A" w:rsidR="008A0CC8" w:rsidRPr="008A0CC8" w:rsidRDefault="008A0CC8" w:rsidP="008A0CC8">
      <w:pPr>
        <w:jc w:val="both"/>
        <w:rPr>
          <w:rFonts w:ascii="Verdana" w:hAnsi="Verdana"/>
          <w:sz w:val="22"/>
          <w:szCs w:val="22"/>
        </w:rPr>
      </w:pPr>
      <w:r w:rsidRPr="008A0CC8">
        <w:rPr>
          <w:rFonts w:ascii="Verdana" w:hAnsi="Verdana"/>
          <w:sz w:val="22"/>
          <w:szCs w:val="22"/>
        </w:rPr>
        <w:t>En efecto, en el artículo 96 de la Ley 1098 de 2006 se contempla que</w:t>
      </w:r>
    </w:p>
    <w:p w14:paraId="66C7B099" w14:textId="77777777" w:rsidR="008A0CC8" w:rsidRPr="008A0CC8" w:rsidRDefault="008A0CC8" w:rsidP="008A0CC8">
      <w:pPr>
        <w:jc w:val="both"/>
        <w:rPr>
          <w:rFonts w:ascii="Verdana" w:hAnsi="Verdana"/>
          <w:sz w:val="22"/>
          <w:szCs w:val="22"/>
        </w:rPr>
      </w:pPr>
      <w:r w:rsidRPr="008A0CC8">
        <w:rPr>
          <w:rFonts w:ascii="Verdana" w:hAnsi="Verdana"/>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15CECB6E" w14:textId="77777777" w:rsidR="008A0CC8" w:rsidRPr="008A0CC8" w:rsidRDefault="008A0CC8" w:rsidP="008A0CC8">
      <w:pPr>
        <w:jc w:val="both"/>
        <w:rPr>
          <w:rFonts w:ascii="Verdana" w:hAnsi="Verdana"/>
          <w:sz w:val="22"/>
          <w:szCs w:val="22"/>
        </w:rPr>
      </w:pPr>
      <w:r w:rsidRPr="008A0CC8">
        <w:rPr>
          <w:rFonts w:ascii="Verdana" w:hAnsi="Verdana"/>
          <w:b/>
          <w:bCs/>
          <w:sz w:val="22"/>
          <w:szCs w:val="22"/>
          <w:u w:val="single"/>
        </w:rPr>
        <w:t>2.3. La competencia de la Autoridad Administrativa</w:t>
      </w:r>
    </w:p>
    <w:p w14:paraId="395EF960" w14:textId="77777777" w:rsidR="008A0CC8" w:rsidRPr="008A0CC8" w:rsidRDefault="008A0CC8" w:rsidP="008A0CC8">
      <w:pPr>
        <w:jc w:val="both"/>
        <w:rPr>
          <w:rFonts w:ascii="Verdana" w:hAnsi="Verdana"/>
          <w:sz w:val="22"/>
          <w:szCs w:val="22"/>
        </w:rPr>
      </w:pPr>
      <w:r w:rsidRPr="008A0CC8">
        <w:rPr>
          <w:rFonts w:ascii="Verdana" w:hAnsi="Verdana"/>
          <w:sz w:val="22"/>
          <w:szCs w:val="22"/>
        </w:rPr>
        <w:t>En este punto es importante iniciar precisando que la competencia administrativa es la atribución que la ley le otorga a algunas personas u órganos del Estado para conocer y decidir determinados asuntos de la administración pública.</w:t>
      </w:r>
    </w:p>
    <w:p w14:paraId="0B91BD7B" w14:textId="77777777" w:rsidR="008A0CC8" w:rsidRPr="008A0CC8" w:rsidRDefault="008A0CC8" w:rsidP="008A0CC8">
      <w:pPr>
        <w:jc w:val="both"/>
        <w:rPr>
          <w:rFonts w:ascii="Verdana" w:hAnsi="Verdana"/>
          <w:sz w:val="22"/>
          <w:szCs w:val="22"/>
        </w:rPr>
      </w:pPr>
      <w:r w:rsidRPr="008A0CC8">
        <w:rPr>
          <w:rFonts w:ascii="Verdana" w:hAnsi="Verdana"/>
          <w:sz w:val="22"/>
          <w:szCs w:val="22"/>
        </w:rPr>
        <w:t>Generalmente, la actividad que desarrollan las autoridades administrativas está determinada por la ley, sin embargo, en algunos casos puede presentarse en su ejercicio conflicto entre ellas, bien porque consideren de su competencia el conocimiento de un asunto determinado o porque estiman lo contrario.</w:t>
      </w:r>
    </w:p>
    <w:p w14:paraId="711ED6D8" w14:textId="0C5D508E" w:rsidR="008A0CC8" w:rsidRPr="008A0CC8" w:rsidRDefault="008A0CC8" w:rsidP="008A0CC8">
      <w:pPr>
        <w:jc w:val="both"/>
        <w:rPr>
          <w:rFonts w:ascii="Verdana" w:hAnsi="Verdana"/>
          <w:sz w:val="22"/>
          <w:szCs w:val="22"/>
        </w:rPr>
      </w:pPr>
      <w:r w:rsidRPr="008A0CC8">
        <w:rPr>
          <w:rFonts w:ascii="Verdana" w:hAnsi="Verdana"/>
          <w:sz w:val="22"/>
          <w:szCs w:val="22"/>
        </w:rPr>
        <w:t>Ahora, específicamente respecto a la competencia de las autoridades administrativas, el artículo 96 de la Ley 1098 de 2006, dispone que:</w:t>
      </w:r>
    </w:p>
    <w:p w14:paraId="47252164" w14:textId="77777777" w:rsidR="008A0CC8" w:rsidRPr="008A0CC8" w:rsidRDefault="008A0CC8" w:rsidP="008A0CC8">
      <w:pPr>
        <w:jc w:val="both"/>
        <w:rPr>
          <w:rFonts w:ascii="Verdana" w:hAnsi="Verdana"/>
          <w:sz w:val="22"/>
          <w:szCs w:val="22"/>
        </w:rPr>
      </w:pPr>
      <w:r w:rsidRPr="008A0CC8">
        <w:rPr>
          <w:rFonts w:ascii="Verdana" w:hAnsi="Verdana"/>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767EDC28" w14:textId="77777777" w:rsidR="008A0CC8" w:rsidRPr="008A0CC8" w:rsidRDefault="008A0CC8" w:rsidP="008A0CC8">
      <w:pPr>
        <w:jc w:val="both"/>
        <w:rPr>
          <w:rFonts w:ascii="Verdana" w:hAnsi="Verdana"/>
          <w:sz w:val="22"/>
          <w:szCs w:val="22"/>
        </w:rPr>
      </w:pPr>
      <w:r w:rsidRPr="008A0CC8">
        <w:rPr>
          <w:rFonts w:ascii="Verdana" w:hAnsi="Verdana"/>
          <w:sz w:val="22"/>
          <w:szCs w:val="22"/>
        </w:rPr>
        <w:lastRenderedPageBreak/>
        <w:t>El seguimiento de las medidas de protección o de restablecimiento adoptadas por los Defensores y Comisarios de Familia estará a cargo del respectivo coordinador del centro zonal del Instituto Colombiano de Bienestar Familiar.</w:t>
      </w:r>
    </w:p>
    <w:p w14:paraId="7BD0DAC5" w14:textId="087C293A" w:rsidR="008A0CC8" w:rsidRPr="008A0CC8" w:rsidRDefault="008A0CC8" w:rsidP="008A0CC8">
      <w:pPr>
        <w:jc w:val="both"/>
        <w:rPr>
          <w:rFonts w:ascii="Verdana" w:hAnsi="Verdana"/>
          <w:sz w:val="22"/>
          <w:szCs w:val="22"/>
        </w:rPr>
      </w:pPr>
      <w:r w:rsidRPr="008A0CC8">
        <w:rPr>
          <w:rFonts w:ascii="Verdana" w:hAnsi="Verdana"/>
          <w:sz w:val="22"/>
          <w:szCs w:val="22"/>
        </w:rPr>
        <w:t>Por su parte, el artículo 97 </w:t>
      </w:r>
      <w:proofErr w:type="spellStart"/>
      <w:r w:rsidRPr="008A0CC8">
        <w:rPr>
          <w:rFonts w:ascii="Verdana" w:hAnsi="Verdana"/>
          <w:sz w:val="22"/>
          <w:szCs w:val="22"/>
        </w:rPr>
        <w:t>ibídem</w:t>
      </w:r>
      <w:proofErr w:type="spellEnd"/>
      <w:r w:rsidRPr="008A0CC8">
        <w:rPr>
          <w:rFonts w:ascii="Verdana" w:hAnsi="Verdana"/>
          <w:sz w:val="22"/>
          <w:szCs w:val="22"/>
        </w:rPr>
        <w:t xml:space="preserve"> establece la competencia de </w:t>
      </w:r>
      <w:proofErr w:type="gramStart"/>
      <w:r w:rsidRPr="008A0CC8">
        <w:rPr>
          <w:rFonts w:ascii="Verdana" w:hAnsi="Verdana"/>
          <w:sz w:val="22"/>
          <w:szCs w:val="22"/>
        </w:rPr>
        <w:t>éstos</w:t>
      </w:r>
      <w:proofErr w:type="gramEnd"/>
      <w:r w:rsidRPr="008A0CC8">
        <w:rPr>
          <w:rFonts w:ascii="Verdana" w:hAnsi="Verdana"/>
          <w:sz w:val="22"/>
          <w:szCs w:val="22"/>
        </w:rPr>
        <w:t xml:space="preserve"> funcionarios así:</w:t>
      </w:r>
    </w:p>
    <w:p w14:paraId="1665BBAB" w14:textId="77777777" w:rsidR="008A0CC8" w:rsidRPr="008A0CC8" w:rsidRDefault="008A0CC8" w:rsidP="008A0CC8">
      <w:pPr>
        <w:jc w:val="both"/>
        <w:rPr>
          <w:rFonts w:ascii="Verdana" w:hAnsi="Verdana"/>
          <w:sz w:val="22"/>
          <w:szCs w:val="22"/>
        </w:rPr>
      </w:pPr>
      <w:r w:rsidRPr="008A0CC8">
        <w:rPr>
          <w:rFonts w:ascii="Verdana" w:hAnsi="Verdana"/>
          <w:sz w:val="22"/>
          <w:szCs w:val="22"/>
        </w:rPr>
        <w:t>Será competente la autoridad del lugar donde se encuentre el niño, la niña o el adolescente; pero cuando se encuentre fuera del país, será competente la autoridad del lugar en donde se haya tenido su última residencia dentro del territorio nacional.</w:t>
      </w:r>
    </w:p>
    <w:p w14:paraId="57DD4B96" w14:textId="77777777" w:rsidR="008A0CC8" w:rsidRPr="008A0CC8" w:rsidRDefault="008A0CC8" w:rsidP="008A0CC8">
      <w:pPr>
        <w:jc w:val="both"/>
        <w:rPr>
          <w:rFonts w:ascii="Verdana" w:hAnsi="Verdana"/>
          <w:sz w:val="22"/>
          <w:szCs w:val="22"/>
        </w:rPr>
      </w:pPr>
      <w:r w:rsidRPr="008A0CC8">
        <w:rPr>
          <w:rFonts w:ascii="Verdana" w:hAnsi="Verdana"/>
          <w:sz w:val="22"/>
          <w:szCs w:val="22"/>
        </w:rPr>
        <w:t xml:space="preserve">De acuerdo con las anteriores disposiciones, es claro </w:t>
      </w:r>
      <w:proofErr w:type="gramStart"/>
      <w:r w:rsidRPr="008A0CC8">
        <w:rPr>
          <w:rFonts w:ascii="Verdana" w:hAnsi="Verdana"/>
          <w:sz w:val="22"/>
          <w:szCs w:val="22"/>
        </w:rPr>
        <w:t>que</w:t>
      </w:r>
      <w:proofErr w:type="gramEnd"/>
      <w:r w:rsidRPr="008A0CC8">
        <w:rPr>
          <w:rFonts w:ascii="Verdana" w:hAnsi="Verdana"/>
          <w:sz w:val="22"/>
          <w:szCs w:val="22"/>
        </w:rPr>
        <w:t xml:space="preserve"> en materia de infancia y adolescencia, la autoridad administrativa competente para conocer del proceso Administrativo de Restablecimiento de Derechos es la del </w:t>
      </w:r>
      <w:r w:rsidRPr="008A0CC8">
        <w:rPr>
          <w:rFonts w:ascii="Verdana" w:hAnsi="Verdana"/>
          <w:b/>
          <w:bCs/>
          <w:sz w:val="22"/>
          <w:szCs w:val="22"/>
          <w:u w:val="single"/>
        </w:rPr>
        <w:t>lugar donde se encuentre el niño, niña o adolescente.</w:t>
      </w:r>
    </w:p>
    <w:p w14:paraId="5FA9A9BC" w14:textId="77777777" w:rsidR="008A0CC8" w:rsidRPr="008A0CC8" w:rsidRDefault="008A0CC8" w:rsidP="008A0CC8">
      <w:pPr>
        <w:jc w:val="both"/>
        <w:rPr>
          <w:rFonts w:ascii="Verdana" w:hAnsi="Verdana"/>
          <w:sz w:val="22"/>
          <w:szCs w:val="22"/>
        </w:rPr>
      </w:pPr>
      <w:r w:rsidRPr="008A0CC8">
        <w:rPr>
          <w:rFonts w:ascii="Verdana" w:hAnsi="Verdana"/>
          <w:b/>
          <w:bCs/>
          <w:sz w:val="22"/>
          <w:szCs w:val="22"/>
          <w:u w:val="single"/>
        </w:rPr>
        <w:t>2.4. El caso en concreto</w:t>
      </w:r>
    </w:p>
    <w:p w14:paraId="0AE16EE3" w14:textId="77777777" w:rsidR="008A0CC8" w:rsidRPr="008A0CC8" w:rsidRDefault="008A0CC8" w:rsidP="008A0CC8">
      <w:pPr>
        <w:jc w:val="both"/>
        <w:rPr>
          <w:rFonts w:ascii="Verdana" w:hAnsi="Verdana"/>
          <w:sz w:val="22"/>
          <w:szCs w:val="22"/>
        </w:rPr>
      </w:pPr>
      <w:r w:rsidRPr="008A0CC8">
        <w:rPr>
          <w:rFonts w:ascii="Verdana" w:hAnsi="Verdana"/>
          <w:sz w:val="22"/>
          <w:szCs w:val="22"/>
        </w:rPr>
        <w:t>Es importante señalar que los artículos 96, 97 y 98 de la Ley 1096 de 2006, normas de carácter especial y prevalente, establecen la competencia para conocer del Proceso Administrativo de Restablecimiento de Derechos. De acuerdo con dichos artículos, la competencia para conocer de este proceso la tiene el Defensor de Familia o Comisario de Familia por competencia subsidiaria, del lugar </w:t>
      </w:r>
      <w:r w:rsidRPr="008A0CC8">
        <w:rPr>
          <w:rFonts w:ascii="Verdana" w:hAnsi="Verdana"/>
          <w:sz w:val="22"/>
          <w:szCs w:val="22"/>
          <w:u w:val="single"/>
        </w:rPr>
        <w:t>donde se encuentre</w:t>
      </w:r>
      <w:r w:rsidRPr="008A0CC8">
        <w:rPr>
          <w:rFonts w:ascii="Verdana" w:hAnsi="Verdana"/>
          <w:sz w:val="22"/>
          <w:szCs w:val="22"/>
        </w:rPr>
        <w:t> el niño, niña, o adolescente en el territorio nacional, o si se encuentra en el exterior, el del lugar donde haya tenido su última residencia.</w:t>
      </w:r>
    </w:p>
    <w:p w14:paraId="0567A8ED" w14:textId="77777777" w:rsidR="008A0CC8" w:rsidRPr="008A0CC8" w:rsidRDefault="008A0CC8" w:rsidP="008A0CC8">
      <w:pPr>
        <w:jc w:val="both"/>
        <w:rPr>
          <w:rFonts w:ascii="Verdana" w:hAnsi="Verdana"/>
          <w:sz w:val="22"/>
          <w:szCs w:val="22"/>
        </w:rPr>
      </w:pPr>
      <w:r w:rsidRPr="008A0CC8">
        <w:rPr>
          <w:rFonts w:ascii="Verdana" w:hAnsi="Verdana"/>
          <w:sz w:val="22"/>
          <w:szCs w:val="22"/>
        </w:rPr>
        <w:t>En este punto es pertinente aclarar que la norma en mención no hace referencia al domicilio del niño, niña y adolescente ni el de su familia, sino al tugar donde este se encuentre, independientemente de si tiene o no el ánimo de permanecer allí.</w:t>
      </w:r>
    </w:p>
    <w:p w14:paraId="74C830E2" w14:textId="77777777" w:rsidR="008A0CC8" w:rsidRPr="008A0CC8" w:rsidRDefault="008A0CC8" w:rsidP="008A0CC8">
      <w:pPr>
        <w:jc w:val="both"/>
        <w:rPr>
          <w:rFonts w:ascii="Verdana" w:hAnsi="Verdana"/>
          <w:sz w:val="22"/>
          <w:szCs w:val="22"/>
        </w:rPr>
      </w:pPr>
      <w:r w:rsidRPr="008A0CC8">
        <w:rPr>
          <w:rFonts w:ascii="Verdana" w:hAnsi="Verdana"/>
          <w:sz w:val="22"/>
          <w:szCs w:val="22"/>
        </w:rPr>
        <w:t>En el caso que se consulta, la Defensora de Familia expone que dio apertura a un Proceso Administrativo de Restablecimiento de Derechos a favor de una menor de edad que </w:t>
      </w:r>
      <w:r w:rsidRPr="008A0CC8">
        <w:rPr>
          <w:rFonts w:ascii="Verdana" w:hAnsi="Verdana"/>
          <w:sz w:val="22"/>
          <w:szCs w:val="22"/>
          <w:u w:val="single"/>
        </w:rPr>
        <w:t>actualmente se encuentra ubicada bajo el cuidado de una hermana en la ciudad de Neiva</w:t>
      </w:r>
      <w:r w:rsidRPr="008A0CC8">
        <w:rPr>
          <w:rFonts w:ascii="Verdana" w:hAnsi="Verdana"/>
          <w:sz w:val="22"/>
          <w:szCs w:val="22"/>
        </w:rPr>
        <w:t xml:space="preserve">, y </w:t>
      </w:r>
      <w:proofErr w:type="gramStart"/>
      <w:r w:rsidRPr="008A0CC8">
        <w:rPr>
          <w:rFonts w:ascii="Verdana" w:hAnsi="Verdana"/>
          <w:sz w:val="22"/>
          <w:szCs w:val="22"/>
        </w:rPr>
        <w:t>que</w:t>
      </w:r>
      <w:proofErr w:type="gramEnd"/>
      <w:r w:rsidRPr="008A0CC8">
        <w:rPr>
          <w:rFonts w:ascii="Verdana" w:hAnsi="Verdana"/>
          <w:sz w:val="22"/>
          <w:szCs w:val="22"/>
        </w:rPr>
        <w:t xml:space="preserve"> al parecer la Defensoría de Familia del Centro Zonal Neiva, argumenta no tener competencia para asumir el conocimiento del PARD.</w:t>
      </w:r>
    </w:p>
    <w:p w14:paraId="3F08556C" w14:textId="77777777" w:rsidR="008A0CC8" w:rsidRPr="008A0CC8" w:rsidRDefault="008A0CC8" w:rsidP="008A0CC8">
      <w:pPr>
        <w:jc w:val="both"/>
        <w:rPr>
          <w:rFonts w:ascii="Verdana" w:hAnsi="Verdana"/>
          <w:sz w:val="22"/>
          <w:szCs w:val="22"/>
        </w:rPr>
      </w:pPr>
      <w:r w:rsidRPr="008A0CC8">
        <w:rPr>
          <w:rFonts w:ascii="Verdana" w:hAnsi="Verdana"/>
          <w:sz w:val="22"/>
          <w:szCs w:val="22"/>
        </w:rPr>
        <w:t xml:space="preserve">Al respecto, tal y como lo hemos señalado en </w:t>
      </w:r>
      <w:proofErr w:type="gramStart"/>
      <w:r w:rsidRPr="008A0CC8">
        <w:rPr>
          <w:rFonts w:ascii="Verdana" w:hAnsi="Verdana"/>
          <w:sz w:val="22"/>
          <w:szCs w:val="22"/>
        </w:rPr>
        <w:t>éste</w:t>
      </w:r>
      <w:proofErr w:type="gramEnd"/>
      <w:r w:rsidRPr="008A0CC8">
        <w:rPr>
          <w:rFonts w:ascii="Verdana" w:hAnsi="Verdana"/>
          <w:sz w:val="22"/>
          <w:szCs w:val="22"/>
        </w:rPr>
        <w:t xml:space="preserve"> concepto, la competencia para conocer del Proceso Administrativo de Restablecimiento de Derechos la determina el lugar donde se encuentra el niño, niña o adolescente y no donde reside su familia o donde éste tiene su domicilio. Por lo anterior, se puede llegar a la conclusión sin lugar a equívocos que quien tiene la competencia para </w:t>
      </w:r>
      <w:r w:rsidRPr="008A0CC8">
        <w:rPr>
          <w:rFonts w:ascii="Verdana" w:hAnsi="Verdana"/>
          <w:sz w:val="22"/>
          <w:szCs w:val="22"/>
        </w:rPr>
        <w:lastRenderedPageBreak/>
        <w:t xml:space="preserve">continuar con el trámite del proceso de la menor de edad que aquí se consulta, es la Autoridad Administrativa donde se encuentre la menor de edad ubicado, en </w:t>
      </w:r>
      <w:proofErr w:type="gramStart"/>
      <w:r w:rsidRPr="008A0CC8">
        <w:rPr>
          <w:rFonts w:ascii="Verdana" w:hAnsi="Verdana"/>
          <w:sz w:val="22"/>
          <w:szCs w:val="22"/>
        </w:rPr>
        <w:t>éste</w:t>
      </w:r>
      <w:proofErr w:type="gramEnd"/>
      <w:r w:rsidRPr="008A0CC8">
        <w:rPr>
          <w:rFonts w:ascii="Verdana" w:hAnsi="Verdana"/>
          <w:sz w:val="22"/>
          <w:szCs w:val="22"/>
        </w:rPr>
        <w:t xml:space="preserve"> caso, sería la ciudad de Neiva </w:t>
      </w:r>
      <w:proofErr w:type="gramStart"/>
      <w:r w:rsidRPr="008A0CC8">
        <w:rPr>
          <w:rFonts w:ascii="Verdana" w:hAnsi="Verdana"/>
          <w:sz w:val="22"/>
          <w:szCs w:val="22"/>
        </w:rPr>
        <w:t>de acuerdo a</w:t>
      </w:r>
      <w:proofErr w:type="gramEnd"/>
      <w:r w:rsidRPr="008A0CC8">
        <w:rPr>
          <w:rFonts w:ascii="Verdana" w:hAnsi="Verdana"/>
          <w:sz w:val="22"/>
          <w:szCs w:val="22"/>
        </w:rPr>
        <w:t xml:space="preserve"> la información suministrada en la consulta.</w:t>
      </w:r>
    </w:p>
    <w:p w14:paraId="3DC1EBDF" w14:textId="77777777" w:rsidR="008A0CC8" w:rsidRPr="008A0CC8" w:rsidRDefault="008A0CC8" w:rsidP="008A0CC8">
      <w:pPr>
        <w:jc w:val="both"/>
        <w:rPr>
          <w:rFonts w:ascii="Verdana" w:hAnsi="Verdana"/>
          <w:sz w:val="22"/>
          <w:szCs w:val="22"/>
        </w:rPr>
      </w:pPr>
      <w:r w:rsidRPr="008A0CC8">
        <w:rPr>
          <w:rFonts w:ascii="Verdana" w:hAnsi="Verdana"/>
          <w:b/>
          <w:bCs/>
          <w:sz w:val="22"/>
          <w:szCs w:val="22"/>
        </w:rPr>
        <w:t>3. CONCLUSIONES</w:t>
      </w:r>
    </w:p>
    <w:p w14:paraId="5382A978" w14:textId="77777777" w:rsidR="008A0CC8" w:rsidRPr="008A0CC8" w:rsidRDefault="008A0CC8" w:rsidP="008A0CC8">
      <w:pPr>
        <w:jc w:val="both"/>
        <w:rPr>
          <w:rFonts w:ascii="Verdana" w:hAnsi="Verdana"/>
          <w:sz w:val="22"/>
          <w:szCs w:val="22"/>
        </w:rPr>
      </w:pPr>
      <w:r w:rsidRPr="008A0CC8">
        <w:rPr>
          <w:rFonts w:ascii="Verdana" w:hAnsi="Verdana"/>
          <w:b/>
          <w:bCs/>
          <w:sz w:val="22"/>
          <w:szCs w:val="22"/>
        </w:rPr>
        <w:t>Primero: </w:t>
      </w:r>
      <w:r w:rsidRPr="008A0CC8">
        <w:rPr>
          <w:rFonts w:ascii="Verdana" w:hAnsi="Verdana"/>
          <w:sz w:val="22"/>
          <w:szCs w:val="22"/>
        </w:rPr>
        <w:t>El Proceso Administrativo de Restablecimiento de los Derechos de los niños, las niñas y los adolescentes es el conjunto de actuaciones administrativas y judiciales que la autoridad administrativa debe desarrollar para la restauración de los derechos de los menores de edad que han sido vulnerados, y debe ser resuelto dentro de los cuatro (4) meses siguientes a la fecha de la presentación de la solicitud o de la apertura oficiosa de la investigación, término prorrogable por dos (2) meses más.</w:t>
      </w:r>
    </w:p>
    <w:p w14:paraId="56AC4A2B" w14:textId="14D5816E" w:rsidR="008A0CC8" w:rsidRPr="008A0CC8" w:rsidRDefault="008A0CC8" w:rsidP="008A0CC8">
      <w:pPr>
        <w:jc w:val="both"/>
        <w:rPr>
          <w:rFonts w:ascii="Verdana" w:hAnsi="Verdana"/>
          <w:sz w:val="22"/>
          <w:szCs w:val="22"/>
        </w:rPr>
      </w:pPr>
      <w:r w:rsidRPr="008A0CC8">
        <w:rPr>
          <w:rFonts w:ascii="Verdana" w:hAnsi="Verdana"/>
          <w:b/>
          <w:bCs/>
          <w:sz w:val="22"/>
          <w:szCs w:val="22"/>
        </w:rPr>
        <w:t>Segundo: </w:t>
      </w:r>
      <w:r w:rsidRPr="008A0CC8">
        <w:rPr>
          <w:rFonts w:ascii="Verdana" w:hAnsi="Verdana"/>
          <w:sz w:val="22"/>
          <w:szCs w:val="22"/>
        </w:rPr>
        <w:t>En asuntos que tengan que ver con la infancia y adolescencia, la Autoridad Administrativa competente para conocer del proceso Administrativo de Restablecimiento de Derechos es la del lugar donde se encuentre el niño, niña o adolescente y no donde se encuentre su familia, razón por la cual no puede hablarse de conflicto de competencias entre Defensores de Familia del ICBF para adelantar el proceso Administrativo de Restablecimiento de Derechos, toda vez que la Ley 1098 de 2006 establece claramente la competencia territorial de la Autoridad Administrativa.</w:t>
      </w:r>
    </w:p>
    <w:p w14:paraId="2AA62AD7" w14:textId="77777777" w:rsidR="008A0CC8" w:rsidRPr="008A0CC8" w:rsidRDefault="008A0CC8" w:rsidP="008A0CC8">
      <w:pPr>
        <w:jc w:val="both"/>
        <w:rPr>
          <w:rFonts w:ascii="Verdana" w:hAnsi="Verdana"/>
          <w:sz w:val="22"/>
          <w:szCs w:val="22"/>
        </w:rPr>
      </w:pPr>
      <w:r w:rsidRPr="008A0CC8">
        <w:rPr>
          <w:rFonts w:ascii="Verdana" w:hAnsi="Verdana"/>
          <w:b/>
          <w:bCs/>
          <w:sz w:val="22"/>
          <w:szCs w:val="22"/>
        </w:rPr>
        <w:t>Tercero: </w:t>
      </w:r>
      <w:r w:rsidRPr="008A0CC8">
        <w:rPr>
          <w:rFonts w:ascii="Verdana" w:hAnsi="Verdana"/>
          <w:sz w:val="22"/>
          <w:szCs w:val="22"/>
        </w:rPr>
        <w:t xml:space="preserve">Por último, es importante destacar </w:t>
      </w:r>
      <w:proofErr w:type="gramStart"/>
      <w:r w:rsidRPr="008A0CC8">
        <w:rPr>
          <w:rFonts w:ascii="Verdana" w:hAnsi="Verdana"/>
          <w:sz w:val="22"/>
          <w:szCs w:val="22"/>
        </w:rPr>
        <w:t>que</w:t>
      </w:r>
      <w:proofErr w:type="gramEnd"/>
      <w:r w:rsidRPr="008A0CC8">
        <w:rPr>
          <w:rFonts w:ascii="Verdana" w:hAnsi="Verdana"/>
          <w:sz w:val="22"/>
          <w:szCs w:val="22"/>
        </w:rPr>
        <w:t xml:space="preserve"> en toda actuación administrativa, siempre debe prevalecer el interés superior del niño, niña o adolescente atendiendo la Constitución Política, y los Convenios y Tratados Internacionales que hoy hacen parte de nuestro sistema jurídico, </w:t>
      </w:r>
      <w:r w:rsidRPr="008A0CC8">
        <w:rPr>
          <w:rFonts w:ascii="Verdana" w:hAnsi="Verdana"/>
          <w:b/>
          <w:bCs/>
          <w:sz w:val="22"/>
          <w:szCs w:val="22"/>
        </w:rPr>
        <w:t>evitando la dilación injustificada del proceso.</w:t>
      </w:r>
    </w:p>
    <w:p w14:paraId="43C63E11" w14:textId="7B0C227C" w:rsidR="008A0CC8" w:rsidRPr="008A0CC8" w:rsidRDefault="008A0CC8" w:rsidP="008A0CC8">
      <w:pPr>
        <w:jc w:val="both"/>
        <w:rPr>
          <w:rFonts w:ascii="Verdana" w:hAnsi="Verdana"/>
          <w:sz w:val="22"/>
          <w:szCs w:val="22"/>
        </w:rPr>
      </w:pPr>
      <w:r w:rsidRPr="008A0CC8">
        <w:rPr>
          <w:rFonts w:ascii="Verdana" w:hAnsi="Verdana"/>
          <w:sz w:val="22"/>
          <w:szCs w:val="22"/>
        </w:rPr>
        <w:t xml:space="preserve">Por último, es preciso indicar que el presente </w:t>
      </w:r>
      <w:proofErr w:type="gramStart"/>
      <w:r w:rsidRPr="008A0CC8">
        <w:rPr>
          <w:rFonts w:ascii="Verdana" w:hAnsi="Verdana"/>
          <w:sz w:val="22"/>
          <w:szCs w:val="22"/>
        </w:rPr>
        <w:t>concepto</w:t>
      </w:r>
      <w:r w:rsidRPr="008A0CC8">
        <w:rPr>
          <w:rFonts w:ascii="Verdana" w:hAnsi="Verdana"/>
          <w:b/>
          <w:bCs/>
          <w:sz w:val="22"/>
          <w:szCs w:val="22"/>
          <w:vertAlign w:val="superscript"/>
        </w:rPr>
        <w:t>[</w:t>
      </w:r>
      <w:proofErr w:type="gramEnd"/>
      <w:r w:rsidRPr="008A0CC8">
        <w:rPr>
          <w:rFonts w:ascii="Verdana" w:hAnsi="Verdana"/>
          <w:b/>
          <w:bCs/>
          <w:sz w:val="22"/>
          <w:szCs w:val="22"/>
          <w:vertAlign w:val="superscript"/>
        </w:rPr>
        <w:t>6]</w:t>
      </w:r>
      <w:r w:rsidRPr="008A0CC8">
        <w:rPr>
          <w:rFonts w:ascii="Verdana" w:hAnsi="Verdana"/>
          <w:sz w:val="22"/>
          <w:szCs w:val="22"/>
        </w:rPr>
        <w:t xml:space="preserve"> no es de obligatorio cumplimiento o ejecución para particulares o agentes externos, de conformidad con lo establecido en la Ley 1755 de 2015. No </w:t>
      </w:r>
      <w:proofErr w:type="gramStart"/>
      <w:r w:rsidRPr="008A0CC8">
        <w:rPr>
          <w:rFonts w:ascii="Verdana" w:hAnsi="Verdana"/>
          <w:sz w:val="22"/>
          <w:szCs w:val="22"/>
        </w:rPr>
        <w:t>obstante</w:t>
      </w:r>
      <w:proofErr w:type="gramEnd"/>
      <w:r w:rsidRPr="008A0CC8">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747E25A" w14:textId="77777777" w:rsidR="008A0CC8" w:rsidRDefault="008A0CC8" w:rsidP="008A0CC8">
      <w:pPr>
        <w:jc w:val="both"/>
        <w:rPr>
          <w:rFonts w:ascii="Verdana" w:hAnsi="Verdana"/>
          <w:sz w:val="22"/>
          <w:szCs w:val="22"/>
        </w:rPr>
      </w:pPr>
      <w:r w:rsidRPr="008A0CC8">
        <w:rPr>
          <w:rFonts w:ascii="Verdana" w:hAnsi="Verdana"/>
          <w:sz w:val="22"/>
          <w:szCs w:val="22"/>
        </w:rPr>
        <w:t>Cordialmente,</w:t>
      </w:r>
    </w:p>
    <w:p w14:paraId="0A2FE08E" w14:textId="77777777" w:rsidR="008A0CC8" w:rsidRPr="008A0CC8" w:rsidRDefault="008A0CC8" w:rsidP="008A0CC8">
      <w:pPr>
        <w:jc w:val="both"/>
        <w:rPr>
          <w:rFonts w:ascii="Verdana" w:hAnsi="Verdana"/>
          <w:sz w:val="22"/>
          <w:szCs w:val="22"/>
        </w:rPr>
      </w:pPr>
    </w:p>
    <w:p w14:paraId="0BC357D0" w14:textId="77777777" w:rsidR="008A0CC8" w:rsidRPr="008A0CC8" w:rsidRDefault="008A0CC8" w:rsidP="008A0CC8">
      <w:pPr>
        <w:jc w:val="both"/>
        <w:rPr>
          <w:rFonts w:ascii="Verdana" w:hAnsi="Verdana"/>
          <w:sz w:val="22"/>
          <w:szCs w:val="22"/>
        </w:rPr>
      </w:pPr>
      <w:r w:rsidRPr="008A0CC8">
        <w:rPr>
          <w:rFonts w:ascii="Verdana" w:hAnsi="Verdana"/>
          <w:b/>
          <w:bCs/>
          <w:sz w:val="22"/>
          <w:szCs w:val="22"/>
        </w:rPr>
        <w:t>LUZ KARIME FERNANDEZ CASTILLO</w:t>
      </w:r>
    </w:p>
    <w:p w14:paraId="600C741E" w14:textId="77777777" w:rsidR="008A0CC8" w:rsidRDefault="008A0CC8" w:rsidP="008A0CC8">
      <w:pPr>
        <w:jc w:val="both"/>
        <w:rPr>
          <w:rFonts w:ascii="Verdana" w:hAnsi="Verdana"/>
          <w:sz w:val="22"/>
          <w:szCs w:val="22"/>
        </w:rPr>
      </w:pPr>
      <w:r w:rsidRPr="008A0CC8">
        <w:rPr>
          <w:rFonts w:ascii="Verdana" w:hAnsi="Verdana"/>
          <w:sz w:val="22"/>
          <w:szCs w:val="22"/>
        </w:rPr>
        <w:lastRenderedPageBreak/>
        <w:t>Jefe Oficina Asesora Jurídica</w:t>
      </w:r>
    </w:p>
    <w:p w14:paraId="7A72288B" w14:textId="77777777" w:rsidR="008A0CC8" w:rsidRPr="008A0CC8" w:rsidRDefault="008A0CC8" w:rsidP="008A0CC8">
      <w:pPr>
        <w:jc w:val="both"/>
        <w:rPr>
          <w:rFonts w:ascii="Verdana" w:hAnsi="Verdana"/>
          <w:sz w:val="22"/>
          <w:szCs w:val="22"/>
        </w:rPr>
      </w:pPr>
    </w:p>
    <w:p w14:paraId="58CF8D85" w14:textId="2268A3D2" w:rsidR="008A0CC8" w:rsidRPr="008A0CC8" w:rsidRDefault="008A0CC8" w:rsidP="008A0CC8">
      <w:pPr>
        <w:jc w:val="both"/>
        <w:rPr>
          <w:rFonts w:ascii="Verdana" w:hAnsi="Verdana"/>
          <w:sz w:val="22"/>
          <w:szCs w:val="22"/>
        </w:rPr>
      </w:pPr>
      <w:r>
        <w:rPr>
          <w:rFonts w:ascii="Verdana" w:hAnsi="Verdana"/>
          <w:b/>
          <w:bCs/>
          <w:sz w:val="22"/>
          <w:szCs w:val="22"/>
        </w:rPr>
        <w:t>Notas pie de página:</w:t>
      </w:r>
    </w:p>
    <w:p w14:paraId="2D75135D" w14:textId="7FC4AAA8" w:rsidR="008A0CC8" w:rsidRPr="008A0CC8" w:rsidRDefault="008A0CC8" w:rsidP="008A0CC8">
      <w:pPr>
        <w:jc w:val="both"/>
        <w:rPr>
          <w:rFonts w:ascii="Verdana" w:hAnsi="Verdana"/>
          <w:sz w:val="22"/>
          <w:szCs w:val="22"/>
        </w:rPr>
      </w:pPr>
      <w:bookmarkStart w:id="0" w:name="NF1"/>
      <w:r w:rsidRPr="008A0CC8">
        <w:rPr>
          <w:rFonts w:ascii="Verdana" w:hAnsi="Verdana"/>
          <w:sz w:val="22"/>
          <w:szCs w:val="22"/>
        </w:rPr>
        <w:t>1.</w:t>
      </w:r>
      <w:bookmarkEnd w:id="0"/>
      <w:r w:rsidRPr="008A0CC8">
        <w:rPr>
          <w:rFonts w:ascii="Verdana" w:hAnsi="Verdana"/>
          <w:sz w:val="22"/>
          <w:szCs w:val="22"/>
        </w:rPr>
        <w:t> Resolución No. 1520 del 23 de febrero de 2016.</w:t>
      </w:r>
    </w:p>
    <w:p w14:paraId="7F74ADC6" w14:textId="31C0649A" w:rsidR="008A0CC8" w:rsidRPr="008A0CC8" w:rsidRDefault="008A0CC8" w:rsidP="008A0CC8">
      <w:pPr>
        <w:jc w:val="both"/>
        <w:rPr>
          <w:rFonts w:ascii="Verdana" w:hAnsi="Verdana"/>
          <w:sz w:val="22"/>
          <w:szCs w:val="22"/>
        </w:rPr>
      </w:pPr>
      <w:bookmarkStart w:id="1" w:name="NF2"/>
      <w:r w:rsidRPr="008A0CC8">
        <w:rPr>
          <w:rFonts w:ascii="Verdana" w:hAnsi="Verdana"/>
          <w:sz w:val="22"/>
          <w:szCs w:val="22"/>
        </w:rPr>
        <w:t>2.</w:t>
      </w:r>
      <w:bookmarkEnd w:id="1"/>
      <w:r w:rsidRPr="008A0CC8">
        <w:rPr>
          <w:rFonts w:ascii="Verdana" w:hAnsi="Verdana"/>
          <w:sz w:val="22"/>
          <w:szCs w:val="22"/>
        </w:rPr>
        <w:t> Ley 1098 de 2006.</w:t>
      </w:r>
    </w:p>
    <w:p w14:paraId="3A3B80B6" w14:textId="49674E0B" w:rsidR="008A0CC8" w:rsidRPr="008A0CC8" w:rsidRDefault="008A0CC8" w:rsidP="008A0CC8">
      <w:pPr>
        <w:jc w:val="both"/>
        <w:rPr>
          <w:rFonts w:ascii="Verdana" w:hAnsi="Verdana"/>
          <w:sz w:val="22"/>
          <w:szCs w:val="22"/>
        </w:rPr>
      </w:pPr>
      <w:bookmarkStart w:id="2" w:name="NF3"/>
      <w:r w:rsidRPr="008A0CC8">
        <w:rPr>
          <w:rFonts w:ascii="Verdana" w:hAnsi="Verdana"/>
          <w:sz w:val="22"/>
          <w:szCs w:val="22"/>
        </w:rPr>
        <w:t>3.</w:t>
      </w:r>
      <w:bookmarkEnd w:id="2"/>
      <w:r w:rsidRPr="008A0CC8">
        <w:rPr>
          <w:rFonts w:ascii="Verdana" w:hAnsi="Verdana"/>
          <w:sz w:val="22"/>
          <w:szCs w:val="22"/>
        </w:rPr>
        <w:t> Artículo 4o de la Ley 1098 de 2006.</w:t>
      </w:r>
    </w:p>
    <w:p w14:paraId="17C5A2A8" w14:textId="29BF8788" w:rsidR="008A0CC8" w:rsidRPr="008A0CC8" w:rsidRDefault="008A0CC8" w:rsidP="008A0CC8">
      <w:pPr>
        <w:jc w:val="both"/>
        <w:rPr>
          <w:rFonts w:ascii="Verdana" w:hAnsi="Verdana"/>
          <w:sz w:val="22"/>
          <w:szCs w:val="22"/>
        </w:rPr>
      </w:pPr>
      <w:bookmarkStart w:id="3" w:name="NF4"/>
      <w:r w:rsidRPr="008A0CC8">
        <w:rPr>
          <w:rFonts w:ascii="Verdana" w:hAnsi="Verdana"/>
          <w:sz w:val="22"/>
          <w:szCs w:val="22"/>
        </w:rPr>
        <w:t>4.</w:t>
      </w:r>
      <w:bookmarkEnd w:id="3"/>
      <w:r w:rsidRPr="008A0CC8">
        <w:rPr>
          <w:rFonts w:ascii="Verdana" w:hAnsi="Verdana"/>
          <w:sz w:val="22"/>
          <w:szCs w:val="22"/>
        </w:rPr>
        <w:t> Corte Constitucional, C-149 del 11 de marzo da 2009. M. P. Dr. Gabriel Eduardo Mendoza Martelo</w:t>
      </w:r>
    </w:p>
    <w:p w14:paraId="13FDC706" w14:textId="77777777" w:rsidR="008A0CC8" w:rsidRPr="008A0CC8" w:rsidRDefault="008A0CC8" w:rsidP="008A0CC8">
      <w:pPr>
        <w:jc w:val="both"/>
        <w:rPr>
          <w:rFonts w:ascii="Verdana" w:hAnsi="Verdana"/>
          <w:sz w:val="22"/>
          <w:szCs w:val="22"/>
        </w:rPr>
      </w:pPr>
      <w:bookmarkStart w:id="4" w:name="NF5"/>
      <w:r w:rsidRPr="008A0CC8">
        <w:rPr>
          <w:rFonts w:ascii="Verdana" w:hAnsi="Verdana"/>
          <w:sz w:val="22"/>
          <w:szCs w:val="22"/>
        </w:rPr>
        <w:t>5.</w:t>
      </w:r>
      <w:bookmarkEnd w:id="4"/>
      <w:r w:rsidRPr="008A0CC8">
        <w:rPr>
          <w:rFonts w:ascii="Verdana" w:hAnsi="Verdana"/>
          <w:sz w:val="22"/>
          <w:szCs w:val="22"/>
        </w:rPr>
        <w:t xml:space="preserve"> Corte Constitucional, Sentencia C-690/06 expediente D-6939 M. P. Nilson Pinilla </w:t>
      </w:r>
      <w:proofErr w:type="spellStart"/>
      <w:r w:rsidRPr="008A0CC8">
        <w:rPr>
          <w:rFonts w:ascii="Verdana" w:hAnsi="Verdana"/>
          <w:sz w:val="22"/>
          <w:szCs w:val="22"/>
        </w:rPr>
        <w:t>Pinilla</w:t>
      </w:r>
      <w:proofErr w:type="spellEnd"/>
      <w:r w:rsidRPr="008A0CC8">
        <w:rPr>
          <w:rFonts w:ascii="Verdana" w:hAnsi="Verdana"/>
          <w:sz w:val="22"/>
          <w:szCs w:val="22"/>
        </w:rPr>
        <w:t>.</w:t>
      </w:r>
    </w:p>
    <w:p w14:paraId="09C8E94E" w14:textId="61D002B0" w:rsidR="008A0CC8" w:rsidRPr="008A0CC8" w:rsidRDefault="008A0CC8" w:rsidP="008A0CC8">
      <w:pPr>
        <w:jc w:val="both"/>
        <w:rPr>
          <w:rFonts w:ascii="Verdana" w:hAnsi="Verdana"/>
          <w:sz w:val="22"/>
          <w:szCs w:val="22"/>
        </w:rPr>
      </w:pPr>
      <w:bookmarkStart w:id="5" w:name="NF6"/>
      <w:r w:rsidRPr="008A0CC8">
        <w:rPr>
          <w:rFonts w:ascii="Verdana" w:hAnsi="Verdana"/>
          <w:sz w:val="22"/>
          <w:szCs w:val="22"/>
        </w:rPr>
        <w:t>6.</w:t>
      </w:r>
      <w:bookmarkEnd w:id="5"/>
      <w:r w:rsidRPr="008A0CC8">
        <w:rPr>
          <w:rFonts w:ascii="Verdana" w:hAnsi="Verdana"/>
          <w:sz w:val="22"/>
          <w:szCs w:val="22"/>
        </w:rPr>
        <w:t> “Como al realizar las referidas intervenciones la Administración debe aplicar el derecho, no siempre a través de funcionarios con conocimientos jurídicos, o cuando la debida ejecución do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politices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1867388E" w14:textId="77777777" w:rsidR="008A0CC8" w:rsidRPr="008A0CC8" w:rsidRDefault="008A0CC8" w:rsidP="008A0CC8">
      <w:pPr>
        <w:jc w:val="both"/>
        <w:rPr>
          <w:rFonts w:ascii="Verdana" w:hAnsi="Verdana"/>
          <w:sz w:val="22"/>
          <w:szCs w:val="22"/>
        </w:rPr>
      </w:pPr>
    </w:p>
    <w:sectPr w:rsidR="008A0CC8" w:rsidRPr="008A0C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C8"/>
    <w:rsid w:val="008A0CC8"/>
    <w:rsid w:val="00F632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5953"/>
  <w15:chartTrackingRefBased/>
  <w15:docId w15:val="{DDFB735E-8A34-4E20-83F6-AD96389B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0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0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0C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0C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0C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0C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0C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0C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0C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0C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0C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0C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0C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0C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0C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0C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0C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0CC8"/>
    <w:rPr>
      <w:rFonts w:eastAsiaTheme="majorEastAsia" w:cstheme="majorBidi"/>
      <w:color w:val="272727" w:themeColor="text1" w:themeTint="D8"/>
    </w:rPr>
  </w:style>
  <w:style w:type="paragraph" w:styleId="Ttulo">
    <w:name w:val="Title"/>
    <w:basedOn w:val="Normal"/>
    <w:next w:val="Normal"/>
    <w:link w:val="TtuloCar"/>
    <w:uiPriority w:val="10"/>
    <w:qFormat/>
    <w:rsid w:val="008A0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0C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0C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0C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0CC8"/>
    <w:pPr>
      <w:spacing w:before="160"/>
      <w:jc w:val="center"/>
    </w:pPr>
    <w:rPr>
      <w:i/>
      <w:iCs/>
      <w:color w:val="404040" w:themeColor="text1" w:themeTint="BF"/>
    </w:rPr>
  </w:style>
  <w:style w:type="character" w:customStyle="1" w:styleId="CitaCar">
    <w:name w:val="Cita Car"/>
    <w:basedOn w:val="Fuentedeprrafopredeter"/>
    <w:link w:val="Cita"/>
    <w:uiPriority w:val="29"/>
    <w:rsid w:val="008A0CC8"/>
    <w:rPr>
      <w:i/>
      <w:iCs/>
      <w:color w:val="404040" w:themeColor="text1" w:themeTint="BF"/>
    </w:rPr>
  </w:style>
  <w:style w:type="paragraph" w:styleId="Prrafodelista">
    <w:name w:val="List Paragraph"/>
    <w:basedOn w:val="Normal"/>
    <w:uiPriority w:val="34"/>
    <w:qFormat/>
    <w:rsid w:val="008A0CC8"/>
    <w:pPr>
      <w:ind w:left="720"/>
      <w:contextualSpacing/>
    </w:pPr>
  </w:style>
  <w:style w:type="character" w:styleId="nfasisintenso">
    <w:name w:val="Intense Emphasis"/>
    <w:basedOn w:val="Fuentedeprrafopredeter"/>
    <w:uiPriority w:val="21"/>
    <w:qFormat/>
    <w:rsid w:val="008A0CC8"/>
    <w:rPr>
      <w:i/>
      <w:iCs/>
      <w:color w:val="0F4761" w:themeColor="accent1" w:themeShade="BF"/>
    </w:rPr>
  </w:style>
  <w:style w:type="paragraph" w:styleId="Citadestacada">
    <w:name w:val="Intense Quote"/>
    <w:basedOn w:val="Normal"/>
    <w:next w:val="Normal"/>
    <w:link w:val="CitadestacadaCar"/>
    <w:uiPriority w:val="30"/>
    <w:qFormat/>
    <w:rsid w:val="008A0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0CC8"/>
    <w:rPr>
      <w:i/>
      <w:iCs/>
      <w:color w:val="0F4761" w:themeColor="accent1" w:themeShade="BF"/>
    </w:rPr>
  </w:style>
  <w:style w:type="character" w:styleId="Referenciaintensa">
    <w:name w:val="Intense Reference"/>
    <w:basedOn w:val="Fuentedeprrafopredeter"/>
    <w:uiPriority w:val="32"/>
    <w:qFormat/>
    <w:rsid w:val="008A0CC8"/>
    <w:rPr>
      <w:b/>
      <w:bCs/>
      <w:smallCaps/>
      <w:color w:val="0F4761" w:themeColor="accent1" w:themeShade="BF"/>
      <w:spacing w:val="5"/>
    </w:rPr>
  </w:style>
  <w:style w:type="character" w:styleId="Hipervnculo">
    <w:name w:val="Hyperlink"/>
    <w:basedOn w:val="Fuentedeprrafopredeter"/>
    <w:uiPriority w:val="99"/>
    <w:unhideWhenUsed/>
    <w:rsid w:val="008A0CC8"/>
    <w:rPr>
      <w:color w:val="467886" w:themeColor="hyperlink"/>
      <w:u w:val="single"/>
    </w:rPr>
  </w:style>
  <w:style w:type="character" w:styleId="Mencinsinresolver">
    <w:name w:val="Unresolved Mention"/>
    <w:basedOn w:val="Fuentedeprrafopredeter"/>
    <w:uiPriority w:val="99"/>
    <w:semiHidden/>
    <w:unhideWhenUsed/>
    <w:rsid w:val="008A0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6D0E0-4D6B-4C19-9BD6-0196410B56D5}"/>
</file>

<file path=customXml/itemProps2.xml><?xml version="1.0" encoding="utf-8"?>
<ds:datastoreItem xmlns:ds="http://schemas.openxmlformats.org/officeDocument/2006/customXml" ds:itemID="{94C03953-7171-47A5-9511-8426388498CE}"/>
</file>

<file path=customXml/itemProps3.xml><?xml version="1.0" encoding="utf-8"?>
<ds:datastoreItem xmlns:ds="http://schemas.openxmlformats.org/officeDocument/2006/customXml" ds:itemID="{90F7BA6C-B6DF-41BC-BFB3-EDBAA6BB510B}"/>
</file>

<file path=docProps/app.xml><?xml version="1.0" encoding="utf-8"?>
<Properties xmlns="http://schemas.openxmlformats.org/officeDocument/2006/extended-properties" xmlns:vt="http://schemas.openxmlformats.org/officeDocument/2006/docPropsVTypes">
  <Template>Normal</Template>
  <TotalTime>1</TotalTime>
  <Pages>1</Pages>
  <Words>2160</Words>
  <Characters>11881</Characters>
  <Application>Microsoft Office Word</Application>
  <DocSecurity>0</DocSecurity>
  <Lines>99</Lines>
  <Paragraphs>28</Paragraphs>
  <ScaleCrop>false</ScaleCrop>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2026-05-04T19:40:00Z</dcterms:created>
  <dcterms:modified xsi:type="dcterms:W3CDTF">2026-05-04T19:41:00Z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