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45BA" w14:textId="77777777" w:rsidR="00FC0576" w:rsidRPr="00FC0576" w:rsidRDefault="00FC0576" w:rsidP="00FC0576">
      <w:pPr>
        <w:jc w:val="center"/>
        <w:rPr>
          <w:rFonts w:ascii="Verdana" w:hAnsi="Verdana"/>
          <w:sz w:val="22"/>
          <w:szCs w:val="22"/>
        </w:rPr>
      </w:pPr>
      <w:r w:rsidRPr="00FC0576">
        <w:rPr>
          <w:rFonts w:ascii="Verdana" w:hAnsi="Verdana"/>
          <w:b/>
          <w:bCs/>
          <w:sz w:val="22"/>
          <w:szCs w:val="22"/>
        </w:rPr>
        <w:t>CONCEPTO 13 DE 2014</w:t>
      </w:r>
    </w:p>
    <w:p w14:paraId="093B27CD" w14:textId="18E9BC33" w:rsidR="00FC0576" w:rsidRPr="00FC0576" w:rsidRDefault="00FC0576" w:rsidP="00FC0576">
      <w:pPr>
        <w:jc w:val="center"/>
        <w:rPr>
          <w:rFonts w:ascii="Verdana" w:hAnsi="Verdana"/>
          <w:sz w:val="22"/>
          <w:szCs w:val="22"/>
        </w:rPr>
      </w:pPr>
      <w:r w:rsidRPr="00FC0576">
        <w:rPr>
          <w:rFonts w:ascii="Verdana" w:hAnsi="Verdana"/>
          <w:sz w:val="22"/>
          <w:szCs w:val="22"/>
        </w:rPr>
        <w:t>(enero 30)</w:t>
      </w:r>
    </w:p>
    <w:p w14:paraId="3D72A389" w14:textId="77777777" w:rsidR="00FC0576" w:rsidRPr="00FC0576" w:rsidRDefault="00FC0576" w:rsidP="00FC0576">
      <w:pPr>
        <w:jc w:val="center"/>
        <w:rPr>
          <w:rFonts w:ascii="Verdana" w:hAnsi="Verdana"/>
          <w:sz w:val="22"/>
          <w:szCs w:val="22"/>
        </w:rPr>
      </w:pPr>
      <w:r w:rsidRPr="00FC0576">
        <w:rPr>
          <w:rFonts w:ascii="Verdana" w:hAnsi="Verdana"/>
          <w:b/>
          <w:bCs/>
          <w:sz w:val="22"/>
          <w:szCs w:val="22"/>
        </w:rPr>
        <w:t>INSTITUTO COLOMBIANO DE BIENESTAR FAMILIAR – ICBF</w:t>
      </w:r>
    </w:p>
    <w:p w14:paraId="2EB884C7" w14:textId="77777777" w:rsidR="00FC0576" w:rsidRDefault="00FC0576" w:rsidP="00FC0576">
      <w:pPr>
        <w:jc w:val="both"/>
        <w:rPr>
          <w:rFonts w:ascii="Verdana" w:hAnsi="Verdana"/>
          <w:sz w:val="22"/>
          <w:szCs w:val="22"/>
        </w:rPr>
      </w:pPr>
    </w:p>
    <w:p w14:paraId="24D87A25" w14:textId="483830E4" w:rsidR="00FC0576" w:rsidRDefault="00FC0576" w:rsidP="00FC0576">
      <w:pPr>
        <w:jc w:val="both"/>
        <w:rPr>
          <w:rFonts w:ascii="Verdana" w:hAnsi="Verdana"/>
          <w:sz w:val="22"/>
          <w:szCs w:val="22"/>
        </w:rPr>
      </w:pPr>
      <w:r w:rsidRPr="00FC0576">
        <w:rPr>
          <w:rFonts w:ascii="Verdana" w:hAnsi="Verdana"/>
          <w:b/>
          <w:bCs/>
          <w:sz w:val="22"/>
          <w:szCs w:val="22"/>
        </w:rPr>
        <w:t xml:space="preserve">ASUNTO: </w:t>
      </w:r>
      <w:r w:rsidRPr="00FC0576">
        <w:rPr>
          <w:rFonts w:ascii="Verdana" w:hAnsi="Verdana"/>
          <w:sz w:val="22"/>
          <w:szCs w:val="22"/>
        </w:rPr>
        <w:t>Consulta remitida por correo electrónico.</w:t>
      </w:r>
    </w:p>
    <w:p w14:paraId="328254A1" w14:textId="77777777" w:rsidR="00FC0576" w:rsidRPr="00FC0576" w:rsidRDefault="00FC0576" w:rsidP="00FC0576">
      <w:pPr>
        <w:jc w:val="both"/>
        <w:rPr>
          <w:rFonts w:ascii="Verdana" w:hAnsi="Verdana"/>
          <w:sz w:val="22"/>
          <w:szCs w:val="22"/>
        </w:rPr>
      </w:pPr>
    </w:p>
    <w:p w14:paraId="1FD2A021" w14:textId="49024B2B" w:rsidR="00FC0576" w:rsidRPr="00FC0576" w:rsidRDefault="00FC0576" w:rsidP="00FC0576">
      <w:pPr>
        <w:jc w:val="both"/>
        <w:rPr>
          <w:rFonts w:ascii="Verdana" w:hAnsi="Verdana"/>
          <w:sz w:val="22"/>
          <w:szCs w:val="22"/>
        </w:rPr>
      </w:pPr>
      <w:r w:rsidRPr="00FC0576">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en los términos que siguen:</w:t>
      </w:r>
    </w:p>
    <w:p w14:paraId="6E55DECA" w14:textId="77777777" w:rsidR="00FC0576" w:rsidRPr="00FC0576" w:rsidRDefault="00FC0576" w:rsidP="00FC0576">
      <w:pPr>
        <w:jc w:val="both"/>
        <w:rPr>
          <w:rFonts w:ascii="Verdana" w:hAnsi="Verdana"/>
          <w:b/>
          <w:bCs/>
          <w:sz w:val="22"/>
          <w:szCs w:val="22"/>
        </w:rPr>
      </w:pPr>
      <w:r w:rsidRPr="00FC0576">
        <w:rPr>
          <w:rFonts w:ascii="Verdana" w:hAnsi="Verdana"/>
          <w:b/>
          <w:bCs/>
          <w:sz w:val="22"/>
          <w:szCs w:val="22"/>
          <w:u w:val="single"/>
        </w:rPr>
        <w:t>1. PROBLEMA JURIDICO</w:t>
      </w:r>
    </w:p>
    <w:p w14:paraId="6F50CC30" w14:textId="77777777" w:rsidR="00FC0576" w:rsidRPr="00FC0576" w:rsidRDefault="00FC0576" w:rsidP="00FC0576">
      <w:pPr>
        <w:jc w:val="both"/>
        <w:rPr>
          <w:rFonts w:ascii="Verdana" w:hAnsi="Verdana"/>
          <w:sz w:val="22"/>
          <w:szCs w:val="22"/>
        </w:rPr>
      </w:pPr>
      <w:r w:rsidRPr="00FC0576">
        <w:rPr>
          <w:rFonts w:ascii="Verdana" w:hAnsi="Verdana"/>
          <w:sz w:val="22"/>
          <w:szCs w:val="22"/>
        </w:rPr>
        <w:t xml:space="preserve">¿Puede una madre que está solicitando la custodia de su hija, grabar la visita domiciliaria del funcionario que la </w:t>
      </w:r>
      <w:proofErr w:type="gramStart"/>
      <w:r w:rsidRPr="00FC0576">
        <w:rPr>
          <w:rFonts w:ascii="Verdana" w:hAnsi="Verdana"/>
          <w:sz w:val="22"/>
          <w:szCs w:val="22"/>
        </w:rPr>
        <w:t>va</w:t>
      </w:r>
      <w:proofErr w:type="gramEnd"/>
      <w:r w:rsidRPr="00FC0576">
        <w:rPr>
          <w:rFonts w:ascii="Verdana" w:hAnsi="Verdana"/>
          <w:sz w:val="22"/>
          <w:szCs w:val="22"/>
        </w:rPr>
        <w:t xml:space="preserve"> adelantar, considerando que en una primera visita adelantada hubo irregularidades, razón por la cual se debe repetir?</w:t>
      </w:r>
    </w:p>
    <w:p w14:paraId="09B6415B" w14:textId="77777777" w:rsidR="00FC0576" w:rsidRPr="00FC0576" w:rsidRDefault="00FC0576" w:rsidP="00FC0576">
      <w:pPr>
        <w:jc w:val="both"/>
        <w:rPr>
          <w:rFonts w:ascii="Verdana" w:hAnsi="Verdana"/>
          <w:b/>
          <w:bCs/>
          <w:sz w:val="22"/>
          <w:szCs w:val="22"/>
        </w:rPr>
      </w:pPr>
      <w:r w:rsidRPr="00FC0576">
        <w:rPr>
          <w:rFonts w:ascii="Verdana" w:hAnsi="Verdana"/>
          <w:b/>
          <w:bCs/>
          <w:sz w:val="22"/>
          <w:szCs w:val="22"/>
          <w:u w:val="single"/>
        </w:rPr>
        <w:t>2. ANÁLISIS DEL PROBLEMA JURIDICO</w:t>
      </w:r>
    </w:p>
    <w:p w14:paraId="2FF5F389" w14:textId="77777777" w:rsidR="00FC0576" w:rsidRPr="00FC0576" w:rsidRDefault="00FC0576" w:rsidP="00FC0576">
      <w:pPr>
        <w:jc w:val="both"/>
        <w:rPr>
          <w:rFonts w:ascii="Verdana" w:hAnsi="Verdana"/>
          <w:sz w:val="22"/>
          <w:szCs w:val="22"/>
        </w:rPr>
      </w:pPr>
      <w:r w:rsidRPr="00FC0576">
        <w:rPr>
          <w:rFonts w:ascii="Verdana" w:hAnsi="Verdana"/>
          <w:sz w:val="22"/>
          <w:szCs w:val="22"/>
        </w:rPr>
        <w:t>Se abordará el tema analizando: (2.1) el Proceso Administrativo de Restablecimiento de Derechos su procedimiento y medidas; (2.2) la función de las autoridades administrativas en el restablecimiento de los derechos de los niños, las niñas y los adolescentes; (2.3) el derecho a la intimidad y (2.4) derecho fundamental al debido proceso.</w:t>
      </w:r>
    </w:p>
    <w:p w14:paraId="098CA072" w14:textId="77777777" w:rsidR="00FC0576" w:rsidRPr="00FC0576" w:rsidRDefault="00FC0576" w:rsidP="00FC0576">
      <w:pPr>
        <w:jc w:val="both"/>
        <w:rPr>
          <w:rFonts w:ascii="Verdana" w:hAnsi="Verdana"/>
          <w:sz w:val="22"/>
          <w:szCs w:val="22"/>
        </w:rPr>
      </w:pPr>
      <w:r w:rsidRPr="00FC0576">
        <w:rPr>
          <w:rFonts w:ascii="Verdana" w:hAnsi="Verdana"/>
          <w:sz w:val="22"/>
          <w:szCs w:val="22"/>
          <w:u w:val="single"/>
        </w:rPr>
        <w:t>2.1) Qué es el Proceso Administrativo de Restablecimiento de Derechos, su</w:t>
      </w:r>
      <w:r w:rsidRPr="00FC0576">
        <w:rPr>
          <w:rFonts w:ascii="Verdana" w:hAnsi="Verdana"/>
          <w:sz w:val="22"/>
          <w:szCs w:val="22"/>
        </w:rPr>
        <w:t> </w:t>
      </w:r>
      <w:r w:rsidRPr="00FC0576">
        <w:rPr>
          <w:rFonts w:ascii="Verdana" w:hAnsi="Verdana"/>
          <w:sz w:val="22"/>
          <w:szCs w:val="22"/>
          <w:u w:val="single"/>
        </w:rPr>
        <w:t>procedimiento v medidas</w:t>
      </w:r>
    </w:p>
    <w:p w14:paraId="72F3E870" w14:textId="3BB97967" w:rsidR="00FC0576" w:rsidRPr="00FC0576" w:rsidRDefault="00FC0576" w:rsidP="00FC0576">
      <w:pPr>
        <w:jc w:val="both"/>
        <w:rPr>
          <w:rFonts w:ascii="Verdana" w:hAnsi="Verdana"/>
          <w:sz w:val="22"/>
          <w:szCs w:val="22"/>
        </w:rPr>
      </w:pPr>
      <w:r w:rsidRPr="00FC0576">
        <w:rPr>
          <w:rFonts w:ascii="Verdana" w:hAnsi="Verdana"/>
          <w:sz w:val="22"/>
          <w:szCs w:val="22"/>
        </w:rPr>
        <w:t>El artículo 44 de la Constitución Política establece los derechos de los niños, niñas y adolescentes y dispone que son de carácter fundamental, especial y prevalente.</w:t>
      </w:r>
    </w:p>
    <w:p w14:paraId="12290547" w14:textId="6E6A01BA" w:rsidR="00FC0576" w:rsidRPr="00FC0576" w:rsidRDefault="00FC0576" w:rsidP="00FC0576">
      <w:pPr>
        <w:jc w:val="both"/>
        <w:rPr>
          <w:rFonts w:ascii="Verdana" w:hAnsi="Verdana"/>
          <w:sz w:val="22"/>
          <w:szCs w:val="22"/>
        </w:rPr>
      </w:pPr>
      <w:r w:rsidRPr="00FC0576">
        <w:rPr>
          <w:rFonts w:ascii="Verdana" w:hAnsi="Verdana"/>
          <w:sz w:val="22"/>
          <w:szCs w:val="22"/>
        </w:rPr>
        <w:t>El artículo 51 de la Ley 1098 de 2006, establece que el restablecimiento de los derechos de los niños, las niñas o los adolescentes es responsabilidad del Estado a través de las autoridades públicas, quienes tienen la obligación de informar o conducir ante la Policía, las Defensorías de Familia, Las Comisarias de Familia o en su defecto, de los Inspectores de Policía o las Personerías Municipales o Distritales a todos los niños, niñas o adolescentes que se encuentren en condiciones de riesgo o vulnerabilidad.</w:t>
      </w:r>
    </w:p>
    <w:p w14:paraId="4ABC408C" w14:textId="77777777" w:rsidR="00FC0576" w:rsidRPr="00FC0576" w:rsidRDefault="00FC0576" w:rsidP="00FC0576">
      <w:pPr>
        <w:jc w:val="both"/>
        <w:rPr>
          <w:rFonts w:ascii="Verdana" w:hAnsi="Verdana"/>
          <w:sz w:val="22"/>
          <w:szCs w:val="22"/>
        </w:rPr>
      </w:pPr>
      <w:r w:rsidRPr="00FC0576">
        <w:rPr>
          <w:rFonts w:ascii="Verdana" w:hAnsi="Verdana"/>
          <w:sz w:val="22"/>
          <w:szCs w:val="22"/>
        </w:rPr>
        <w:lastRenderedPageBreak/>
        <w:t>Se entiende por Proceso Administrativo de Restablecimiento de los Derechos de los niños, las niñas y los adolescentes, el conjunto de actuaciones administrativas que la autoridad competente debe desarrollar para la restauración de su dignidad e integridad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14:paraId="330506D6" w14:textId="77777777" w:rsidR="00FC0576" w:rsidRPr="00FC0576" w:rsidRDefault="00FC0576" w:rsidP="00FC0576">
      <w:pPr>
        <w:jc w:val="both"/>
        <w:rPr>
          <w:rFonts w:ascii="Verdana" w:hAnsi="Verdana"/>
          <w:sz w:val="22"/>
          <w:szCs w:val="22"/>
        </w:rPr>
      </w:pPr>
      <w:r w:rsidRPr="00FC0576">
        <w:rPr>
          <w:rFonts w:ascii="Verdana" w:hAnsi="Verdana"/>
          <w:sz w:val="22"/>
          <w:szCs w:val="22"/>
        </w:rPr>
        <w:t xml:space="preserve">El Proceso Administrativo de Restablecimiento de Derechos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FC0576">
        <w:rPr>
          <w:rFonts w:ascii="Verdana" w:hAnsi="Verdana"/>
          <w:sz w:val="22"/>
          <w:szCs w:val="22"/>
        </w:rPr>
        <w:t>Ley,</w:t>
      </w:r>
      <w:proofErr w:type="gramEnd"/>
      <w:r w:rsidRPr="00FC0576">
        <w:rPr>
          <w:rFonts w:ascii="Verdana" w:hAnsi="Verdana"/>
          <w:sz w:val="22"/>
          <w:szCs w:val="22"/>
        </w:rPr>
        <w:t xml:space="preserve"> restablezcan a los niños, las niñas y los adolescentes el ejercicio pleno y efectivo de sus derechos.</w:t>
      </w:r>
    </w:p>
    <w:p w14:paraId="62E4209F" w14:textId="77777777" w:rsidR="00FC0576" w:rsidRPr="00FC0576" w:rsidRDefault="00FC0576" w:rsidP="00FC0576">
      <w:pPr>
        <w:jc w:val="both"/>
        <w:rPr>
          <w:rFonts w:ascii="Verdana" w:hAnsi="Verdana"/>
          <w:sz w:val="22"/>
          <w:szCs w:val="22"/>
        </w:rPr>
      </w:pPr>
      <w:r w:rsidRPr="00FC0576">
        <w:rPr>
          <w:rFonts w:ascii="Verdana" w:hAnsi="Verdana"/>
          <w:sz w:val="22"/>
          <w:szCs w:val="22"/>
        </w:rPr>
        <w:t>Las medidas de restablecimiento de derechos son decisiones de naturaleza administrativa que decreta la autoridad competente para garantizar y restablecer el ejercicio de los derechos de los niños, niñas y adolescentes. </w:t>
      </w:r>
      <w:r w:rsidRPr="00FC0576">
        <w:rPr>
          <w:rFonts w:ascii="Verdana" w:hAnsi="Verdana"/>
          <w:sz w:val="22"/>
          <w:szCs w:val="22"/>
          <w:u w:val="single"/>
        </w:rPr>
        <w:t>Pueden ser provisionales o definitivas las cuales deberán estar en concordancia con el derecho amenazado o vulnerado, garantizando, en primer término, el derecho del niño, la niña o el adolescente a permanecer en el medio familiar,</w:t>
      </w:r>
      <w:r w:rsidRPr="00FC0576">
        <w:rPr>
          <w:rFonts w:ascii="Verdana" w:hAnsi="Verdana"/>
          <w:sz w:val="22"/>
          <w:szCs w:val="22"/>
        </w:rPr>
        <w:t> La autoridad Administrativa competente deberá asegurar que en todas las medidas provisionales o definitivas de restablecimiento de derechos que se decreten, se garantice el acompañamiento de la familia del niño, niña o adolescente que lo requiera.</w:t>
      </w:r>
    </w:p>
    <w:p w14:paraId="64C46EA4" w14:textId="3ED4E937" w:rsidR="00FC0576" w:rsidRPr="00FC0576" w:rsidRDefault="00FC0576" w:rsidP="00FC0576">
      <w:pPr>
        <w:jc w:val="both"/>
        <w:rPr>
          <w:rFonts w:ascii="Verdana" w:hAnsi="Verdana"/>
          <w:sz w:val="22"/>
          <w:szCs w:val="22"/>
        </w:rPr>
      </w:pPr>
      <w:r w:rsidRPr="00FC0576">
        <w:rPr>
          <w:rFonts w:ascii="Verdana" w:hAnsi="Verdana"/>
          <w:sz w:val="22"/>
          <w:szCs w:val="22"/>
        </w:rPr>
        <w:t>El artículo 100 del Código de la Infancia y la Adolescencia, establece que la actuación administrativa deberá resolverse dentro de los cuatro (4) meses siguientes a la fecha de la presentación de la solicitud o la apertura oficiosa de la investigación</w:t>
      </w:r>
      <w:r w:rsidRPr="00FC0576">
        <w:rPr>
          <w:rFonts w:ascii="Verdana" w:hAnsi="Verdana"/>
          <w:sz w:val="22"/>
          <w:szCs w:val="22"/>
          <w:vertAlign w:val="subscript"/>
        </w:rPr>
        <w:t>[1]</w:t>
      </w:r>
      <w:r w:rsidRPr="00FC0576">
        <w:rPr>
          <w:rFonts w:ascii="Verdana" w:hAnsi="Verdana"/>
          <w:sz w:val="22"/>
          <w:szCs w:val="22"/>
        </w:rPr>
        <w:t>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para que se promueva la investigación disciplinaria a que haya lugar.</w:t>
      </w:r>
    </w:p>
    <w:p w14:paraId="5ED58595" w14:textId="77777777" w:rsidR="00FC0576" w:rsidRPr="00FC0576" w:rsidRDefault="00FC0576" w:rsidP="00FC0576">
      <w:pPr>
        <w:jc w:val="both"/>
        <w:rPr>
          <w:rFonts w:ascii="Verdana" w:hAnsi="Verdana"/>
          <w:sz w:val="22"/>
          <w:szCs w:val="22"/>
        </w:rPr>
      </w:pPr>
      <w:r w:rsidRPr="00FC0576">
        <w:rPr>
          <w:rFonts w:ascii="Verdana" w:hAnsi="Verdana"/>
          <w:sz w:val="22"/>
          <w:szCs w:val="22"/>
        </w:rPr>
        <w:t xml:space="preserve">Excepcionalmente y por solicitud razonada del Defensor Familia, Comisario de Familia o, en su caso, el Inspector de Policía, el </w:t>
      </w:r>
      <w:proofErr w:type="gramStart"/>
      <w:r w:rsidRPr="00FC0576">
        <w:rPr>
          <w:rFonts w:ascii="Verdana" w:hAnsi="Verdana"/>
          <w:sz w:val="22"/>
          <w:szCs w:val="22"/>
        </w:rPr>
        <w:t>Director Regional</w:t>
      </w:r>
      <w:proofErr w:type="gramEnd"/>
      <w:r w:rsidRPr="00FC0576">
        <w:rPr>
          <w:rFonts w:ascii="Verdana" w:hAnsi="Verdana"/>
          <w:sz w:val="22"/>
          <w:szCs w:val="22"/>
        </w:rPr>
        <w:t xml:space="preserve"> podrá ampliar el término para fallar la actuación administrativa hasta por dos (2) meses más, </w:t>
      </w:r>
      <w:r w:rsidRPr="00FC0576">
        <w:rPr>
          <w:rFonts w:ascii="Verdana" w:hAnsi="Verdana"/>
          <w:sz w:val="22"/>
          <w:szCs w:val="22"/>
        </w:rPr>
        <w:lastRenderedPageBreak/>
        <w:t>contados a partir del vencimiento de los cuatro meses iniciales, sin que exista en ningún caso nueva prórroga.</w:t>
      </w:r>
    </w:p>
    <w:p w14:paraId="40729692" w14:textId="77777777" w:rsidR="00FC0576" w:rsidRPr="00FC0576" w:rsidRDefault="00FC0576" w:rsidP="00FC0576">
      <w:pPr>
        <w:jc w:val="both"/>
        <w:rPr>
          <w:rFonts w:ascii="Verdana" w:hAnsi="Verdana"/>
          <w:sz w:val="22"/>
          <w:szCs w:val="22"/>
        </w:rPr>
      </w:pPr>
      <w:r w:rsidRPr="00FC0576">
        <w:rPr>
          <w:rFonts w:ascii="Verdana" w:hAnsi="Verdana"/>
          <w:sz w:val="22"/>
          <w:szCs w:val="22"/>
          <w:u w:val="single"/>
        </w:rPr>
        <w:t>(2.2) La función de las autoridades administrativas en el restablecimiento de los derechos de los niños, las niñas y los adolescentes</w:t>
      </w:r>
    </w:p>
    <w:p w14:paraId="07073908" w14:textId="77777777" w:rsidR="00FC0576" w:rsidRPr="00FC0576" w:rsidRDefault="00FC0576" w:rsidP="00FC0576">
      <w:pPr>
        <w:jc w:val="both"/>
        <w:rPr>
          <w:rFonts w:ascii="Verdana" w:hAnsi="Verdana"/>
          <w:sz w:val="22"/>
          <w:szCs w:val="22"/>
        </w:rPr>
      </w:pPr>
      <w:r w:rsidRPr="00FC0576">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3B23A127" w14:textId="77777777" w:rsidR="00FC0576" w:rsidRPr="00FC0576" w:rsidRDefault="00FC0576" w:rsidP="00FC0576">
      <w:pPr>
        <w:jc w:val="both"/>
        <w:rPr>
          <w:rFonts w:ascii="Verdana" w:hAnsi="Verdana"/>
          <w:sz w:val="22"/>
          <w:szCs w:val="22"/>
        </w:rPr>
      </w:pPr>
      <w:r w:rsidRPr="00FC0576">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60EA2650" w14:textId="77777777" w:rsidR="00FC0576" w:rsidRPr="00FC0576" w:rsidRDefault="00FC0576" w:rsidP="00FC0576">
      <w:pPr>
        <w:jc w:val="both"/>
        <w:rPr>
          <w:rFonts w:ascii="Verdana" w:hAnsi="Verdana"/>
          <w:sz w:val="22"/>
          <w:szCs w:val="22"/>
        </w:rPr>
      </w:pPr>
      <w:r w:rsidRPr="00FC0576">
        <w:rPr>
          <w:rFonts w:ascii="Verdana" w:hAnsi="Verdana"/>
          <w:sz w:val="22"/>
          <w:szCs w:val="22"/>
        </w:rPr>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w:t>
      </w:r>
      <w:r w:rsidRPr="00FC0576">
        <w:rPr>
          <w:rFonts w:ascii="Verdana" w:hAnsi="Verdana"/>
          <w:sz w:val="22"/>
          <w:szCs w:val="22"/>
          <w:vertAlign w:val="subscript"/>
        </w:rPr>
        <w:t>[2]</w:t>
      </w:r>
    </w:p>
    <w:p w14:paraId="11CCC067" w14:textId="110536AF" w:rsidR="00FC0576" w:rsidRPr="00FC0576" w:rsidRDefault="00FC0576" w:rsidP="00FC0576">
      <w:pPr>
        <w:jc w:val="both"/>
        <w:rPr>
          <w:rFonts w:ascii="Verdana" w:hAnsi="Verdana"/>
          <w:sz w:val="22"/>
          <w:szCs w:val="22"/>
        </w:rPr>
      </w:pPr>
      <w:r w:rsidRPr="00FC0576">
        <w:rPr>
          <w:rFonts w:ascii="Verdana" w:hAnsi="Verdana"/>
          <w:sz w:val="22"/>
          <w:szCs w:val="22"/>
        </w:rPr>
        <w:t>Al respecto, la Corte Constitucional precisó respecto al Código de la Infancia y la Adolescencia que: </w:t>
      </w:r>
      <w:r w:rsidRPr="00FC0576">
        <w:rPr>
          <w:rFonts w:ascii="Verdana" w:hAnsi="Verdana"/>
          <w:i/>
          <w:iCs/>
          <w:sz w:val="22"/>
          <w:szCs w:val="22"/>
        </w:rPr>
        <w:t>“El propio ordenamiento establece que sus normas son de orden público, de carácter irrenunciable</w:t>
      </w:r>
      <w:r w:rsidRPr="00FC0576">
        <w:rPr>
          <w:rFonts w:ascii="Verdana" w:hAnsi="Verdana"/>
          <w:sz w:val="22"/>
          <w:szCs w:val="22"/>
        </w:rPr>
        <w:t> y </w:t>
      </w:r>
      <w:r w:rsidRPr="00FC0576">
        <w:rPr>
          <w:rFonts w:ascii="Verdana" w:hAnsi="Verdana"/>
          <w:i/>
          <w:iCs/>
          <w:sz w:val="22"/>
          <w:szCs w:val="22"/>
        </w:rPr>
        <w:t>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r w:rsidRPr="00FC0576">
        <w:rPr>
          <w:rFonts w:ascii="Verdana" w:hAnsi="Verdana"/>
          <w:i/>
          <w:iCs/>
          <w:sz w:val="22"/>
          <w:szCs w:val="22"/>
          <w:vertAlign w:val="subscript"/>
        </w:rPr>
        <w:t>[3]</w:t>
      </w:r>
    </w:p>
    <w:p w14:paraId="76FDF420" w14:textId="189E787A" w:rsidR="00FC0576" w:rsidRPr="00FC0576" w:rsidRDefault="00FC0576" w:rsidP="00FC0576">
      <w:pPr>
        <w:jc w:val="both"/>
        <w:rPr>
          <w:rFonts w:ascii="Verdana" w:hAnsi="Verdana"/>
          <w:sz w:val="22"/>
          <w:szCs w:val="22"/>
        </w:rPr>
      </w:pPr>
      <w:r w:rsidRPr="00FC0576">
        <w:rPr>
          <w:rFonts w:ascii="Verdana" w:hAnsi="Verdana"/>
          <w:sz w:val="22"/>
          <w:szCs w:val="22"/>
        </w:rPr>
        <w:t>En el capítulo 911 de dicho Código se establece cuáles son las autoridades competentes para el restablecimiento de los derechos de los niños, las niñas y los adolescentes, cuya función primordial será prevenir, garantizar y restablecer los derechos de los menores de edad.</w:t>
      </w:r>
    </w:p>
    <w:p w14:paraId="078B5F1F" w14:textId="1C0DE9E5" w:rsidR="00FC0576" w:rsidRPr="00FC0576" w:rsidRDefault="00FC0576" w:rsidP="00FC0576">
      <w:pPr>
        <w:jc w:val="both"/>
        <w:rPr>
          <w:rFonts w:ascii="Verdana" w:hAnsi="Verdana"/>
          <w:sz w:val="22"/>
          <w:szCs w:val="22"/>
        </w:rPr>
      </w:pPr>
      <w:r w:rsidRPr="00FC0576">
        <w:rPr>
          <w:rFonts w:ascii="Verdana" w:hAnsi="Verdana"/>
          <w:sz w:val="22"/>
          <w:szCs w:val="22"/>
        </w:rPr>
        <w:t>Al respecto, la Corte Constitucional indicó “(...) </w:t>
      </w:r>
      <w:r w:rsidRPr="00FC0576">
        <w:rPr>
          <w:rFonts w:ascii="Verdana" w:hAnsi="Verdana"/>
          <w:i/>
          <w:iCs/>
          <w:sz w:val="22"/>
          <w:szCs w:val="22"/>
        </w:rPr>
        <w:t xml:space="preserve">los artículos 81, 82 y 85 de la Ley 1098 de 2006 señalan los deberes y las funciones del defensor y del comisario de familia, siendo evidente que la misión encomendada es garantizar, proteger y restablecer los derechos prevalecientes de los menores de </w:t>
      </w:r>
      <w:proofErr w:type="gramStart"/>
      <w:r w:rsidRPr="00FC0576">
        <w:rPr>
          <w:rFonts w:ascii="Verdana" w:hAnsi="Verdana"/>
          <w:i/>
          <w:iCs/>
          <w:sz w:val="22"/>
          <w:szCs w:val="22"/>
        </w:rPr>
        <w:t>edad”</w:t>
      </w:r>
      <w:r w:rsidRPr="00FC0576">
        <w:rPr>
          <w:rFonts w:ascii="Verdana" w:hAnsi="Verdana"/>
          <w:i/>
          <w:iCs/>
          <w:sz w:val="22"/>
          <w:szCs w:val="22"/>
          <w:vertAlign w:val="subscript"/>
        </w:rPr>
        <w:t>[</w:t>
      </w:r>
      <w:proofErr w:type="gramEnd"/>
      <w:r w:rsidRPr="00FC0576">
        <w:rPr>
          <w:rFonts w:ascii="Verdana" w:hAnsi="Verdana"/>
          <w:i/>
          <w:iCs/>
          <w:sz w:val="22"/>
          <w:szCs w:val="22"/>
          <w:vertAlign w:val="subscript"/>
        </w:rPr>
        <w:t>4]</w:t>
      </w:r>
    </w:p>
    <w:p w14:paraId="08CCE688" w14:textId="1C96C34E" w:rsidR="00FC0576" w:rsidRPr="00FC0576" w:rsidRDefault="00FC0576" w:rsidP="00FC0576">
      <w:pPr>
        <w:jc w:val="both"/>
        <w:rPr>
          <w:rFonts w:ascii="Verdana" w:hAnsi="Verdana"/>
          <w:sz w:val="22"/>
          <w:szCs w:val="22"/>
        </w:rPr>
      </w:pPr>
      <w:r w:rsidRPr="00FC0576">
        <w:rPr>
          <w:rFonts w:ascii="Verdana" w:hAnsi="Verdana"/>
          <w:sz w:val="22"/>
          <w:szCs w:val="22"/>
        </w:rPr>
        <w:t>En efecto, en el artículo 96 de la Ley 1098 de 2006 se contempla que “</w:t>
      </w:r>
      <w:r w:rsidRPr="00FC0576">
        <w:rPr>
          <w:rFonts w:ascii="Verdana" w:hAnsi="Verdana"/>
          <w:i/>
          <w:iCs/>
          <w:sz w:val="22"/>
          <w:szCs w:val="22"/>
        </w:rPr>
        <w:t>Corresponde a los defensores de familia y comisarios de familia procurar y promover la realización y restablecimiento de los derechos reconocidos en los tratados internacionales, en la Constitución Política y en el presente Código".</w:t>
      </w:r>
    </w:p>
    <w:p w14:paraId="37B4A0B6" w14:textId="77777777" w:rsidR="00FC0576" w:rsidRPr="00FC0576" w:rsidRDefault="00FC0576" w:rsidP="00FC0576">
      <w:pPr>
        <w:jc w:val="both"/>
        <w:rPr>
          <w:rFonts w:ascii="Verdana" w:hAnsi="Verdana"/>
          <w:sz w:val="22"/>
          <w:szCs w:val="22"/>
        </w:rPr>
      </w:pPr>
      <w:r w:rsidRPr="00FC0576">
        <w:rPr>
          <w:rFonts w:ascii="Verdana" w:hAnsi="Verdana"/>
          <w:sz w:val="22"/>
          <w:szCs w:val="22"/>
        </w:rPr>
        <w:lastRenderedPageBreak/>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27862D87" w14:textId="77777777" w:rsidR="00FC0576" w:rsidRPr="00FC0576" w:rsidRDefault="00FC0576" w:rsidP="00FC0576">
      <w:pPr>
        <w:jc w:val="both"/>
        <w:rPr>
          <w:rFonts w:ascii="Verdana" w:hAnsi="Verdana"/>
          <w:sz w:val="22"/>
          <w:szCs w:val="22"/>
        </w:rPr>
      </w:pPr>
      <w:r w:rsidRPr="00FC0576">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618D4B7D" w14:textId="77777777" w:rsidR="00FC0576" w:rsidRPr="00FC0576" w:rsidRDefault="00FC0576" w:rsidP="00FC0576">
      <w:pPr>
        <w:jc w:val="both"/>
        <w:rPr>
          <w:rFonts w:ascii="Verdana" w:hAnsi="Verdana"/>
          <w:sz w:val="22"/>
          <w:szCs w:val="22"/>
        </w:rPr>
      </w:pPr>
      <w:r w:rsidRPr="00FC0576">
        <w:rPr>
          <w:rFonts w:ascii="Verdana" w:hAnsi="Verdana"/>
          <w:sz w:val="22"/>
          <w:szCs w:val="22"/>
        </w:rPr>
        <w:t>En ese sentido, la función que te corresponde a los Defensores de Familia en el restablecimiento de derechos de los niños, las niñas y los adolescentes, no se circunscribe solamente a aquellos casos en que se evidencia una vulneración de sus derechos, sino también en prevenir que ello ocurra.</w:t>
      </w:r>
    </w:p>
    <w:p w14:paraId="0495E423" w14:textId="1041FB2E" w:rsidR="00FC0576" w:rsidRPr="00FC0576" w:rsidRDefault="00FC0576" w:rsidP="00FC0576">
      <w:pPr>
        <w:jc w:val="both"/>
        <w:rPr>
          <w:rFonts w:ascii="Verdana" w:hAnsi="Verdana"/>
          <w:sz w:val="22"/>
          <w:szCs w:val="22"/>
        </w:rPr>
      </w:pPr>
      <w:r w:rsidRPr="00FC0576">
        <w:rPr>
          <w:rFonts w:ascii="Verdana" w:hAnsi="Verdana"/>
          <w:sz w:val="22"/>
          <w:szCs w:val="22"/>
        </w:rPr>
        <w:t>El artículo 81 de la Ley 1098 de 2006</w:t>
      </w:r>
      <w:r w:rsidRPr="00FC0576">
        <w:rPr>
          <w:rFonts w:ascii="Verdana" w:hAnsi="Verdana"/>
          <w:sz w:val="22"/>
          <w:szCs w:val="22"/>
          <w:vertAlign w:val="subscript"/>
        </w:rPr>
        <w:t>[5]</w:t>
      </w:r>
      <w:r w:rsidRPr="00FC0576">
        <w:rPr>
          <w:rFonts w:ascii="Verdana" w:hAnsi="Verdana"/>
          <w:sz w:val="22"/>
          <w:szCs w:val="22"/>
        </w:rPr>
        <w:t> establece tos deberes del Defensor de Familia, entre los cuales está el de:</w:t>
      </w:r>
    </w:p>
    <w:p w14:paraId="055DD182"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"Dirigir el proceso, velar por su rápida solución, adoptar las medidas conducentes para impedir la paralización y procurar la mayor economía procesal, (…)</w:t>
      </w:r>
    </w:p>
    <w:p w14:paraId="7B3B23F1"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w:t>
      </w:r>
    </w:p>
    <w:p w14:paraId="26DECBD7"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"Emplear las facultades que esta ley le otorga en materia de pruebas, siempre que estime </w:t>
      </w:r>
      <w:r w:rsidRPr="00FC0576">
        <w:rPr>
          <w:rFonts w:ascii="Verdana" w:hAnsi="Verdana"/>
          <w:i/>
          <w:iCs/>
          <w:sz w:val="22"/>
          <w:szCs w:val="22"/>
          <w:u w:val="single"/>
        </w:rPr>
        <w:t>conducente y pertinente</w:t>
      </w:r>
      <w:r w:rsidRPr="00FC0576">
        <w:rPr>
          <w:rFonts w:ascii="Verdana" w:hAnsi="Verdana"/>
          <w:i/>
          <w:iCs/>
          <w:sz w:val="22"/>
          <w:szCs w:val="22"/>
        </w:rPr>
        <w:t> para verificar los hechos alegados por las partes y evitar nulidades y providencias inhibitorias</w:t>
      </w:r>
      <w:r w:rsidRPr="00FC0576">
        <w:rPr>
          <w:rFonts w:ascii="Verdana" w:hAnsi="Verdana"/>
          <w:sz w:val="22"/>
          <w:szCs w:val="22"/>
        </w:rPr>
        <w:t>”</w:t>
      </w:r>
    </w:p>
    <w:p w14:paraId="4C3EB12D" w14:textId="77777777" w:rsidR="00FC0576" w:rsidRPr="00FC0576" w:rsidRDefault="00FC0576" w:rsidP="00FC0576">
      <w:pPr>
        <w:jc w:val="both"/>
        <w:rPr>
          <w:rFonts w:ascii="Verdana" w:hAnsi="Verdana"/>
          <w:sz w:val="22"/>
          <w:szCs w:val="22"/>
        </w:rPr>
      </w:pPr>
      <w:r w:rsidRPr="00FC0576">
        <w:rPr>
          <w:rFonts w:ascii="Verdana" w:hAnsi="Verdana"/>
          <w:sz w:val="22"/>
          <w:szCs w:val="22"/>
        </w:rPr>
        <w:t>Es de suma importancia resaltar la función del Defensor de Familia teniendo en cuenta que debe velar por el cumplimiento de las normas de rango constitucional y supraconstitucional y la prevalencia de los principios rectores que inspiran el Código de la infancia y la Adolescencia, así mismo y como director del proceso debe analizar el caso en concreto en garantía de la protección integral y con fundamento en el principio de interés superior estudiar si es pertinente y conveniente autorizar la realización de dicha grabación.</w:t>
      </w:r>
    </w:p>
    <w:p w14:paraId="1C1FDC6C" w14:textId="77777777" w:rsidR="00FC0576" w:rsidRPr="00FC0576" w:rsidRDefault="00FC0576" w:rsidP="00FC0576">
      <w:pPr>
        <w:jc w:val="both"/>
        <w:rPr>
          <w:rFonts w:ascii="Verdana" w:hAnsi="Verdana"/>
          <w:sz w:val="22"/>
          <w:szCs w:val="22"/>
        </w:rPr>
      </w:pPr>
      <w:r w:rsidRPr="00FC0576">
        <w:rPr>
          <w:rFonts w:ascii="Verdana" w:hAnsi="Verdana"/>
          <w:sz w:val="22"/>
          <w:szCs w:val="22"/>
        </w:rPr>
        <w:t>Las funciones establecidas en la ley señalan que la atención a los niños, niñas y adolescentes debe realizarse de manera integral teniéndolos como sujetos de derechos, no solamente cuando sus derechos son vulnerados sino previendo esta circunstancia, en coordinación con las personas llamadas a protegerlos, atendiendo el espíritu constitucional que armoniza con las normas internacionales consagradas a favor de la niñez, la infancia y la familia, con el objeto de garantizar sus derechos constitucionales fundamentales a la intimidad y dignidad.</w:t>
      </w:r>
    </w:p>
    <w:p w14:paraId="0D57E33E" w14:textId="77777777" w:rsidR="00FC0576" w:rsidRPr="00FC0576" w:rsidRDefault="00FC0576" w:rsidP="00FC0576">
      <w:pPr>
        <w:jc w:val="both"/>
        <w:rPr>
          <w:rFonts w:ascii="Verdana" w:hAnsi="Verdana"/>
          <w:sz w:val="22"/>
          <w:szCs w:val="22"/>
        </w:rPr>
      </w:pPr>
      <w:r w:rsidRPr="00FC0576">
        <w:rPr>
          <w:rFonts w:ascii="Verdana" w:hAnsi="Verdana"/>
          <w:sz w:val="22"/>
          <w:szCs w:val="22"/>
        </w:rPr>
        <w:lastRenderedPageBreak/>
        <w:t>Todo aquel que tenga acceso a los documentos y actuaciones señalados en el Código de la Infancia y la Adolescencia está obligado a guardar la reserva debida; si se trata de documentos y actuaciones que expresamente no se encuentran sujetos a reserva, quien tenga acceso a los mismos deberá guardar la confidencialidad para garantizar los derechos fundamentales de los niños, niñas y adolescentes que se encuentren involucrados, y en todo caso deberá garantizar la prevalencia de sus derechos.</w:t>
      </w:r>
    </w:p>
    <w:p w14:paraId="7FB58A5A" w14:textId="77777777" w:rsidR="00FC0576" w:rsidRPr="00FC0576" w:rsidRDefault="00FC0576" w:rsidP="00FC0576">
      <w:pPr>
        <w:jc w:val="both"/>
        <w:rPr>
          <w:rFonts w:ascii="Verdana" w:hAnsi="Verdana"/>
          <w:sz w:val="22"/>
          <w:szCs w:val="22"/>
        </w:rPr>
      </w:pPr>
      <w:r w:rsidRPr="00FC0576">
        <w:rPr>
          <w:rFonts w:ascii="Verdana" w:hAnsi="Verdana"/>
          <w:sz w:val="22"/>
          <w:szCs w:val="22"/>
        </w:rPr>
        <w:t>En razón a lo anterior la decisión que tome el Defensor de Familia debe expresar las razones de hecho y de derecho en que funda su decisión, la cual debe velar por la protección integral de la niña, la prevención de la vulneración de sus derechos, basados en el principio del interés superior.</w:t>
      </w:r>
    </w:p>
    <w:p w14:paraId="72898DD0" w14:textId="77777777" w:rsidR="00FC0576" w:rsidRPr="00FC0576" w:rsidRDefault="00FC0576" w:rsidP="00FC0576">
      <w:pPr>
        <w:jc w:val="both"/>
        <w:rPr>
          <w:rFonts w:ascii="Verdana" w:hAnsi="Verdana"/>
          <w:sz w:val="22"/>
          <w:szCs w:val="22"/>
        </w:rPr>
      </w:pPr>
      <w:r w:rsidRPr="00FC0576">
        <w:rPr>
          <w:rFonts w:ascii="Verdana" w:hAnsi="Verdana"/>
          <w:sz w:val="22"/>
          <w:szCs w:val="22"/>
          <w:u w:val="single"/>
        </w:rPr>
        <w:t>(2.3) Derecho a la Intimidad</w:t>
      </w:r>
    </w:p>
    <w:p w14:paraId="22124CCA" w14:textId="77777777" w:rsidR="00FC0576" w:rsidRPr="00FC0576" w:rsidRDefault="00FC0576" w:rsidP="00FC0576">
      <w:pPr>
        <w:jc w:val="both"/>
        <w:rPr>
          <w:rFonts w:ascii="Verdana" w:hAnsi="Verdana"/>
          <w:sz w:val="22"/>
          <w:szCs w:val="22"/>
        </w:rPr>
      </w:pPr>
      <w:r w:rsidRPr="00FC0576">
        <w:rPr>
          <w:rFonts w:ascii="Verdana" w:hAnsi="Verdana"/>
          <w:sz w:val="22"/>
          <w:szCs w:val="22"/>
        </w:rPr>
        <w:t>La intimidad es la parte de la vida de una persona que no ha de ser observada desde el exterior, y afecta sólo a la propia persona. Se incluye dentro del ámbito privado de un individuo cualquier información que se refiera a sus datos personales, relaciones, salud, correo, comunicaciones electrónicas privadas, etc.</w:t>
      </w:r>
    </w:p>
    <w:p w14:paraId="3318AE56"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"La jurisprudencia de la Corte es extensa en materia de intimidad asociada con el respeto del espacio privado de las personas. Desde 1992 reconoció la intimidad como un derecho fundamental que permite a las personas manejar su propia existencia como a bien lo tengan con el mínimo de injerencias exteriores. Se dijo en ese entonces que se trataba de un derecho "general, absoluto, extrapatrimonial, inalienable e imprescriptible</w:t>
      </w:r>
      <w:r w:rsidRPr="00FC0576">
        <w:rPr>
          <w:rFonts w:ascii="Verdana" w:hAnsi="Verdana"/>
          <w:sz w:val="22"/>
          <w:szCs w:val="22"/>
        </w:rPr>
        <w:t> y </w:t>
      </w:r>
      <w:r w:rsidRPr="00FC0576">
        <w:rPr>
          <w:rFonts w:ascii="Verdana" w:hAnsi="Verdana"/>
          <w:i/>
          <w:iCs/>
          <w:sz w:val="22"/>
          <w:szCs w:val="22"/>
        </w:rPr>
        <w:t>que se pueda hacer valer "erga omnes", vale decir, tanto frente al Estado como a los particulares. En consecuencia, toda</w:t>
      </w:r>
      <w:r w:rsidRPr="00FC0576">
        <w:rPr>
          <w:rFonts w:ascii="Verdana" w:hAnsi="Verdana"/>
          <w:sz w:val="22"/>
          <w:szCs w:val="22"/>
        </w:rPr>
        <w:t> </w:t>
      </w:r>
      <w:r w:rsidRPr="00FC0576">
        <w:rPr>
          <w:rFonts w:ascii="Verdana" w:hAnsi="Verdana"/>
          <w:i/>
          <w:iCs/>
          <w:sz w:val="22"/>
          <w:szCs w:val="22"/>
        </w:rPr>
        <w:t>persona,</w:t>
      </w:r>
      <w:r w:rsidRPr="00FC0576">
        <w:rPr>
          <w:rFonts w:ascii="Verdana" w:hAnsi="Verdana"/>
          <w:sz w:val="22"/>
          <w:szCs w:val="22"/>
        </w:rPr>
        <w:t> </w:t>
      </w:r>
      <w:r w:rsidRPr="00FC0576">
        <w:rPr>
          <w:rFonts w:ascii="Verdana" w:hAnsi="Verdana"/>
          <w:i/>
          <w:iCs/>
          <w:sz w:val="22"/>
          <w:szCs w:val="22"/>
        </w:rPr>
        <w:t>por el hecho de serio, es titular </w:t>
      </w:r>
      <w:r w:rsidRPr="00FC0576">
        <w:rPr>
          <w:rFonts w:ascii="Verdana" w:hAnsi="Verdana"/>
          <w:i/>
          <w:iCs/>
          <w:sz w:val="22"/>
          <w:szCs w:val="22"/>
          <w:u w:val="single"/>
        </w:rPr>
        <w:t>a priori </w:t>
      </w:r>
      <w:r w:rsidRPr="00FC0576">
        <w:rPr>
          <w:rFonts w:ascii="Verdana" w:hAnsi="Verdana"/>
          <w:i/>
          <w:iCs/>
          <w:sz w:val="22"/>
          <w:szCs w:val="22"/>
        </w:rPr>
        <w:t>de este derecho y el único legitimado para permitir la divulgación de datos concernientes</w:t>
      </w:r>
      <w:r w:rsidRPr="00FC0576">
        <w:rPr>
          <w:rFonts w:ascii="Verdana" w:hAnsi="Verdana"/>
          <w:sz w:val="22"/>
          <w:szCs w:val="22"/>
        </w:rPr>
        <w:t> a </w:t>
      </w:r>
      <w:r w:rsidRPr="00FC0576">
        <w:rPr>
          <w:rFonts w:ascii="Verdana" w:hAnsi="Verdana"/>
          <w:i/>
          <w:iCs/>
          <w:sz w:val="22"/>
          <w:szCs w:val="22"/>
        </w:rPr>
        <w:t>su vida privada, Su finalidad es la de asegurar la protección de intereses morales; su titular no puede renunciar total o definitivamente a la intimidad pues dicho acto estaría viciado de nulidad absoluta (...)</w:t>
      </w:r>
    </w:p>
    <w:p w14:paraId="54E4E19F" w14:textId="77777777" w:rsidR="00FC0576" w:rsidRPr="00FC0576" w:rsidRDefault="00FC0576" w:rsidP="00FC0576">
      <w:pPr>
        <w:jc w:val="both"/>
        <w:rPr>
          <w:rFonts w:ascii="Verdana" w:hAnsi="Verdana"/>
          <w:sz w:val="22"/>
          <w:szCs w:val="22"/>
        </w:rPr>
      </w:pPr>
      <w:r w:rsidRPr="00FC0576">
        <w:rPr>
          <w:rFonts w:ascii="Verdana" w:hAnsi="Verdana"/>
          <w:sz w:val="22"/>
          <w:szCs w:val="22"/>
        </w:rPr>
        <w:t>(...)</w:t>
      </w:r>
    </w:p>
    <w:p w14:paraId="6BB07C6E"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 xml:space="preserve">De otro lado, la filmación en espacios privados como el </w:t>
      </w:r>
      <w:proofErr w:type="gramStart"/>
      <w:r w:rsidRPr="00FC0576">
        <w:rPr>
          <w:rFonts w:ascii="Verdana" w:hAnsi="Verdana"/>
          <w:i/>
          <w:iCs/>
          <w:sz w:val="22"/>
          <w:szCs w:val="22"/>
        </w:rPr>
        <w:t>domicilio,</w:t>
      </w:r>
      <w:proofErr w:type="gramEnd"/>
      <w:r w:rsidRPr="00FC0576">
        <w:rPr>
          <w:rFonts w:ascii="Verdana" w:hAnsi="Verdana"/>
          <w:i/>
          <w:iCs/>
          <w:sz w:val="22"/>
          <w:szCs w:val="22"/>
        </w:rPr>
        <w:t xml:space="preserve"> no son tan generalizadas. Las cámaras pueden ser instaladas para garantizar la seguridad</w:t>
      </w:r>
      <w:r w:rsidRPr="00FC0576">
        <w:rPr>
          <w:rFonts w:ascii="Verdana" w:hAnsi="Verdana"/>
          <w:sz w:val="22"/>
          <w:szCs w:val="22"/>
        </w:rPr>
        <w:t>, </w:t>
      </w:r>
      <w:r w:rsidRPr="00FC0576">
        <w:rPr>
          <w:rFonts w:ascii="Verdana" w:hAnsi="Verdana"/>
          <w:i/>
          <w:iCs/>
          <w:sz w:val="22"/>
          <w:szCs w:val="22"/>
        </w:rPr>
        <w:t xml:space="preserve">por voluntad del interesado, cuando por ejemplo quiere vigilar la conducta del personal de servicio, o en el perímetro de una casa para evitar los asaltos, o pueden ser utilizadas para filmar las actividades de las personas dentro de la casa con diferentes fines. En estos casos, no es el Estado o el dueño de un espacio </w:t>
      </w:r>
      <w:proofErr w:type="spellStart"/>
      <w:r w:rsidRPr="00FC0576">
        <w:rPr>
          <w:rFonts w:ascii="Verdana" w:hAnsi="Verdana"/>
          <w:i/>
          <w:iCs/>
          <w:sz w:val="22"/>
          <w:szCs w:val="22"/>
        </w:rPr>
        <w:t>semi-público</w:t>
      </w:r>
      <w:proofErr w:type="spellEnd"/>
      <w:r w:rsidRPr="00FC0576">
        <w:rPr>
          <w:rFonts w:ascii="Verdana" w:hAnsi="Verdana"/>
          <w:i/>
          <w:iCs/>
          <w:sz w:val="22"/>
          <w:szCs w:val="22"/>
        </w:rPr>
        <w:t xml:space="preserve"> o </w:t>
      </w:r>
      <w:proofErr w:type="spellStart"/>
      <w:r w:rsidRPr="00FC0576">
        <w:rPr>
          <w:rFonts w:ascii="Verdana" w:hAnsi="Verdana"/>
          <w:i/>
          <w:iCs/>
          <w:sz w:val="22"/>
          <w:szCs w:val="22"/>
        </w:rPr>
        <w:t>semi-privado</w:t>
      </w:r>
      <w:proofErr w:type="spellEnd"/>
      <w:r w:rsidRPr="00FC0576">
        <w:rPr>
          <w:rFonts w:ascii="Verdana" w:hAnsi="Verdana"/>
          <w:i/>
          <w:iCs/>
          <w:sz w:val="22"/>
          <w:szCs w:val="22"/>
        </w:rPr>
        <w:t xml:space="preserve"> quien controla la grabación, sino el propio individuo, por consiguiente, al pertenecer a su esfera privada, no se vulnera derecho alguno a menos de que la información</w:t>
      </w:r>
      <w:r w:rsidRPr="00FC0576">
        <w:rPr>
          <w:rFonts w:ascii="Verdana" w:hAnsi="Verdana"/>
          <w:sz w:val="22"/>
          <w:szCs w:val="22"/>
        </w:rPr>
        <w:t> sea </w:t>
      </w:r>
      <w:r w:rsidRPr="00FC0576">
        <w:rPr>
          <w:rFonts w:ascii="Verdana" w:hAnsi="Verdana"/>
          <w:i/>
          <w:iCs/>
          <w:sz w:val="22"/>
          <w:szCs w:val="22"/>
        </w:rPr>
        <w:t>divulgada por un tercero".</w:t>
      </w:r>
    </w:p>
    <w:p w14:paraId="6CA288D6" w14:textId="77777777" w:rsidR="00FC0576" w:rsidRPr="00FC0576" w:rsidRDefault="00FC0576" w:rsidP="00FC0576">
      <w:pPr>
        <w:jc w:val="both"/>
        <w:rPr>
          <w:rFonts w:ascii="Verdana" w:hAnsi="Verdana"/>
          <w:sz w:val="22"/>
          <w:szCs w:val="22"/>
        </w:rPr>
      </w:pPr>
      <w:r w:rsidRPr="00FC0576">
        <w:rPr>
          <w:rFonts w:ascii="Verdana" w:hAnsi="Verdana"/>
          <w:sz w:val="22"/>
          <w:szCs w:val="22"/>
          <w:u w:val="single"/>
        </w:rPr>
        <w:lastRenderedPageBreak/>
        <w:t>(2.4) Derecho Fundamental al Debido Proceso</w:t>
      </w:r>
    </w:p>
    <w:p w14:paraId="326863C4" w14:textId="5B38ACDB" w:rsidR="00FC0576" w:rsidRPr="00FC0576" w:rsidRDefault="00FC0576" w:rsidP="00FC0576">
      <w:pPr>
        <w:jc w:val="both"/>
        <w:rPr>
          <w:rFonts w:ascii="Verdana" w:hAnsi="Verdana"/>
          <w:sz w:val="22"/>
          <w:szCs w:val="22"/>
        </w:rPr>
      </w:pPr>
      <w:r w:rsidRPr="00FC0576">
        <w:rPr>
          <w:rFonts w:ascii="Verdana" w:hAnsi="Verdana"/>
          <w:sz w:val="22"/>
          <w:szCs w:val="22"/>
        </w:rPr>
        <w:t xml:space="preserve">El debido proceso debe entenderse como una manifestación del Estado que busca proteger al individuo frente a las actuaciones de las </w:t>
      </w:r>
      <w:proofErr w:type="gramStart"/>
      <w:r w:rsidRPr="00FC0576">
        <w:rPr>
          <w:rFonts w:ascii="Verdana" w:hAnsi="Verdana"/>
          <w:sz w:val="22"/>
          <w:szCs w:val="22"/>
        </w:rPr>
        <w:t>autoridades públicas</w:t>
      </w:r>
      <w:proofErr w:type="gramEnd"/>
      <w:r w:rsidRPr="00FC0576">
        <w:rPr>
          <w:rFonts w:ascii="Verdana" w:hAnsi="Verdana"/>
          <w:sz w:val="22"/>
          <w:szCs w:val="22"/>
        </w:rPr>
        <w:t>, procurando en todo momento el respeto a las formas propias de cada juicio. El artículo 29 del ordenamiento constitucional lo consagra expresamente para toda clase de actuaciones judiciales o administrativas.</w:t>
      </w:r>
    </w:p>
    <w:p w14:paraId="69C830F0" w14:textId="77777777" w:rsidR="00FC0576" w:rsidRPr="00FC0576" w:rsidRDefault="00FC0576" w:rsidP="00FC0576">
      <w:pPr>
        <w:jc w:val="both"/>
        <w:rPr>
          <w:rFonts w:ascii="Verdana" w:hAnsi="Verdana"/>
          <w:sz w:val="22"/>
          <w:szCs w:val="22"/>
        </w:rPr>
      </w:pPr>
      <w:r w:rsidRPr="00FC0576">
        <w:rPr>
          <w:rFonts w:ascii="Verdana" w:hAnsi="Verdana"/>
          <w:sz w:val="22"/>
          <w:szCs w:val="22"/>
        </w:rPr>
        <w:t xml:space="preserve">Así entonces, las situaciones de controversia que surjan de cualquier tipo de </w:t>
      </w:r>
      <w:proofErr w:type="gramStart"/>
      <w:r w:rsidRPr="00FC0576">
        <w:rPr>
          <w:rFonts w:ascii="Verdana" w:hAnsi="Verdana"/>
          <w:sz w:val="22"/>
          <w:szCs w:val="22"/>
        </w:rPr>
        <w:t>proceso,</w:t>
      </w:r>
      <w:proofErr w:type="gramEnd"/>
      <w:r w:rsidRPr="00FC0576">
        <w:rPr>
          <w:rFonts w:ascii="Verdana" w:hAnsi="Verdana"/>
          <w:sz w:val="22"/>
          <w:szCs w:val="22"/>
        </w:rPr>
        <w:t xml:space="preserve"> requieren de una regulación jurídica previa que limite los poderes del Estada y establezcan el respeto de los derechos y obligaciones de los sujetos procesales, de manera que ninguna actuación de las autoridades dependa de su propio arbitrio, sino que se encuentren sujetas a los procedimientos señalados en la ley o los reglamentos.</w:t>
      </w:r>
    </w:p>
    <w:p w14:paraId="400A661E" w14:textId="77777777" w:rsidR="00FC0576" w:rsidRPr="00FC0576" w:rsidRDefault="00FC0576" w:rsidP="00FC0576">
      <w:pPr>
        <w:jc w:val="both"/>
        <w:rPr>
          <w:rFonts w:ascii="Verdana" w:hAnsi="Verdana"/>
          <w:sz w:val="22"/>
          <w:szCs w:val="22"/>
        </w:rPr>
      </w:pPr>
      <w:r w:rsidRPr="00FC0576">
        <w:rPr>
          <w:rFonts w:ascii="Verdana" w:hAnsi="Verdana"/>
          <w:sz w:val="22"/>
          <w:szCs w:val="22"/>
        </w:rPr>
        <w:t>La Corte Constitucional al respecto ha manifestado que:</w:t>
      </w:r>
    </w:p>
    <w:p w14:paraId="69FC5B32"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 xml:space="preserve">"Si bien la jurisprudencia constitucional ha establecido que las garantías mínimas propias del derecho fundamental al debido </w:t>
      </w:r>
      <w:proofErr w:type="gramStart"/>
      <w:r w:rsidRPr="00FC0576">
        <w:rPr>
          <w:rFonts w:ascii="Verdana" w:hAnsi="Verdana"/>
          <w:i/>
          <w:iCs/>
          <w:sz w:val="22"/>
          <w:szCs w:val="22"/>
        </w:rPr>
        <w:t>proceso,</w:t>
      </w:r>
      <w:proofErr w:type="gramEnd"/>
      <w:r w:rsidRPr="00FC0576">
        <w:rPr>
          <w:rFonts w:ascii="Verdana" w:hAnsi="Verdana"/>
          <w:i/>
          <w:iCs/>
          <w:sz w:val="22"/>
          <w:szCs w:val="22"/>
        </w:rPr>
        <w:t xml:space="preserve"> son aplicables al procedimiento administrativo, y deben ser aseguradas durante su desarrollo a fin de garantizar el equilibrio entre los sujetos que resultan involucrados en una decisión administrativa, también ha advertido sobre las importantes diferencias que existen entre uno y otro procedimiento, derivadas de las distintas finalidades que persiguen. En este sentido ha indicado que "Mientras el primero busca la resolución de conflictos de orden jurídico, o la defensa de la supremacía constitucional o del principio de legalidad, el segundo tiene por objeto el cumplimiento de la función administrativa en beneficio del interés general. Esta dualidad de fines hace que el procedimiento administrativo sea, en general, más ágil, rápido y flexible que el judicial, habida cuenta de la necesaria intervención de la Administración en diversas esferas de la vida social que requieren de una eficaz y oportuna prestación de la función pública. No obstante, paralelamente a esta finalidad particular que persigue cada uno de los procedimientos, ambos deben estructurarse como un sistema de garantías de los derechos de los administrados, particularmente de las garantías que conforman el debido proceso”.</w:t>
      </w:r>
    </w:p>
    <w:p w14:paraId="11438640" w14:textId="5283F52D" w:rsidR="00FC0576" w:rsidRPr="00FC0576" w:rsidRDefault="00FC0576" w:rsidP="00FC0576">
      <w:pPr>
        <w:jc w:val="both"/>
        <w:rPr>
          <w:rFonts w:ascii="Verdana" w:hAnsi="Verdana"/>
          <w:sz w:val="22"/>
          <w:szCs w:val="22"/>
        </w:rPr>
      </w:pPr>
      <w:r w:rsidRPr="00FC0576">
        <w:rPr>
          <w:rFonts w:ascii="Verdana" w:hAnsi="Verdana"/>
          <w:sz w:val="22"/>
          <w:szCs w:val="22"/>
        </w:rPr>
        <w:t>El artículo 29 de la Constitución Política determina que: </w:t>
      </w:r>
      <w:r w:rsidRPr="00FC0576">
        <w:rPr>
          <w:rFonts w:ascii="Verdana" w:hAnsi="Verdana"/>
          <w:i/>
          <w:iCs/>
          <w:sz w:val="22"/>
          <w:szCs w:val="22"/>
        </w:rPr>
        <w:t>"es</w:t>
      </w:r>
      <w:r w:rsidRPr="00FC0576">
        <w:rPr>
          <w:rFonts w:ascii="Verdana" w:hAnsi="Verdana"/>
          <w:sz w:val="22"/>
          <w:szCs w:val="22"/>
        </w:rPr>
        <w:t> </w:t>
      </w:r>
      <w:r w:rsidRPr="00FC0576">
        <w:rPr>
          <w:rFonts w:ascii="Verdana" w:hAnsi="Verdana"/>
          <w:i/>
          <w:iCs/>
          <w:sz w:val="22"/>
          <w:szCs w:val="22"/>
        </w:rPr>
        <w:t>nula de pleno derecho la prueba obtenida con violación al debido proceso</w:t>
      </w:r>
      <w:r w:rsidRPr="00FC0576">
        <w:rPr>
          <w:rFonts w:ascii="Verdana" w:hAnsi="Verdana"/>
          <w:sz w:val="22"/>
          <w:szCs w:val="22"/>
        </w:rPr>
        <w:t>”.</w:t>
      </w:r>
    </w:p>
    <w:p w14:paraId="66820D1B" w14:textId="23FD022B" w:rsidR="00FC0576" w:rsidRPr="00FC0576" w:rsidRDefault="00FC0576" w:rsidP="00FC0576">
      <w:pPr>
        <w:jc w:val="both"/>
        <w:rPr>
          <w:rFonts w:ascii="Verdana" w:hAnsi="Verdana"/>
          <w:sz w:val="22"/>
          <w:szCs w:val="22"/>
        </w:rPr>
      </w:pPr>
      <w:r w:rsidRPr="00FC0576">
        <w:rPr>
          <w:rFonts w:ascii="Verdana" w:hAnsi="Verdana"/>
          <w:sz w:val="22"/>
          <w:szCs w:val="22"/>
        </w:rPr>
        <w:t>El artículo 40 del Código de Procedimiento Administrativo y de lo Contencioso Administrativo establece que:</w:t>
      </w:r>
    </w:p>
    <w:p w14:paraId="263DA611"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Durante la actuación administrativa y hasta antes de que se profiera la decisión de fondo se podrán aportar, pedir y practicar pruebas de oficio o a petición del interesado sin requisitos especiales. </w:t>
      </w:r>
      <w:r w:rsidRPr="00FC0576">
        <w:rPr>
          <w:rFonts w:ascii="Verdana" w:hAnsi="Verdana"/>
          <w:i/>
          <w:iCs/>
          <w:sz w:val="22"/>
          <w:szCs w:val="22"/>
          <w:u w:val="single"/>
        </w:rPr>
        <w:t xml:space="preserve">Contra el acto que decida la solicitud de </w:t>
      </w:r>
      <w:r w:rsidRPr="00FC0576">
        <w:rPr>
          <w:rFonts w:ascii="Verdana" w:hAnsi="Verdana"/>
          <w:i/>
          <w:iCs/>
          <w:sz w:val="22"/>
          <w:szCs w:val="22"/>
          <w:u w:val="single"/>
        </w:rPr>
        <w:lastRenderedPageBreak/>
        <w:t>pruebas no proceden recursos</w:t>
      </w:r>
      <w:r w:rsidRPr="00FC0576">
        <w:rPr>
          <w:rFonts w:ascii="Verdana" w:hAnsi="Verdana"/>
          <w:i/>
          <w:iCs/>
          <w:sz w:val="22"/>
          <w:szCs w:val="22"/>
        </w:rPr>
        <w:t>. Ei interesado contará con la oportunidad de controvertir las pruebas aportadas o practicadas dentro de la actuación, antes de que se dicte una decisión de fondo.</w:t>
      </w:r>
    </w:p>
    <w:p w14:paraId="2618AB2D"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Los gastos que ocasione la práctica de pruebas correrán por cuenta de quien las pidió. Si son varios los interesados, los gastos se distribuirán en cuotas iguales.</w:t>
      </w:r>
    </w:p>
    <w:p w14:paraId="1B6B9E63"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Serán admisibles todos los medios de prueba señalados en el Código de Procedimiento Civil”.</w:t>
      </w:r>
    </w:p>
    <w:p w14:paraId="0AA808EB" w14:textId="64C33A7B" w:rsidR="00FC0576" w:rsidRPr="00FC0576" w:rsidRDefault="00FC0576" w:rsidP="00FC0576">
      <w:pPr>
        <w:jc w:val="both"/>
        <w:rPr>
          <w:rFonts w:ascii="Verdana" w:hAnsi="Verdana"/>
          <w:sz w:val="22"/>
          <w:szCs w:val="22"/>
        </w:rPr>
      </w:pPr>
      <w:r w:rsidRPr="00FC0576">
        <w:rPr>
          <w:rFonts w:ascii="Verdana" w:hAnsi="Verdana"/>
          <w:sz w:val="22"/>
          <w:szCs w:val="22"/>
        </w:rPr>
        <w:t>El artículo 183, modificado por la ley 794 de 2003 establece:</w:t>
      </w:r>
    </w:p>
    <w:p w14:paraId="6B6AE7C0" w14:textId="77777777" w:rsidR="00FC0576" w:rsidRPr="00FC0576" w:rsidRDefault="00FC0576" w:rsidP="00FC0576">
      <w:pPr>
        <w:jc w:val="both"/>
        <w:rPr>
          <w:rFonts w:ascii="Verdana" w:hAnsi="Verdana"/>
          <w:sz w:val="22"/>
          <w:szCs w:val="22"/>
        </w:rPr>
      </w:pPr>
      <w:r w:rsidRPr="00FC0576">
        <w:rPr>
          <w:rFonts w:ascii="Verdana" w:hAnsi="Verdana"/>
          <w:i/>
          <w:iCs/>
          <w:sz w:val="22"/>
          <w:szCs w:val="22"/>
        </w:rPr>
        <w:t>“Para que sean apreciadas las pruebas por el Juez </w:t>
      </w:r>
      <w:r w:rsidRPr="00FC0576">
        <w:rPr>
          <w:rFonts w:ascii="Verdana" w:hAnsi="Verdana"/>
          <w:i/>
          <w:iCs/>
          <w:sz w:val="22"/>
          <w:szCs w:val="22"/>
          <w:u w:val="single"/>
        </w:rPr>
        <w:t>las pruebas deberán solicitarse,</w:t>
      </w:r>
      <w:r w:rsidRPr="00FC0576">
        <w:rPr>
          <w:rFonts w:ascii="Verdana" w:hAnsi="Verdana"/>
          <w:i/>
          <w:iCs/>
          <w:sz w:val="22"/>
          <w:szCs w:val="22"/>
        </w:rPr>
        <w:t> practicarse e incorporarse al proceso dentro de los términos y oportunidades señalados para ello en este código”.</w:t>
      </w:r>
    </w:p>
    <w:p w14:paraId="7F499C6B" w14:textId="77777777" w:rsidR="00FC0576" w:rsidRPr="00FC0576" w:rsidRDefault="00FC0576" w:rsidP="00FC0576">
      <w:pPr>
        <w:jc w:val="both"/>
        <w:rPr>
          <w:rFonts w:ascii="Verdana" w:hAnsi="Verdana"/>
          <w:b/>
          <w:bCs/>
          <w:sz w:val="22"/>
          <w:szCs w:val="22"/>
        </w:rPr>
      </w:pPr>
      <w:r w:rsidRPr="00FC0576">
        <w:rPr>
          <w:rFonts w:ascii="Verdana" w:hAnsi="Verdana"/>
          <w:b/>
          <w:bCs/>
          <w:sz w:val="22"/>
          <w:szCs w:val="22"/>
        </w:rPr>
        <w:t>3. CONCLUSIONES</w:t>
      </w:r>
    </w:p>
    <w:p w14:paraId="4602B5D3" w14:textId="77777777" w:rsidR="00FC0576" w:rsidRPr="00FC0576" w:rsidRDefault="00FC0576" w:rsidP="00FC0576">
      <w:pPr>
        <w:jc w:val="both"/>
        <w:rPr>
          <w:rFonts w:ascii="Verdana" w:hAnsi="Verdana"/>
          <w:sz w:val="22"/>
          <w:szCs w:val="22"/>
        </w:rPr>
      </w:pPr>
      <w:r w:rsidRPr="00FC0576">
        <w:rPr>
          <w:rFonts w:ascii="Verdana" w:hAnsi="Verdana"/>
          <w:sz w:val="22"/>
          <w:szCs w:val="22"/>
        </w:rPr>
        <w:t>Teniendo en cuenta las consideraciones de orden legal expuestas se puede concluir lo siguiente:</w:t>
      </w:r>
    </w:p>
    <w:p w14:paraId="71062A5A" w14:textId="77777777" w:rsidR="00FC0576" w:rsidRPr="00FC0576" w:rsidRDefault="00FC0576" w:rsidP="00FC0576">
      <w:pPr>
        <w:jc w:val="both"/>
        <w:rPr>
          <w:rFonts w:ascii="Verdana" w:hAnsi="Verdana"/>
          <w:sz w:val="22"/>
          <w:szCs w:val="22"/>
        </w:rPr>
      </w:pPr>
      <w:r w:rsidRPr="00FC0576">
        <w:rPr>
          <w:rFonts w:ascii="Verdana" w:hAnsi="Verdana"/>
          <w:sz w:val="22"/>
          <w:szCs w:val="22"/>
        </w:rPr>
        <w:t xml:space="preserve">Primero: La grabación como una prueba dentro de un proceso de custodia debe ser autorizada por el Defensor de Familia, quien es la autoridad encargada de dirigir el proceso y quien determinará y </w:t>
      </w:r>
      <w:proofErr w:type="gramStart"/>
      <w:r w:rsidRPr="00FC0576">
        <w:rPr>
          <w:rFonts w:ascii="Verdana" w:hAnsi="Verdana"/>
          <w:sz w:val="22"/>
          <w:szCs w:val="22"/>
        </w:rPr>
        <w:t>sustentara</w:t>
      </w:r>
      <w:proofErr w:type="gramEnd"/>
      <w:r w:rsidRPr="00FC0576">
        <w:rPr>
          <w:rFonts w:ascii="Verdana" w:hAnsi="Verdana"/>
          <w:sz w:val="22"/>
          <w:szCs w:val="22"/>
        </w:rPr>
        <w:t xml:space="preserve"> la pertinencia de autorizar la misma.</w:t>
      </w:r>
    </w:p>
    <w:p w14:paraId="1493C292" w14:textId="64D0215E" w:rsidR="00FC0576" w:rsidRPr="00FC0576" w:rsidRDefault="00FC0576" w:rsidP="00FC0576">
      <w:pPr>
        <w:jc w:val="both"/>
        <w:rPr>
          <w:rFonts w:ascii="Verdana" w:hAnsi="Verdana"/>
          <w:sz w:val="22"/>
          <w:szCs w:val="22"/>
        </w:rPr>
      </w:pPr>
      <w:r w:rsidRPr="00FC0576">
        <w:rPr>
          <w:rFonts w:ascii="Verdana" w:hAnsi="Verdana"/>
          <w:sz w:val="22"/>
          <w:szCs w:val="22"/>
        </w:rPr>
        <w:t xml:space="preserve">El presente </w:t>
      </w:r>
      <w:proofErr w:type="gramStart"/>
      <w:r w:rsidRPr="00FC0576">
        <w:rPr>
          <w:rFonts w:ascii="Verdana" w:hAnsi="Verdana"/>
          <w:sz w:val="22"/>
          <w:szCs w:val="22"/>
        </w:rPr>
        <w:t>concepto</w:t>
      </w:r>
      <w:r w:rsidRPr="00FC0576">
        <w:rPr>
          <w:rFonts w:ascii="Verdana" w:hAnsi="Verdana"/>
          <w:sz w:val="22"/>
          <w:szCs w:val="22"/>
          <w:vertAlign w:val="subscript"/>
        </w:rPr>
        <w:t>[</w:t>
      </w:r>
      <w:proofErr w:type="gramEnd"/>
      <w:r w:rsidRPr="00FC0576">
        <w:rPr>
          <w:rFonts w:ascii="Verdana" w:hAnsi="Verdana"/>
          <w:sz w:val="22"/>
          <w:szCs w:val="22"/>
          <w:vertAlign w:val="subscript"/>
        </w:rPr>
        <w:t>6]</w:t>
      </w:r>
      <w:r w:rsidRPr="00FC0576">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FC0576">
        <w:rPr>
          <w:rFonts w:ascii="Verdana" w:hAnsi="Verdana"/>
          <w:sz w:val="22"/>
          <w:szCs w:val="22"/>
        </w:rPr>
        <w:t>obstante</w:t>
      </w:r>
      <w:proofErr w:type="gramEnd"/>
      <w:r w:rsidRPr="00FC0576">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6C652AC" w14:textId="77777777" w:rsidR="00FC0576" w:rsidRDefault="00FC0576" w:rsidP="00FC0576">
      <w:pPr>
        <w:jc w:val="both"/>
        <w:rPr>
          <w:rFonts w:ascii="Verdana" w:hAnsi="Verdana"/>
          <w:sz w:val="22"/>
          <w:szCs w:val="22"/>
        </w:rPr>
      </w:pPr>
    </w:p>
    <w:p w14:paraId="039C28E5" w14:textId="426B3B14" w:rsidR="00FC0576" w:rsidRPr="00FC0576" w:rsidRDefault="00FC0576" w:rsidP="00FC0576">
      <w:pPr>
        <w:jc w:val="both"/>
        <w:rPr>
          <w:rFonts w:ascii="Verdana" w:hAnsi="Verdana"/>
          <w:sz w:val="22"/>
          <w:szCs w:val="22"/>
        </w:rPr>
      </w:pPr>
      <w:r w:rsidRPr="00FC0576">
        <w:rPr>
          <w:rFonts w:ascii="Verdana" w:hAnsi="Verdana"/>
          <w:sz w:val="22"/>
          <w:szCs w:val="22"/>
        </w:rPr>
        <w:t>Cordialmente,</w:t>
      </w:r>
    </w:p>
    <w:p w14:paraId="18D9821B" w14:textId="77777777" w:rsidR="00FC0576" w:rsidRPr="00FC0576" w:rsidRDefault="00FC0576" w:rsidP="00FC0576">
      <w:pPr>
        <w:jc w:val="both"/>
        <w:rPr>
          <w:rFonts w:ascii="Verdana" w:hAnsi="Verdana"/>
          <w:sz w:val="22"/>
          <w:szCs w:val="22"/>
        </w:rPr>
      </w:pPr>
      <w:r w:rsidRPr="00FC0576">
        <w:rPr>
          <w:rFonts w:ascii="Verdana" w:hAnsi="Verdana"/>
          <w:b/>
          <w:bCs/>
          <w:sz w:val="22"/>
          <w:szCs w:val="22"/>
        </w:rPr>
        <w:t>LUISA MARINA BALLESTEROS ARISTIZABAL</w:t>
      </w:r>
    </w:p>
    <w:p w14:paraId="6B610007" w14:textId="77777777" w:rsidR="00FC0576" w:rsidRPr="00FC0576" w:rsidRDefault="00FC0576" w:rsidP="00FC0576">
      <w:pPr>
        <w:jc w:val="both"/>
        <w:rPr>
          <w:rFonts w:ascii="Verdana" w:hAnsi="Verdana"/>
          <w:sz w:val="22"/>
          <w:szCs w:val="22"/>
        </w:rPr>
      </w:pPr>
      <w:r w:rsidRPr="00FC0576">
        <w:rPr>
          <w:rFonts w:ascii="Verdana" w:hAnsi="Verdana"/>
          <w:sz w:val="22"/>
          <w:szCs w:val="22"/>
        </w:rPr>
        <w:t>Jefe Oficina Asesora Jurídica</w:t>
      </w:r>
    </w:p>
    <w:p w14:paraId="3BD701C2" w14:textId="77777777" w:rsidR="00FC0576" w:rsidRDefault="00FC0576" w:rsidP="00FC0576">
      <w:pPr>
        <w:jc w:val="both"/>
        <w:rPr>
          <w:rFonts w:ascii="Verdana" w:hAnsi="Verdana"/>
          <w:b/>
          <w:bCs/>
          <w:sz w:val="22"/>
          <w:szCs w:val="22"/>
        </w:rPr>
      </w:pPr>
    </w:p>
    <w:p w14:paraId="034AEB8E" w14:textId="0C33D74B" w:rsidR="00FC0576" w:rsidRPr="00FC0576" w:rsidRDefault="00FC0576" w:rsidP="00FC0576">
      <w:pPr>
        <w:jc w:val="both"/>
        <w:rPr>
          <w:rFonts w:ascii="Verdana" w:hAnsi="Verdana"/>
          <w:b/>
          <w:bCs/>
          <w:sz w:val="22"/>
          <w:szCs w:val="22"/>
        </w:rPr>
      </w:pPr>
      <w:r w:rsidRPr="00FC0576">
        <w:rPr>
          <w:rFonts w:ascii="Verdana" w:hAnsi="Verdana"/>
          <w:b/>
          <w:bCs/>
          <w:sz w:val="22"/>
          <w:szCs w:val="22"/>
        </w:rPr>
        <w:t>Notas Pie de Página:</w:t>
      </w:r>
    </w:p>
    <w:p w14:paraId="6C3B6659" w14:textId="13B3E86B"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lastRenderedPageBreak/>
        <w:t>Ley 1098 de 2006</w:t>
      </w:r>
    </w:p>
    <w:p w14:paraId="3DD25447" w14:textId="7F7EA4BA"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t>Artículo 4o de la Ley 1098 de 2006.</w:t>
      </w:r>
    </w:p>
    <w:p w14:paraId="48F80095" w14:textId="51CBC4F3"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t>Corte Constitucional C-149 del 11 de marzo de 2009. M.P; Dr. Gabriel Eduardo Mendoza Martelo.</w:t>
      </w:r>
    </w:p>
    <w:p w14:paraId="6D3B3755" w14:textId="2E0CF663"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t xml:space="preserve">Corte Constitucional, sentencia C-690/08 expedientó D-6939, M.P. Nilson Pinilla </w:t>
      </w:r>
      <w:proofErr w:type="spellStart"/>
      <w:r w:rsidRPr="00FC0576">
        <w:rPr>
          <w:rFonts w:ascii="Verdana" w:hAnsi="Verdana"/>
          <w:sz w:val="22"/>
          <w:szCs w:val="22"/>
        </w:rPr>
        <w:t>Pinilla</w:t>
      </w:r>
      <w:proofErr w:type="spellEnd"/>
      <w:r w:rsidRPr="00FC0576">
        <w:rPr>
          <w:rFonts w:ascii="Verdana" w:hAnsi="Verdana"/>
          <w:sz w:val="22"/>
          <w:szCs w:val="22"/>
        </w:rPr>
        <w:t>.</w:t>
      </w:r>
    </w:p>
    <w:p w14:paraId="13C6A49A" w14:textId="0E6C659F"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t>Código de la Infancia y la Adolescencia</w:t>
      </w:r>
    </w:p>
    <w:p w14:paraId="46A57100" w14:textId="7B2CB62C" w:rsidR="00FC0576" w:rsidRPr="00FC0576" w:rsidRDefault="00FC0576" w:rsidP="00BD3722">
      <w:pPr>
        <w:pStyle w:val="Prrafodelista"/>
        <w:numPr>
          <w:ilvl w:val="0"/>
          <w:numId w:val="1"/>
        </w:numPr>
        <w:jc w:val="both"/>
        <w:rPr>
          <w:rFonts w:ascii="Verdana" w:hAnsi="Verdana"/>
          <w:sz w:val="22"/>
          <w:szCs w:val="22"/>
        </w:rPr>
      </w:pPr>
      <w:r w:rsidRPr="00FC0576">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se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et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765F6"/>
    <w:multiLevelType w:val="hybridMultilevel"/>
    <w:tmpl w:val="4FD2A7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333933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D3722"/>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32FF"/>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C0576"/>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304</TotalTime>
  <Pages>8</Pages>
  <Words>2913</Words>
  <Characters>16023</Characters>
  <Application>Microsoft Office Word</Application>
  <DocSecurity>0</DocSecurity>
  <Lines>133</Lines>
  <Paragraphs>37</Paragraphs>
  <ScaleCrop>false</ScaleCrop>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211</cp:revision>
  <dcterms:created xsi:type="dcterms:W3CDTF">2026-05-08T19:08:00Z</dcterms:created>
  <dcterms:modified xsi:type="dcterms:W3CDTF">2026-07-21T03:27:00Z</dcterms:modified>
</cp:coreProperties>
</file>