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9B2D" w14:textId="77777777" w:rsidR="00B20229" w:rsidRPr="00B20229" w:rsidRDefault="00B20229" w:rsidP="00B20229">
      <w:pPr>
        <w:jc w:val="center"/>
        <w:rPr>
          <w:rFonts w:ascii="Verdana" w:hAnsi="Verdana"/>
          <w:sz w:val="22"/>
          <w:szCs w:val="22"/>
        </w:rPr>
      </w:pPr>
      <w:r w:rsidRPr="00B20229">
        <w:rPr>
          <w:rFonts w:ascii="Verdana" w:hAnsi="Verdana"/>
          <w:b/>
          <w:bCs/>
          <w:sz w:val="22"/>
          <w:szCs w:val="22"/>
        </w:rPr>
        <w:t>CONCEPTO 128 DE 2017</w:t>
      </w:r>
    </w:p>
    <w:p w14:paraId="2136D97A" w14:textId="77777777" w:rsidR="00B20229" w:rsidRPr="00B20229" w:rsidRDefault="00B20229" w:rsidP="00B20229">
      <w:pPr>
        <w:jc w:val="center"/>
        <w:rPr>
          <w:rFonts w:ascii="Verdana" w:hAnsi="Verdana"/>
          <w:sz w:val="22"/>
          <w:szCs w:val="22"/>
        </w:rPr>
      </w:pPr>
      <w:r w:rsidRPr="00B20229">
        <w:rPr>
          <w:rFonts w:ascii="Verdana" w:hAnsi="Verdana"/>
          <w:sz w:val="22"/>
          <w:szCs w:val="22"/>
        </w:rPr>
        <w:t>(octubre 20)</w:t>
      </w:r>
    </w:p>
    <w:p w14:paraId="0B18CF93" w14:textId="77777777" w:rsidR="00B20229" w:rsidRPr="00B20229" w:rsidRDefault="00B20229" w:rsidP="00B20229">
      <w:pPr>
        <w:jc w:val="center"/>
        <w:rPr>
          <w:rFonts w:ascii="Verdana" w:hAnsi="Verdana"/>
          <w:sz w:val="22"/>
          <w:szCs w:val="22"/>
        </w:rPr>
      </w:pPr>
      <w:r w:rsidRPr="00B20229">
        <w:rPr>
          <w:rFonts w:ascii="Verdana" w:hAnsi="Verdana"/>
          <w:b/>
          <w:bCs/>
          <w:sz w:val="22"/>
          <w:szCs w:val="22"/>
        </w:rPr>
        <w:t>INSTITUTO COLOMBIANO DE BIENESTAR FAMILIAR</w:t>
      </w:r>
    </w:p>
    <w:p w14:paraId="66213FAA" w14:textId="77777777" w:rsidR="00B20229" w:rsidRPr="00B20229" w:rsidRDefault="00B20229" w:rsidP="00B20229">
      <w:pPr>
        <w:jc w:val="both"/>
        <w:rPr>
          <w:rFonts w:ascii="Verdana" w:hAnsi="Verdana"/>
          <w:sz w:val="22"/>
          <w:szCs w:val="22"/>
        </w:rPr>
      </w:pPr>
      <w:r w:rsidRPr="00B20229">
        <w:rPr>
          <w:rFonts w:ascii="Verdana" w:hAnsi="Verdana"/>
          <w:b/>
          <w:bCs/>
          <w:sz w:val="22"/>
          <w:szCs w:val="22"/>
        </w:rPr>
        <w:t>ASUNTO:</w:t>
      </w:r>
      <w:r w:rsidRPr="00B20229">
        <w:rPr>
          <w:rFonts w:ascii="Verdana" w:hAnsi="Verdana"/>
          <w:sz w:val="22"/>
          <w:szCs w:val="22"/>
        </w:rPr>
        <w:t> Consulta sobre término para modificar las medidas de restablecimiento de derechos.</w:t>
      </w:r>
    </w:p>
    <w:p w14:paraId="2494576B" w14:textId="3F87FEB6" w:rsidR="00B20229" w:rsidRPr="00B20229" w:rsidRDefault="00B20229" w:rsidP="00B20229">
      <w:pPr>
        <w:jc w:val="both"/>
        <w:rPr>
          <w:rFonts w:ascii="Verdana" w:hAnsi="Verdana"/>
          <w:sz w:val="22"/>
          <w:szCs w:val="22"/>
        </w:rPr>
      </w:pPr>
      <w:r w:rsidRPr="00B20229">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6o, numeral 4, del Decreto 987 de 2012, se responde la solicitud de concepto definitivo sobre el caso en cuestión, en los términos que siguen:</w:t>
      </w:r>
    </w:p>
    <w:p w14:paraId="69EA7012" w14:textId="77777777" w:rsidR="00B20229" w:rsidRPr="00B20229" w:rsidRDefault="00B20229" w:rsidP="00B20229">
      <w:pPr>
        <w:jc w:val="both"/>
        <w:rPr>
          <w:rFonts w:ascii="Verdana" w:hAnsi="Verdana"/>
          <w:sz w:val="22"/>
          <w:szCs w:val="22"/>
        </w:rPr>
      </w:pPr>
      <w:r w:rsidRPr="00B20229">
        <w:rPr>
          <w:rFonts w:ascii="Verdana" w:hAnsi="Verdana"/>
          <w:b/>
          <w:bCs/>
          <w:sz w:val="22"/>
          <w:szCs w:val="22"/>
        </w:rPr>
        <w:t>1. PROBLEMA JURÍDICO</w:t>
      </w:r>
    </w:p>
    <w:p w14:paraId="61DA5853" w14:textId="77777777" w:rsidR="00B20229" w:rsidRPr="00B20229" w:rsidRDefault="00B20229" w:rsidP="00B20229">
      <w:pPr>
        <w:jc w:val="both"/>
        <w:rPr>
          <w:rFonts w:ascii="Verdana" w:hAnsi="Verdana"/>
          <w:sz w:val="22"/>
          <w:szCs w:val="22"/>
        </w:rPr>
      </w:pPr>
      <w:r w:rsidRPr="00B20229">
        <w:rPr>
          <w:rFonts w:ascii="Verdana" w:hAnsi="Verdana"/>
          <w:sz w:val="22"/>
          <w:szCs w:val="22"/>
        </w:rPr>
        <w:t>¿Cuál es el término para modificar una medida de restablecimiento de derechos a favor de un niño, niña y adolescente?</w:t>
      </w:r>
    </w:p>
    <w:p w14:paraId="107B56AD" w14:textId="77777777" w:rsidR="00B20229" w:rsidRPr="00B20229" w:rsidRDefault="00B20229" w:rsidP="00B20229">
      <w:pPr>
        <w:jc w:val="both"/>
        <w:rPr>
          <w:rFonts w:ascii="Verdana" w:hAnsi="Verdana"/>
          <w:sz w:val="22"/>
          <w:szCs w:val="22"/>
        </w:rPr>
      </w:pPr>
      <w:r w:rsidRPr="00B20229">
        <w:rPr>
          <w:rFonts w:ascii="Verdana" w:hAnsi="Verdana"/>
          <w:b/>
          <w:bCs/>
          <w:sz w:val="22"/>
          <w:szCs w:val="22"/>
        </w:rPr>
        <w:t>2. ANÁLISIS DEL PROBLEMA JURÍDICO</w:t>
      </w:r>
    </w:p>
    <w:p w14:paraId="66B8DB40" w14:textId="77777777" w:rsidR="00B20229" w:rsidRPr="00B20229" w:rsidRDefault="00B20229" w:rsidP="00B20229">
      <w:pPr>
        <w:jc w:val="both"/>
        <w:rPr>
          <w:rFonts w:ascii="Verdana" w:hAnsi="Verdana"/>
          <w:sz w:val="22"/>
          <w:szCs w:val="22"/>
        </w:rPr>
      </w:pPr>
      <w:r w:rsidRPr="00B20229">
        <w:rPr>
          <w:rFonts w:ascii="Verdana" w:hAnsi="Verdana"/>
          <w:sz w:val="22"/>
          <w:szCs w:val="22"/>
        </w:rPr>
        <w:t>Metodológicamente estudiaremos: 2.1 La función de las autoridades administrativas en el restablecimiento de los derechos de los niños, las niñas y los adolescentes; 2.2 Las Medidas de Restablecimiento de Derechos; 2.3 El seguimiento a las medidas de restablecimiento de derechos 2.4 El caso en concreto.</w:t>
      </w:r>
    </w:p>
    <w:p w14:paraId="5CC00D20" w14:textId="77777777" w:rsidR="00B20229" w:rsidRPr="00B20229" w:rsidRDefault="00B20229" w:rsidP="00B20229">
      <w:pPr>
        <w:jc w:val="both"/>
        <w:rPr>
          <w:rFonts w:ascii="Verdana" w:hAnsi="Verdana"/>
          <w:sz w:val="22"/>
          <w:szCs w:val="22"/>
        </w:rPr>
      </w:pPr>
      <w:r w:rsidRPr="00B20229">
        <w:rPr>
          <w:rFonts w:ascii="Verdana" w:hAnsi="Verdana"/>
          <w:b/>
          <w:bCs/>
          <w:sz w:val="22"/>
          <w:szCs w:val="22"/>
          <w:u w:val="single"/>
        </w:rPr>
        <w:t>2.1. La función de las autoridades administrativas en el restablecimiento de los derechos de los niños, las niñas y los adolescentes</w:t>
      </w:r>
    </w:p>
    <w:p w14:paraId="4EC46D86" w14:textId="77777777" w:rsidR="00B20229" w:rsidRPr="00B20229" w:rsidRDefault="00B20229" w:rsidP="00B20229">
      <w:pPr>
        <w:jc w:val="both"/>
        <w:rPr>
          <w:rFonts w:ascii="Verdana" w:hAnsi="Verdana"/>
          <w:sz w:val="22"/>
          <w:szCs w:val="22"/>
        </w:rPr>
      </w:pPr>
      <w:r w:rsidRPr="00B20229">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60AA92E8" w14:textId="77777777" w:rsidR="00B20229" w:rsidRPr="00B20229" w:rsidRDefault="00B20229" w:rsidP="00B20229">
      <w:pPr>
        <w:jc w:val="both"/>
        <w:rPr>
          <w:rFonts w:ascii="Verdana" w:hAnsi="Verdana"/>
          <w:sz w:val="22"/>
          <w:szCs w:val="22"/>
        </w:rPr>
      </w:pPr>
      <w:r w:rsidRPr="00B20229">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0AD2B756" w14:textId="733D7915" w:rsidR="00B20229" w:rsidRPr="00B20229" w:rsidRDefault="00B20229" w:rsidP="00B20229">
      <w:pPr>
        <w:jc w:val="both"/>
        <w:rPr>
          <w:rFonts w:ascii="Verdana" w:hAnsi="Verdana"/>
          <w:sz w:val="22"/>
          <w:szCs w:val="22"/>
        </w:rPr>
      </w:pPr>
      <w:r w:rsidRPr="00B20229">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B20229">
        <w:rPr>
          <w:rFonts w:ascii="Verdana" w:hAnsi="Verdana"/>
          <w:b/>
          <w:bCs/>
          <w:sz w:val="22"/>
          <w:szCs w:val="22"/>
          <w:vertAlign w:val="superscript"/>
        </w:rPr>
        <w:t>[1]</w:t>
      </w:r>
    </w:p>
    <w:p w14:paraId="50D004AE" w14:textId="543931BB" w:rsidR="00B20229" w:rsidRPr="00B20229" w:rsidRDefault="00B20229" w:rsidP="00B20229">
      <w:pPr>
        <w:jc w:val="both"/>
        <w:rPr>
          <w:rFonts w:ascii="Verdana" w:hAnsi="Verdana"/>
          <w:sz w:val="22"/>
          <w:szCs w:val="22"/>
        </w:rPr>
      </w:pPr>
      <w:r w:rsidRPr="00B20229">
        <w:rPr>
          <w:rFonts w:ascii="Verdana" w:hAnsi="Verdana"/>
          <w:sz w:val="22"/>
          <w:szCs w:val="22"/>
        </w:rPr>
        <w:lastRenderedPageBreak/>
        <w:t>Al respecto, la corte constitucional precisó respecto al código de la infancia y la adolescencia que: "el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r w:rsidRPr="00B20229">
        <w:rPr>
          <w:rFonts w:ascii="Verdana" w:hAnsi="Verdana"/>
          <w:b/>
          <w:bCs/>
          <w:sz w:val="22"/>
          <w:szCs w:val="22"/>
          <w:vertAlign w:val="superscript"/>
        </w:rPr>
        <w:t>[2]</w:t>
      </w:r>
    </w:p>
    <w:p w14:paraId="57506804" w14:textId="77777777" w:rsidR="00B20229" w:rsidRPr="00B20229" w:rsidRDefault="00B20229" w:rsidP="00B20229">
      <w:pPr>
        <w:jc w:val="both"/>
        <w:rPr>
          <w:rFonts w:ascii="Verdana" w:hAnsi="Verdana"/>
          <w:sz w:val="22"/>
          <w:szCs w:val="22"/>
        </w:rPr>
      </w:pPr>
      <w:r w:rsidRPr="00B20229">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menores de edad.</w:t>
      </w:r>
    </w:p>
    <w:p w14:paraId="42B3555E" w14:textId="05282DD3" w:rsidR="00B20229" w:rsidRPr="00B20229" w:rsidRDefault="00B20229" w:rsidP="00B20229">
      <w:pPr>
        <w:jc w:val="both"/>
        <w:rPr>
          <w:rFonts w:ascii="Verdana" w:hAnsi="Verdana"/>
          <w:sz w:val="22"/>
          <w:szCs w:val="22"/>
        </w:rPr>
      </w:pPr>
      <w:r w:rsidRPr="00B20229">
        <w:rPr>
          <w:rFonts w:ascii="Verdana" w:hAnsi="Verdana"/>
          <w:sz w:val="22"/>
          <w:szCs w:val="22"/>
        </w:rPr>
        <w:t>Al respecto, la Corte Constitucional indicó “(...) los artículos 81, 82 y 85 de la Ley 1098 de 2006 señalan los deberes y las funciones del defensor y del comisario de familia, siendo evidente que la misión encomendada es garantizar, proteger y restablecerlos derechos prevalecientes de los menores de edad”.</w:t>
      </w:r>
      <w:r w:rsidRPr="00B20229">
        <w:rPr>
          <w:rFonts w:ascii="Verdana" w:hAnsi="Verdana"/>
          <w:b/>
          <w:bCs/>
          <w:sz w:val="22"/>
          <w:szCs w:val="22"/>
          <w:vertAlign w:val="superscript"/>
        </w:rPr>
        <w:t>[3]</w:t>
      </w:r>
    </w:p>
    <w:p w14:paraId="74DED0E9" w14:textId="2535E3E7" w:rsidR="00B20229" w:rsidRPr="00B20229" w:rsidRDefault="00B20229" w:rsidP="00B20229">
      <w:pPr>
        <w:jc w:val="both"/>
        <w:rPr>
          <w:rFonts w:ascii="Verdana" w:hAnsi="Verdana"/>
          <w:sz w:val="22"/>
          <w:szCs w:val="22"/>
        </w:rPr>
      </w:pPr>
      <w:r w:rsidRPr="00B20229">
        <w:rPr>
          <w:rFonts w:ascii="Verdana" w:hAnsi="Verdana"/>
          <w:sz w:val="22"/>
          <w:szCs w:val="22"/>
        </w:rPr>
        <w:t>En efecto, en el artículo 96 de la Ley 1098 de 2006 se contempla que “Corresponde a los defensores de familia y comisarios de familia procurar y promover la realización y restablecimiento de los derechos reconocidos en los tratados internacionales, en la Constitución Política y en el presente Código”.</w:t>
      </w:r>
    </w:p>
    <w:p w14:paraId="23016BB7" w14:textId="77777777" w:rsidR="00B20229" w:rsidRPr="00B20229" w:rsidRDefault="00B20229" w:rsidP="00B20229">
      <w:pPr>
        <w:jc w:val="both"/>
        <w:rPr>
          <w:rFonts w:ascii="Verdana" w:hAnsi="Verdana"/>
          <w:sz w:val="22"/>
          <w:szCs w:val="22"/>
        </w:rPr>
      </w:pPr>
      <w:r w:rsidRPr="00B20229">
        <w:rPr>
          <w:rFonts w:ascii="Verdana" w:hAnsi="Verdana"/>
          <w:sz w:val="22"/>
          <w:szCs w:val="22"/>
        </w:rPr>
        <w:t>Así las cosas, las funciones de las Defensorías y Comisarías de Familia, van dirigidas a' la protección integral de los derechos de los menores de edad, a fin de evitar su amenaza, inobservancia o vulneración y restablecerlos de manera eficaz, oportuna y efectiva.</w:t>
      </w:r>
    </w:p>
    <w:p w14:paraId="088E02B5" w14:textId="77777777" w:rsidR="00B20229" w:rsidRPr="00B20229" w:rsidRDefault="00B20229" w:rsidP="00B20229">
      <w:pPr>
        <w:jc w:val="both"/>
        <w:rPr>
          <w:rFonts w:ascii="Verdana" w:hAnsi="Verdana"/>
          <w:sz w:val="22"/>
          <w:szCs w:val="22"/>
        </w:rPr>
      </w:pPr>
      <w:r w:rsidRPr="00B20229">
        <w:rPr>
          <w:rFonts w:ascii="Verdana" w:hAnsi="Verdana"/>
          <w:b/>
          <w:bCs/>
          <w:sz w:val="22"/>
          <w:szCs w:val="22"/>
          <w:u w:val="single"/>
        </w:rPr>
        <w:t>2.2 Las medidas de Restablecimiento de Derechos</w:t>
      </w:r>
    </w:p>
    <w:p w14:paraId="4B0A8836" w14:textId="77777777" w:rsidR="00B20229" w:rsidRPr="00B20229" w:rsidRDefault="00B20229" w:rsidP="00B20229">
      <w:pPr>
        <w:jc w:val="both"/>
        <w:rPr>
          <w:rFonts w:ascii="Verdana" w:hAnsi="Verdana"/>
          <w:sz w:val="22"/>
          <w:szCs w:val="22"/>
        </w:rPr>
      </w:pPr>
      <w:r w:rsidRPr="00B20229">
        <w:rPr>
          <w:rFonts w:ascii="Verdana" w:hAnsi="Verdana"/>
          <w:sz w:val="22"/>
          <w:szCs w:val="22"/>
        </w:rPr>
        <w:t>Es importante precisar que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siempre y cuando éste sea garante de sus derechos.</w:t>
      </w:r>
    </w:p>
    <w:p w14:paraId="6E184AC5" w14:textId="58561615" w:rsidR="00B20229" w:rsidRPr="00B20229" w:rsidRDefault="00B20229" w:rsidP="00B20229">
      <w:pPr>
        <w:jc w:val="both"/>
        <w:rPr>
          <w:rFonts w:ascii="Verdana" w:hAnsi="Verdana"/>
          <w:sz w:val="22"/>
          <w:szCs w:val="22"/>
        </w:rPr>
      </w:pPr>
      <w:r w:rsidRPr="00B20229">
        <w:rPr>
          <w:rFonts w:ascii="Verdana" w:hAnsi="Verdana"/>
          <w:sz w:val="22"/>
          <w:szCs w:val="22"/>
        </w:rPr>
        <w:t>El artículo 53 de la Ley 1098 de 2006 nos indica claramente cuáles son aquellas medidas que la autoridad administrativa puede adoptar con el fin de restablecer el derecho vulnerado de los niños, niñas o adolescentes, éstas medidas son:</w:t>
      </w:r>
    </w:p>
    <w:p w14:paraId="34F94886" w14:textId="77777777" w:rsidR="00B20229" w:rsidRPr="00B20229" w:rsidRDefault="00B20229" w:rsidP="00B20229">
      <w:pPr>
        <w:jc w:val="both"/>
        <w:rPr>
          <w:rFonts w:ascii="Verdana" w:hAnsi="Verdana"/>
          <w:sz w:val="22"/>
          <w:szCs w:val="22"/>
        </w:rPr>
      </w:pPr>
      <w:r w:rsidRPr="00B20229">
        <w:rPr>
          <w:rFonts w:ascii="Verdana" w:hAnsi="Verdana"/>
          <w:sz w:val="22"/>
          <w:szCs w:val="22"/>
        </w:rPr>
        <w:t>1. Amonestación con asistencia obligatoria a curso pedagógico.</w:t>
      </w:r>
    </w:p>
    <w:p w14:paraId="5A601851" w14:textId="77777777" w:rsidR="00B20229" w:rsidRPr="00B20229" w:rsidRDefault="00B20229" w:rsidP="00B20229">
      <w:pPr>
        <w:jc w:val="both"/>
        <w:rPr>
          <w:rFonts w:ascii="Verdana" w:hAnsi="Verdana"/>
          <w:sz w:val="22"/>
          <w:szCs w:val="22"/>
        </w:rPr>
      </w:pPr>
      <w:r w:rsidRPr="00B20229">
        <w:rPr>
          <w:rFonts w:ascii="Verdana" w:hAnsi="Verdana"/>
          <w:sz w:val="22"/>
          <w:szCs w:val="22"/>
        </w:rPr>
        <w:t xml:space="preserve">2. Retiro inmediato del niño, niña o adolescente de la actividad que amenace o vulnere sus derechos o de las actividades ilícitas en que se pueda encontrar y </w:t>
      </w:r>
      <w:r w:rsidRPr="00B20229">
        <w:rPr>
          <w:rFonts w:ascii="Verdana" w:hAnsi="Verdana"/>
          <w:sz w:val="22"/>
          <w:szCs w:val="22"/>
        </w:rPr>
        <w:lastRenderedPageBreak/>
        <w:t>ubicación en un programa de atención especializada para el restablecimiento del derecho vulnerado.</w:t>
      </w:r>
    </w:p>
    <w:p w14:paraId="3391BAE3" w14:textId="77777777" w:rsidR="00B20229" w:rsidRPr="00B20229" w:rsidRDefault="00B20229" w:rsidP="00B20229">
      <w:pPr>
        <w:jc w:val="both"/>
        <w:rPr>
          <w:rFonts w:ascii="Verdana" w:hAnsi="Verdana"/>
          <w:sz w:val="22"/>
          <w:szCs w:val="22"/>
        </w:rPr>
      </w:pPr>
      <w:r w:rsidRPr="00B20229">
        <w:rPr>
          <w:rFonts w:ascii="Verdana" w:hAnsi="Verdana"/>
          <w:sz w:val="22"/>
          <w:szCs w:val="22"/>
        </w:rPr>
        <w:t>3. Ubicación inmediata en medio familiar.</w:t>
      </w:r>
    </w:p>
    <w:p w14:paraId="78BB59AC" w14:textId="77777777" w:rsidR="00B20229" w:rsidRPr="00B20229" w:rsidRDefault="00B20229" w:rsidP="00B20229">
      <w:pPr>
        <w:jc w:val="both"/>
        <w:rPr>
          <w:rFonts w:ascii="Verdana" w:hAnsi="Verdana"/>
          <w:sz w:val="22"/>
          <w:szCs w:val="22"/>
        </w:rPr>
      </w:pPr>
      <w:r w:rsidRPr="00B20229">
        <w:rPr>
          <w:rFonts w:ascii="Verdana" w:hAnsi="Verdana"/>
          <w:sz w:val="22"/>
          <w:szCs w:val="22"/>
        </w:rPr>
        <w:t>4. Ubicación en centros de emergencia para los casos en que no procede la ubicación en los hogares de paso.</w:t>
      </w:r>
    </w:p>
    <w:p w14:paraId="466C1910" w14:textId="77777777" w:rsidR="00B20229" w:rsidRPr="00B20229" w:rsidRDefault="00B20229" w:rsidP="00B20229">
      <w:pPr>
        <w:jc w:val="both"/>
        <w:rPr>
          <w:rFonts w:ascii="Verdana" w:hAnsi="Verdana"/>
          <w:sz w:val="22"/>
          <w:szCs w:val="22"/>
        </w:rPr>
      </w:pPr>
      <w:r w:rsidRPr="00B20229">
        <w:rPr>
          <w:rFonts w:ascii="Verdana" w:hAnsi="Verdana"/>
          <w:sz w:val="22"/>
          <w:szCs w:val="22"/>
        </w:rPr>
        <w:t>5. La adopción.</w:t>
      </w:r>
    </w:p>
    <w:p w14:paraId="3C0A6523" w14:textId="77777777" w:rsidR="00B20229" w:rsidRPr="00B20229" w:rsidRDefault="00B20229" w:rsidP="00B20229">
      <w:pPr>
        <w:jc w:val="both"/>
        <w:rPr>
          <w:rFonts w:ascii="Verdana" w:hAnsi="Verdana"/>
          <w:sz w:val="22"/>
          <w:szCs w:val="22"/>
        </w:rPr>
      </w:pPr>
      <w:r w:rsidRPr="00B20229">
        <w:rPr>
          <w:rFonts w:ascii="Verdana" w:hAnsi="Verdana"/>
          <w:sz w:val="22"/>
          <w:szCs w:val="22"/>
        </w:rPr>
        <w:t>6. Cualquier otra medida que garantice la protección integral de los niños, las niñas o los adolescentes.</w:t>
      </w:r>
    </w:p>
    <w:p w14:paraId="75D6BFE3" w14:textId="0797D43A" w:rsidR="00B20229" w:rsidRPr="00B20229" w:rsidRDefault="00B20229" w:rsidP="00B20229">
      <w:pPr>
        <w:jc w:val="both"/>
        <w:rPr>
          <w:rFonts w:ascii="Verdana" w:hAnsi="Verdana"/>
          <w:sz w:val="22"/>
          <w:szCs w:val="22"/>
        </w:rPr>
      </w:pPr>
      <w:r w:rsidRPr="00B20229">
        <w:rPr>
          <w:rFonts w:ascii="Verdana" w:hAnsi="Verdana"/>
          <w:sz w:val="22"/>
          <w:szCs w:val="22"/>
        </w:rPr>
        <w:t>Es preciso señalar que éstas medidas de protección pueden ser modificadas o suspendidas cuando esté demostrada la alteración de las circunstancias que dieron lugar a ella -artículo 103 ley de Infancia y Adolescencia-, sin que ello quiera decir que la autoridad administrativa perdió la competencia para continuar conociendo del caso.</w:t>
      </w:r>
    </w:p>
    <w:p w14:paraId="4A8C4EF1" w14:textId="77777777" w:rsidR="00B20229" w:rsidRPr="00B20229" w:rsidRDefault="00B20229" w:rsidP="00B20229">
      <w:pPr>
        <w:jc w:val="both"/>
        <w:rPr>
          <w:rFonts w:ascii="Verdana" w:hAnsi="Verdana"/>
          <w:sz w:val="22"/>
          <w:szCs w:val="22"/>
        </w:rPr>
      </w:pPr>
      <w:r w:rsidRPr="00B20229">
        <w:rPr>
          <w:rFonts w:ascii="Verdana" w:hAnsi="Verdana"/>
          <w:b/>
          <w:bCs/>
          <w:sz w:val="22"/>
          <w:szCs w:val="22"/>
          <w:u w:val="single"/>
        </w:rPr>
        <w:t>2.3. El seguimiento a las medidas de restablecimiento de derechos</w:t>
      </w:r>
    </w:p>
    <w:p w14:paraId="03BD478D" w14:textId="77777777" w:rsidR="00B20229" w:rsidRPr="00B20229" w:rsidRDefault="00B20229" w:rsidP="00B20229">
      <w:pPr>
        <w:jc w:val="both"/>
        <w:rPr>
          <w:rFonts w:ascii="Verdana" w:hAnsi="Verdana"/>
          <w:sz w:val="22"/>
          <w:szCs w:val="22"/>
        </w:rPr>
      </w:pPr>
      <w:r w:rsidRPr="00B20229">
        <w:rPr>
          <w:rFonts w:ascii="Verdana" w:hAnsi="Verdana"/>
          <w:sz w:val="22"/>
          <w:szCs w:val="22"/>
        </w:rPr>
        <w:t>Corresponde a las Autoridades Administrativas de manera conjunta con los Coordinadores de los Centros Zonales y de su equipo técnico interdisciplinario, </w:t>
      </w:r>
      <w:r w:rsidRPr="00B20229">
        <w:rPr>
          <w:rFonts w:ascii="Verdana" w:hAnsi="Verdana"/>
          <w:b/>
          <w:bCs/>
          <w:sz w:val="22"/>
          <w:szCs w:val="22"/>
        </w:rPr>
        <w:t>realizar seguimiento a las medidas de protección o de</w:t>
      </w:r>
      <w:r w:rsidRPr="00B20229">
        <w:rPr>
          <w:rFonts w:ascii="Verdana" w:hAnsi="Verdana"/>
          <w:sz w:val="22"/>
          <w:szCs w:val="22"/>
        </w:rPr>
        <w:t> </w:t>
      </w:r>
      <w:r w:rsidRPr="00B20229">
        <w:rPr>
          <w:rFonts w:ascii="Verdana" w:hAnsi="Verdana"/>
          <w:b/>
          <w:bCs/>
          <w:sz w:val="22"/>
          <w:szCs w:val="22"/>
        </w:rPr>
        <w:t>restablecimiento de</w:t>
      </w:r>
      <w:r w:rsidRPr="00B20229">
        <w:rPr>
          <w:rFonts w:ascii="Verdana" w:hAnsi="Verdana"/>
          <w:sz w:val="22"/>
          <w:szCs w:val="22"/>
        </w:rPr>
        <w:t> </w:t>
      </w:r>
      <w:r w:rsidRPr="00B20229">
        <w:rPr>
          <w:rFonts w:ascii="Verdana" w:hAnsi="Verdana"/>
          <w:b/>
          <w:bCs/>
          <w:sz w:val="22"/>
          <w:szCs w:val="22"/>
        </w:rPr>
        <w:t>derechos que adopte.</w:t>
      </w:r>
    </w:p>
    <w:p w14:paraId="0F6E9117" w14:textId="18B8CA1D" w:rsidR="00B20229" w:rsidRPr="00B20229" w:rsidRDefault="00B20229" w:rsidP="00B20229">
      <w:pPr>
        <w:jc w:val="both"/>
        <w:rPr>
          <w:rFonts w:ascii="Verdana" w:hAnsi="Verdana"/>
          <w:sz w:val="22"/>
          <w:szCs w:val="22"/>
        </w:rPr>
      </w:pPr>
      <w:r w:rsidRPr="00B20229">
        <w:rPr>
          <w:rFonts w:ascii="Verdana" w:hAnsi="Verdana"/>
          <w:sz w:val="22"/>
          <w:szCs w:val="22"/>
        </w:rPr>
        <w:t>En efecto, el artículo 96 de la Ley 1098 de 2006, establece:</w:t>
      </w:r>
    </w:p>
    <w:p w14:paraId="1FC0E0EC" w14:textId="77777777" w:rsidR="00B20229" w:rsidRPr="00B20229" w:rsidRDefault="00B20229" w:rsidP="00B20229">
      <w:pPr>
        <w:jc w:val="both"/>
        <w:rPr>
          <w:rFonts w:ascii="Verdana" w:hAnsi="Verdana"/>
          <w:sz w:val="22"/>
          <w:szCs w:val="22"/>
        </w:rPr>
      </w:pPr>
      <w:r w:rsidRPr="00B20229">
        <w:rPr>
          <w:rFonts w:ascii="Verdana" w:hAnsi="Verdana"/>
          <w:b/>
          <w:bCs/>
          <w:sz w:val="22"/>
          <w:szCs w:val="22"/>
        </w:rPr>
        <w:t>Autoridades competentes</w:t>
      </w:r>
      <w:r w:rsidRPr="00B20229">
        <w:rPr>
          <w:rFonts w:ascii="Verdana" w:hAnsi="Verdana"/>
          <w:sz w:val="22"/>
          <w:szCs w:val="22"/>
        </w:rPr>
        <w:t>. Corresponde a los defensores de familia y comisarios</w:t>
      </w:r>
      <w:r w:rsidRPr="00B20229">
        <w:rPr>
          <w:rFonts w:ascii="Verdana" w:hAnsi="Verdana"/>
          <w:sz w:val="22"/>
          <w:szCs w:val="22"/>
        </w:rPr>
        <w:br/>
        <w:t>de familia procurar y promover la realización y restablecimiento de los derechos</w:t>
      </w:r>
      <w:r w:rsidRPr="00B20229">
        <w:rPr>
          <w:rFonts w:ascii="Verdana" w:hAnsi="Verdana"/>
          <w:sz w:val="22"/>
          <w:szCs w:val="22"/>
        </w:rPr>
        <w:br/>
        <w:t>reconocidos en los tratados internacionales, en la Constitución Política y en el</w:t>
      </w:r>
      <w:r w:rsidRPr="00B20229">
        <w:rPr>
          <w:rFonts w:ascii="Verdana" w:hAnsi="Verdana"/>
          <w:sz w:val="22"/>
          <w:szCs w:val="22"/>
        </w:rPr>
        <w:br/>
        <w:t>presente Código.</w:t>
      </w:r>
    </w:p>
    <w:p w14:paraId="45816EBD" w14:textId="77777777" w:rsidR="00B20229" w:rsidRPr="00B20229" w:rsidRDefault="00B20229" w:rsidP="00B20229">
      <w:pPr>
        <w:jc w:val="both"/>
        <w:rPr>
          <w:rFonts w:ascii="Verdana" w:hAnsi="Verdana"/>
          <w:sz w:val="22"/>
          <w:szCs w:val="22"/>
        </w:rPr>
      </w:pPr>
      <w:r w:rsidRPr="00B20229">
        <w:rPr>
          <w:rFonts w:ascii="Verdana" w:hAnsi="Verdana"/>
          <w:sz w:val="22"/>
          <w:szCs w:val="22"/>
          <w:u w:val="single"/>
        </w:rPr>
        <w:t>El seguimiento de las medidas de protección o de restablecimiento adoptadas por los defensores y comisarios de familia estará a cargo del respectivo coordinador del centro zonal del Instituto Colombiano de Bienestar Familiar</w:t>
      </w:r>
      <w:r w:rsidRPr="00B20229">
        <w:rPr>
          <w:rFonts w:ascii="Verdana" w:hAnsi="Verdana"/>
          <w:sz w:val="22"/>
          <w:szCs w:val="22"/>
        </w:rPr>
        <w:t>.</w:t>
      </w:r>
    </w:p>
    <w:p w14:paraId="11821A8F" w14:textId="0A959396" w:rsidR="00B20229" w:rsidRPr="00B20229" w:rsidRDefault="00B20229" w:rsidP="00B20229">
      <w:pPr>
        <w:jc w:val="both"/>
        <w:rPr>
          <w:rFonts w:ascii="Verdana" w:hAnsi="Verdana"/>
          <w:sz w:val="22"/>
          <w:szCs w:val="22"/>
        </w:rPr>
      </w:pPr>
      <w:r w:rsidRPr="00B20229">
        <w:rPr>
          <w:rFonts w:ascii="Verdana" w:hAnsi="Verdana"/>
          <w:sz w:val="22"/>
          <w:szCs w:val="22"/>
        </w:rPr>
        <w:t>Como se puede ver, los Coordinadores de los Centros Zonales del ICBF tienen a su cargo el seguimiento a las medidas de protección o restablecimiento de derechos, tal y como se deriva del tenor literal de la norma transcrita. No obstante, esta obligación de rango legal no puede interpretarse de manera aislada con las demás disposiciones que señalan el ámbito de competencia de las demás autoridades que intervienen en el proceso administrativo de restablecimiento de derechos, y aquellas que reglamentaron la Ley 1098 de 2006.</w:t>
      </w:r>
    </w:p>
    <w:p w14:paraId="4741A7E1" w14:textId="4F93EBBA" w:rsidR="00B20229" w:rsidRPr="00B20229" w:rsidRDefault="00B20229" w:rsidP="00B20229">
      <w:pPr>
        <w:jc w:val="both"/>
        <w:rPr>
          <w:rFonts w:ascii="Verdana" w:hAnsi="Verdana"/>
          <w:sz w:val="22"/>
          <w:szCs w:val="22"/>
        </w:rPr>
      </w:pPr>
      <w:r w:rsidRPr="00B20229">
        <w:rPr>
          <w:rFonts w:ascii="Verdana" w:hAnsi="Verdana"/>
          <w:sz w:val="22"/>
          <w:szCs w:val="22"/>
        </w:rPr>
        <w:lastRenderedPageBreak/>
        <w:t>El mismo artículo 96 señala en su primer inciso de manera muy clara que los Defensores y Comisarios de Familia tienen el deber de promover la realización y el restablecimiento de los derechos reconocidos en los tratados internacionales, lo cual se materializa incluso en todas las gestiones procedimentales que se deban adelantar con posterioridad al momento en que ha resuelto o adoptado una medida de protección o restablecimiento concretas.</w:t>
      </w:r>
    </w:p>
    <w:p w14:paraId="3CD24AF7" w14:textId="42245DC0" w:rsidR="00B20229" w:rsidRPr="00B20229" w:rsidRDefault="00B20229" w:rsidP="00B20229">
      <w:pPr>
        <w:jc w:val="both"/>
        <w:rPr>
          <w:rFonts w:ascii="Verdana" w:hAnsi="Verdana"/>
          <w:sz w:val="22"/>
          <w:szCs w:val="22"/>
        </w:rPr>
      </w:pPr>
      <w:r w:rsidRPr="00B20229">
        <w:rPr>
          <w:rFonts w:ascii="Verdana" w:hAnsi="Verdana"/>
          <w:sz w:val="22"/>
          <w:szCs w:val="22"/>
        </w:rPr>
        <w:t>En efecto, el gobierno nacional expidió el Decreto Reglamentario 4840 de 2007 compilado en el Decreto 1069 de 2015, que en su artículo 11 dispone lo siguiente:</w:t>
      </w:r>
    </w:p>
    <w:p w14:paraId="6A92B29B" w14:textId="11D754BD" w:rsidR="00B20229" w:rsidRPr="00B20229" w:rsidRDefault="00B20229" w:rsidP="00B20229">
      <w:pPr>
        <w:jc w:val="both"/>
        <w:rPr>
          <w:rFonts w:ascii="Verdana" w:hAnsi="Verdana"/>
          <w:sz w:val="22"/>
          <w:szCs w:val="22"/>
        </w:rPr>
      </w:pPr>
      <w:r w:rsidRPr="00B20229">
        <w:rPr>
          <w:rFonts w:ascii="Verdana" w:hAnsi="Verdana"/>
          <w:b/>
          <w:bCs/>
          <w:sz w:val="22"/>
          <w:szCs w:val="22"/>
        </w:rPr>
        <w:t>Artículo </w:t>
      </w:r>
      <w:r w:rsidRPr="00B20229">
        <w:rPr>
          <w:rFonts w:ascii="Verdana" w:hAnsi="Verdana"/>
          <w:sz w:val="22"/>
          <w:szCs w:val="22"/>
        </w:rPr>
        <w:t>11</w:t>
      </w:r>
      <w:r w:rsidRPr="00B20229">
        <w:rPr>
          <w:rFonts w:ascii="Verdana" w:hAnsi="Verdana"/>
          <w:b/>
          <w:bCs/>
          <w:sz w:val="22"/>
          <w:szCs w:val="22"/>
        </w:rPr>
        <w:t>. Seguimiento de las medidas de protección o de restablecimiento.</w:t>
      </w:r>
      <w:r w:rsidRPr="00B20229">
        <w:rPr>
          <w:rFonts w:ascii="Verdana" w:hAnsi="Verdana"/>
          <w:sz w:val="22"/>
          <w:szCs w:val="22"/>
        </w:rPr>
        <w:t> En los términos del inciso 2 del artículo 96 de la Ley 1098 de 2006, para el seguimiento de las medidas de protección o de restablecimiento de derechos adoptadas por los Defensores de Familia o Comisarios de Familia, </w:t>
      </w:r>
      <w:r w:rsidRPr="00B20229">
        <w:rPr>
          <w:rFonts w:ascii="Verdana" w:hAnsi="Verdana"/>
          <w:sz w:val="22"/>
          <w:szCs w:val="22"/>
          <w:u w:val="single"/>
        </w:rPr>
        <w:t>estos</w:t>
      </w:r>
      <w:r w:rsidRPr="00B20229">
        <w:rPr>
          <w:rFonts w:ascii="Verdana" w:hAnsi="Verdana"/>
          <w:sz w:val="22"/>
          <w:szCs w:val="22"/>
        </w:rPr>
        <w:t> </w:t>
      </w:r>
      <w:r w:rsidRPr="00B20229">
        <w:rPr>
          <w:rFonts w:ascii="Verdana" w:hAnsi="Verdana"/>
          <w:sz w:val="22"/>
          <w:szCs w:val="22"/>
          <w:u w:val="single"/>
        </w:rPr>
        <w:t>deberán remitir de manera inmediata al Coordinador del Centro Zonal o Seccional</w:t>
      </w:r>
      <w:r w:rsidRPr="00B20229">
        <w:rPr>
          <w:rFonts w:ascii="Verdana" w:hAnsi="Verdana"/>
          <w:sz w:val="22"/>
          <w:szCs w:val="22"/>
        </w:rPr>
        <w:t> </w:t>
      </w:r>
      <w:r w:rsidRPr="00B20229">
        <w:rPr>
          <w:rFonts w:ascii="Verdana" w:hAnsi="Verdana"/>
          <w:sz w:val="22"/>
          <w:szCs w:val="22"/>
          <w:u w:val="single"/>
        </w:rPr>
        <w:t>del Instituto Colombiano de Bienestar Familiar, o quien haga sus veces,</w:t>
      </w:r>
      <w:r w:rsidRPr="00B20229">
        <w:rPr>
          <w:rFonts w:ascii="Verdana" w:hAnsi="Verdana"/>
          <w:sz w:val="22"/>
          <w:szCs w:val="22"/>
        </w:rPr>
        <w:t> </w:t>
      </w:r>
      <w:r w:rsidRPr="00B20229">
        <w:rPr>
          <w:rFonts w:ascii="Verdana" w:hAnsi="Verdana"/>
          <w:sz w:val="22"/>
          <w:szCs w:val="22"/>
          <w:u w:val="single"/>
        </w:rPr>
        <w:t>información y copia de la decisión correspondiente debidamente ejecutoriada.</w:t>
      </w:r>
    </w:p>
    <w:p w14:paraId="18DACC16" w14:textId="77777777" w:rsidR="00B20229" w:rsidRPr="00B20229" w:rsidRDefault="00B20229" w:rsidP="00B20229">
      <w:pPr>
        <w:jc w:val="both"/>
        <w:rPr>
          <w:rFonts w:ascii="Verdana" w:hAnsi="Verdana"/>
          <w:sz w:val="22"/>
          <w:szCs w:val="22"/>
        </w:rPr>
      </w:pPr>
      <w:r w:rsidRPr="00B20229">
        <w:rPr>
          <w:rFonts w:ascii="Verdana" w:hAnsi="Verdana"/>
          <w:sz w:val="22"/>
          <w:szCs w:val="22"/>
          <w:u w:val="single"/>
        </w:rPr>
        <w:t>La anterior se entiende sin perjuicio de la obligación que les asiste a los</w:t>
      </w:r>
      <w:r w:rsidRPr="00B20229">
        <w:rPr>
          <w:rFonts w:ascii="Verdana" w:hAnsi="Verdana"/>
          <w:sz w:val="22"/>
          <w:szCs w:val="22"/>
        </w:rPr>
        <w:t> </w:t>
      </w:r>
      <w:r w:rsidRPr="00B20229">
        <w:rPr>
          <w:rFonts w:ascii="Verdana" w:hAnsi="Verdana"/>
          <w:sz w:val="22"/>
          <w:szCs w:val="22"/>
          <w:u w:val="single"/>
        </w:rPr>
        <w:t>Defensores y Comisarios de Familia para hacer seguimiento y evaluación de las</w:t>
      </w:r>
      <w:r w:rsidRPr="00B20229">
        <w:rPr>
          <w:rFonts w:ascii="Verdana" w:hAnsi="Verdana"/>
          <w:sz w:val="22"/>
          <w:szCs w:val="22"/>
        </w:rPr>
        <w:t> </w:t>
      </w:r>
      <w:r w:rsidRPr="00B20229">
        <w:rPr>
          <w:rFonts w:ascii="Verdana" w:hAnsi="Verdana"/>
          <w:sz w:val="22"/>
          <w:szCs w:val="22"/>
          <w:u w:val="single"/>
        </w:rPr>
        <w:t>medidas definitivas de restablecimiento de derechos, que adopten en desarrollo</w:t>
      </w:r>
      <w:r w:rsidRPr="00B20229">
        <w:rPr>
          <w:rFonts w:ascii="Verdana" w:hAnsi="Verdana"/>
          <w:sz w:val="22"/>
          <w:szCs w:val="22"/>
        </w:rPr>
        <w:t> </w:t>
      </w:r>
      <w:r w:rsidRPr="00B20229">
        <w:rPr>
          <w:rFonts w:ascii="Verdana" w:hAnsi="Verdana"/>
          <w:sz w:val="22"/>
          <w:szCs w:val="22"/>
          <w:u w:val="single"/>
        </w:rPr>
        <w:t>de sus funciones</w:t>
      </w:r>
      <w:r w:rsidRPr="00B20229">
        <w:rPr>
          <w:rFonts w:ascii="Verdana" w:hAnsi="Verdana"/>
          <w:sz w:val="22"/>
          <w:szCs w:val="22"/>
        </w:rPr>
        <w:t>.</w:t>
      </w:r>
    </w:p>
    <w:p w14:paraId="1CD4316D" w14:textId="77777777" w:rsidR="00B20229" w:rsidRPr="00B20229" w:rsidRDefault="00B20229" w:rsidP="00B20229">
      <w:pPr>
        <w:jc w:val="both"/>
        <w:rPr>
          <w:rFonts w:ascii="Verdana" w:hAnsi="Verdana"/>
          <w:sz w:val="22"/>
          <w:szCs w:val="22"/>
        </w:rPr>
      </w:pPr>
      <w:r w:rsidRPr="00B20229">
        <w:rPr>
          <w:rFonts w:ascii="Verdana" w:hAnsi="Verdana"/>
          <w:sz w:val="22"/>
          <w:szCs w:val="22"/>
        </w:rPr>
        <w:t>De acuerdo a la anterior normatividad, la Autoridad Administrativa competente, tiene la obligación de enviar un informe al Coordinador del Centro Zonal sobre las decisiones adoptadas cuando estas se encuentren en firme, y luego de ello, les asiste al igual que al Coordinador del Centro Zonal la obligación de hacer seguimiento pero además de evaluar las medidas de restablecimiento de derechos que decreten en ejercicio de sus funciones.</w:t>
      </w:r>
    </w:p>
    <w:p w14:paraId="1378D660" w14:textId="6A386ADE" w:rsidR="00B20229" w:rsidRPr="00B20229" w:rsidRDefault="00B20229" w:rsidP="00B20229">
      <w:pPr>
        <w:jc w:val="both"/>
        <w:rPr>
          <w:rFonts w:ascii="Verdana" w:hAnsi="Verdana"/>
          <w:sz w:val="22"/>
          <w:szCs w:val="22"/>
        </w:rPr>
      </w:pPr>
      <w:r w:rsidRPr="00B20229">
        <w:rPr>
          <w:rFonts w:ascii="Verdana" w:hAnsi="Verdana"/>
          <w:sz w:val="22"/>
          <w:szCs w:val="22"/>
        </w:rPr>
        <w:t>Igualmente, el Lineamiento Técnico Administrativo de Ruta de Actuaciones para el Restablecimiento de Derechos de Niños, Niñas y Adolescentes con sus derechos inobservados, amenazados o vulnerados aprobado mediante Resolución No. 1526 de 2016, establece que la Autoridad Administrativa deberá ser absolutamente clara en indicar la periodicidad del seguimiento y el término de duración, de acuerdo a las circunstancias de cada caso.</w:t>
      </w:r>
    </w:p>
    <w:p w14:paraId="1DC4E80F" w14:textId="77777777" w:rsidR="00B20229" w:rsidRPr="00B20229" w:rsidRDefault="00B20229" w:rsidP="00B20229">
      <w:pPr>
        <w:jc w:val="both"/>
        <w:rPr>
          <w:rFonts w:ascii="Verdana" w:hAnsi="Verdana"/>
          <w:sz w:val="22"/>
          <w:szCs w:val="22"/>
        </w:rPr>
      </w:pPr>
      <w:r w:rsidRPr="00B20229">
        <w:rPr>
          <w:rFonts w:ascii="Verdana" w:hAnsi="Verdana"/>
          <w:sz w:val="22"/>
          <w:szCs w:val="22"/>
        </w:rPr>
        <w:t>Así pues, con el seguimiento, el Defensor o Comisario de Familia, podrá establecer la efectividad de la medida de restablecimiento de derechos adoptada a favor de un niño, niña o adolescente y la necesidad de modificarla si a ello hay lugar.</w:t>
      </w:r>
    </w:p>
    <w:p w14:paraId="2607505B" w14:textId="77777777" w:rsidR="00B20229" w:rsidRPr="00B20229" w:rsidRDefault="00B20229" w:rsidP="00B20229">
      <w:pPr>
        <w:jc w:val="both"/>
        <w:rPr>
          <w:rFonts w:ascii="Verdana" w:hAnsi="Verdana"/>
          <w:sz w:val="22"/>
          <w:szCs w:val="22"/>
        </w:rPr>
      </w:pPr>
      <w:r w:rsidRPr="00B20229">
        <w:rPr>
          <w:rFonts w:ascii="Verdana" w:hAnsi="Verdana"/>
          <w:b/>
          <w:bCs/>
          <w:sz w:val="22"/>
          <w:szCs w:val="22"/>
          <w:u w:val="single"/>
        </w:rPr>
        <w:t>2.4. El caso en concreto</w:t>
      </w:r>
    </w:p>
    <w:p w14:paraId="01A282C9" w14:textId="77777777" w:rsidR="00B20229" w:rsidRPr="00B20229" w:rsidRDefault="00B20229" w:rsidP="00B20229">
      <w:pPr>
        <w:jc w:val="both"/>
        <w:rPr>
          <w:rFonts w:ascii="Verdana" w:hAnsi="Verdana"/>
          <w:sz w:val="22"/>
          <w:szCs w:val="22"/>
        </w:rPr>
      </w:pPr>
      <w:r w:rsidRPr="00B20229">
        <w:rPr>
          <w:rFonts w:ascii="Verdana" w:hAnsi="Verdana"/>
          <w:sz w:val="22"/>
          <w:szCs w:val="22"/>
        </w:rPr>
        <w:lastRenderedPageBreak/>
        <w:t>En el caso que se consulta, la Comisaria de Familia expone su inquietud respecto del término para modificar una medida de restablecimiento de derechos.</w:t>
      </w:r>
    </w:p>
    <w:p w14:paraId="528016AF" w14:textId="77777777" w:rsidR="00B20229" w:rsidRPr="00B20229" w:rsidRDefault="00B20229" w:rsidP="00B20229">
      <w:pPr>
        <w:jc w:val="both"/>
        <w:rPr>
          <w:rFonts w:ascii="Verdana" w:hAnsi="Verdana"/>
          <w:sz w:val="22"/>
          <w:szCs w:val="22"/>
        </w:rPr>
      </w:pPr>
      <w:r w:rsidRPr="00B20229">
        <w:rPr>
          <w:rFonts w:ascii="Verdana" w:hAnsi="Verdana"/>
          <w:sz w:val="22"/>
          <w:szCs w:val="22"/>
        </w:rPr>
        <w:t>De acuerdo a lo aquí analizado, se debe indicar que la Ley no prevé un término específico para modificar las medidas de restablecimiento de derechos que se adoptaron en el marco de un Proceso Administrativo de Restablecimiento de Derechos.</w:t>
      </w:r>
    </w:p>
    <w:p w14:paraId="16F32439" w14:textId="77777777" w:rsidR="00B20229" w:rsidRPr="00B20229" w:rsidRDefault="00B20229" w:rsidP="00B20229">
      <w:pPr>
        <w:jc w:val="both"/>
        <w:rPr>
          <w:rFonts w:ascii="Verdana" w:hAnsi="Verdana"/>
          <w:sz w:val="22"/>
          <w:szCs w:val="22"/>
        </w:rPr>
      </w:pPr>
      <w:r w:rsidRPr="00B20229">
        <w:rPr>
          <w:rFonts w:ascii="Verdana" w:hAnsi="Verdana"/>
          <w:sz w:val="22"/>
          <w:szCs w:val="22"/>
        </w:rPr>
        <w:t>Sin embargo, es importante destacar que luego del seguimiento a la medida de restablecimiento de derechos, del cual se establece la necesidad de modificarla en cualquier sentido de acuerdo a cada caso, la Autoridad Administrativa debe proferir dicha decisión en el menor tiempo posible, con el fin de restablecer de manera efectiva los derechos del niño, niña o adolescente, toda vez que, la permanencia en los servicios de protección de manera indeterminada, hace que los menores de edad queden en un limbo jurídico, es decir, que no permanezcan con su familia biológica y tampoco tengan la opción de ser adoptados.</w:t>
      </w:r>
    </w:p>
    <w:p w14:paraId="08C16C30" w14:textId="483BDBBE" w:rsidR="00B20229" w:rsidRPr="00B20229" w:rsidRDefault="00B20229" w:rsidP="00B20229">
      <w:pPr>
        <w:jc w:val="both"/>
        <w:rPr>
          <w:rFonts w:ascii="Verdana" w:hAnsi="Verdana"/>
          <w:sz w:val="22"/>
          <w:szCs w:val="22"/>
        </w:rPr>
      </w:pPr>
      <w:r w:rsidRPr="00B20229">
        <w:rPr>
          <w:rFonts w:ascii="Verdana" w:hAnsi="Verdana"/>
          <w:sz w:val="22"/>
          <w:szCs w:val="22"/>
        </w:rPr>
        <w:t>Por último, es preciso indicar que el presente concepto</w:t>
      </w:r>
      <w:r w:rsidRPr="00B20229">
        <w:rPr>
          <w:rFonts w:ascii="Verdana" w:hAnsi="Verdana"/>
          <w:b/>
          <w:bCs/>
          <w:sz w:val="22"/>
          <w:szCs w:val="22"/>
          <w:vertAlign w:val="superscript"/>
        </w:rPr>
        <w:t>[4]</w:t>
      </w:r>
      <w:r w:rsidRPr="00B20229">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F6019DE" w14:textId="77777777" w:rsidR="00B20229" w:rsidRDefault="00B20229" w:rsidP="00B20229">
      <w:pPr>
        <w:jc w:val="both"/>
        <w:rPr>
          <w:rFonts w:ascii="Verdana" w:hAnsi="Verdana"/>
          <w:sz w:val="22"/>
          <w:szCs w:val="22"/>
        </w:rPr>
      </w:pPr>
      <w:r w:rsidRPr="00B20229">
        <w:rPr>
          <w:rFonts w:ascii="Verdana" w:hAnsi="Verdana"/>
          <w:sz w:val="22"/>
          <w:szCs w:val="22"/>
        </w:rPr>
        <w:t>Cordialmente,</w:t>
      </w:r>
    </w:p>
    <w:p w14:paraId="4EC24909" w14:textId="77777777" w:rsidR="00B20229" w:rsidRPr="00B20229" w:rsidRDefault="00B20229" w:rsidP="00B20229">
      <w:pPr>
        <w:jc w:val="both"/>
        <w:rPr>
          <w:rFonts w:ascii="Verdana" w:hAnsi="Verdana"/>
          <w:sz w:val="22"/>
          <w:szCs w:val="22"/>
        </w:rPr>
      </w:pPr>
    </w:p>
    <w:p w14:paraId="24CD4ED7" w14:textId="77777777" w:rsidR="00B20229" w:rsidRPr="00B20229" w:rsidRDefault="00B20229" w:rsidP="00B20229">
      <w:pPr>
        <w:jc w:val="both"/>
        <w:rPr>
          <w:rFonts w:ascii="Verdana" w:hAnsi="Verdana"/>
          <w:sz w:val="22"/>
          <w:szCs w:val="22"/>
        </w:rPr>
      </w:pPr>
      <w:r w:rsidRPr="00B20229">
        <w:rPr>
          <w:rFonts w:ascii="Verdana" w:hAnsi="Verdana"/>
          <w:b/>
          <w:bCs/>
          <w:sz w:val="22"/>
          <w:szCs w:val="22"/>
        </w:rPr>
        <w:t>LUZ KARIME FERNANDEZ CASTILLO</w:t>
      </w:r>
    </w:p>
    <w:p w14:paraId="735644E0" w14:textId="77777777" w:rsidR="00B20229" w:rsidRDefault="00B20229" w:rsidP="00B20229">
      <w:pPr>
        <w:jc w:val="both"/>
        <w:rPr>
          <w:rFonts w:ascii="Verdana" w:hAnsi="Verdana"/>
          <w:sz w:val="22"/>
          <w:szCs w:val="22"/>
        </w:rPr>
      </w:pPr>
      <w:r w:rsidRPr="00B20229">
        <w:rPr>
          <w:rFonts w:ascii="Verdana" w:hAnsi="Verdana"/>
          <w:sz w:val="22"/>
          <w:szCs w:val="22"/>
        </w:rPr>
        <w:t>Oficina Asesora Jurídica</w:t>
      </w:r>
    </w:p>
    <w:p w14:paraId="356F336A" w14:textId="77777777" w:rsidR="00B20229" w:rsidRPr="00B20229" w:rsidRDefault="00B20229" w:rsidP="00B20229">
      <w:pPr>
        <w:jc w:val="both"/>
        <w:rPr>
          <w:rFonts w:ascii="Verdana" w:hAnsi="Verdana"/>
          <w:sz w:val="22"/>
          <w:szCs w:val="22"/>
        </w:rPr>
      </w:pPr>
    </w:p>
    <w:p w14:paraId="4F9D3D1C" w14:textId="4E5FF68B" w:rsidR="00B20229" w:rsidRPr="00B20229" w:rsidRDefault="00B20229" w:rsidP="00B20229">
      <w:pPr>
        <w:jc w:val="both"/>
        <w:rPr>
          <w:rFonts w:ascii="Verdana" w:hAnsi="Verdana"/>
          <w:sz w:val="22"/>
          <w:szCs w:val="22"/>
        </w:rPr>
      </w:pPr>
      <w:r>
        <w:rPr>
          <w:rFonts w:ascii="Verdana" w:hAnsi="Verdana"/>
          <w:b/>
          <w:bCs/>
          <w:sz w:val="22"/>
          <w:szCs w:val="22"/>
        </w:rPr>
        <w:t>Notas de pié de página:</w:t>
      </w:r>
    </w:p>
    <w:p w14:paraId="5E3E3F33" w14:textId="17CB506C" w:rsidR="00B20229" w:rsidRPr="00B20229" w:rsidRDefault="00B20229" w:rsidP="00B20229">
      <w:pPr>
        <w:jc w:val="both"/>
        <w:rPr>
          <w:rFonts w:ascii="Verdana" w:hAnsi="Verdana"/>
          <w:sz w:val="22"/>
          <w:szCs w:val="22"/>
        </w:rPr>
      </w:pPr>
      <w:bookmarkStart w:id="0" w:name="NF1"/>
      <w:r w:rsidRPr="00B20229">
        <w:rPr>
          <w:rFonts w:ascii="Verdana" w:hAnsi="Verdana"/>
          <w:sz w:val="22"/>
          <w:szCs w:val="22"/>
        </w:rPr>
        <w:t>1.</w:t>
      </w:r>
      <w:bookmarkEnd w:id="0"/>
      <w:r w:rsidRPr="00B20229">
        <w:rPr>
          <w:rFonts w:ascii="Verdana" w:hAnsi="Verdana"/>
          <w:sz w:val="22"/>
          <w:szCs w:val="22"/>
        </w:rPr>
        <w:t> Artículo 4o de la Ley 1098 de 2006</w:t>
      </w:r>
    </w:p>
    <w:p w14:paraId="150B742D" w14:textId="78E67CB8" w:rsidR="00B20229" w:rsidRPr="00B20229" w:rsidRDefault="00B20229" w:rsidP="00B20229">
      <w:pPr>
        <w:jc w:val="both"/>
        <w:rPr>
          <w:rFonts w:ascii="Verdana" w:hAnsi="Verdana"/>
          <w:sz w:val="22"/>
          <w:szCs w:val="22"/>
        </w:rPr>
      </w:pPr>
      <w:bookmarkStart w:id="1" w:name="NF2"/>
      <w:r w:rsidRPr="00B20229">
        <w:rPr>
          <w:rFonts w:ascii="Verdana" w:hAnsi="Verdana"/>
          <w:sz w:val="22"/>
          <w:szCs w:val="22"/>
        </w:rPr>
        <w:t>2.</w:t>
      </w:r>
      <w:bookmarkEnd w:id="1"/>
      <w:r w:rsidRPr="00B20229">
        <w:rPr>
          <w:rFonts w:ascii="Verdana" w:hAnsi="Verdana"/>
          <w:sz w:val="22"/>
          <w:szCs w:val="22"/>
        </w:rPr>
        <w:t> Corte Constitucional. C-149 del 11 de marzo de 2009. M.P: Dr. Gabriel Eduardo Mendoza Martelo.</w:t>
      </w:r>
    </w:p>
    <w:p w14:paraId="7374A45B" w14:textId="72765D42" w:rsidR="00B20229" w:rsidRPr="00B20229" w:rsidRDefault="00B20229" w:rsidP="00B20229">
      <w:pPr>
        <w:jc w:val="both"/>
        <w:rPr>
          <w:rFonts w:ascii="Verdana" w:hAnsi="Verdana"/>
          <w:sz w:val="22"/>
          <w:szCs w:val="22"/>
        </w:rPr>
      </w:pPr>
      <w:bookmarkStart w:id="2" w:name="NF3"/>
      <w:r w:rsidRPr="00B20229">
        <w:rPr>
          <w:rFonts w:ascii="Verdana" w:hAnsi="Verdana"/>
          <w:sz w:val="22"/>
          <w:szCs w:val="22"/>
        </w:rPr>
        <w:t>3.</w:t>
      </w:r>
      <w:bookmarkEnd w:id="2"/>
      <w:r w:rsidRPr="00B20229">
        <w:rPr>
          <w:rFonts w:ascii="Verdana" w:hAnsi="Verdana"/>
          <w:sz w:val="22"/>
          <w:szCs w:val="22"/>
        </w:rPr>
        <w:t> Corte Constitucional, sentencia C-690/08, expediente D-6939, M.p Nilson Pinilla Pinilla.</w:t>
      </w:r>
    </w:p>
    <w:p w14:paraId="5CD2383C" w14:textId="3FD001BB" w:rsidR="00B20229" w:rsidRPr="00B20229" w:rsidRDefault="00B20229" w:rsidP="00B20229">
      <w:pPr>
        <w:jc w:val="both"/>
        <w:rPr>
          <w:rFonts w:ascii="Verdana" w:hAnsi="Verdana"/>
          <w:sz w:val="22"/>
          <w:szCs w:val="22"/>
        </w:rPr>
      </w:pPr>
      <w:bookmarkStart w:id="3" w:name="NF4"/>
      <w:r w:rsidRPr="00B20229">
        <w:rPr>
          <w:rFonts w:ascii="Verdana" w:hAnsi="Verdana"/>
          <w:sz w:val="22"/>
          <w:szCs w:val="22"/>
        </w:rPr>
        <w:lastRenderedPageBreak/>
        <w:t>4.</w:t>
      </w:r>
      <w:bookmarkEnd w:id="3"/>
      <w:r w:rsidRPr="00B20229">
        <w:rPr>
          <w:rFonts w:ascii="Verdana" w:hAnsi="Verdana"/>
          <w:sz w:val="22"/>
          <w:szCs w:val="22"/>
        </w:rPr>
        <w:t> “Como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4E91B8C0" w14:textId="77777777" w:rsidR="00B20229" w:rsidRPr="00B20229" w:rsidRDefault="00B20229" w:rsidP="00B20229">
      <w:pPr>
        <w:jc w:val="both"/>
        <w:rPr>
          <w:rFonts w:ascii="Verdana" w:hAnsi="Verdana"/>
          <w:sz w:val="22"/>
          <w:szCs w:val="22"/>
        </w:rPr>
      </w:pPr>
    </w:p>
    <w:sectPr w:rsidR="00B20229" w:rsidRPr="00B202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9"/>
    <w:rsid w:val="003C75A9"/>
    <w:rsid w:val="00B202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9B6D"/>
  <w15:chartTrackingRefBased/>
  <w15:docId w15:val="{D1AD0BB5-FFB1-4AD8-99EF-DEC178A7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0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0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02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02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02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02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02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02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02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02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02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02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02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02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02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02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02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0229"/>
    <w:rPr>
      <w:rFonts w:eastAsiaTheme="majorEastAsia" w:cstheme="majorBidi"/>
      <w:color w:val="272727" w:themeColor="text1" w:themeTint="D8"/>
    </w:rPr>
  </w:style>
  <w:style w:type="paragraph" w:styleId="Ttulo">
    <w:name w:val="Title"/>
    <w:basedOn w:val="Normal"/>
    <w:next w:val="Normal"/>
    <w:link w:val="TtuloCar"/>
    <w:uiPriority w:val="10"/>
    <w:qFormat/>
    <w:rsid w:val="00B2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02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02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02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0229"/>
    <w:pPr>
      <w:spacing w:before="160"/>
      <w:jc w:val="center"/>
    </w:pPr>
    <w:rPr>
      <w:i/>
      <w:iCs/>
      <w:color w:val="404040" w:themeColor="text1" w:themeTint="BF"/>
    </w:rPr>
  </w:style>
  <w:style w:type="character" w:customStyle="1" w:styleId="CitaCar">
    <w:name w:val="Cita Car"/>
    <w:basedOn w:val="Fuentedeprrafopredeter"/>
    <w:link w:val="Cita"/>
    <w:uiPriority w:val="29"/>
    <w:rsid w:val="00B20229"/>
    <w:rPr>
      <w:i/>
      <w:iCs/>
      <w:color w:val="404040" w:themeColor="text1" w:themeTint="BF"/>
    </w:rPr>
  </w:style>
  <w:style w:type="paragraph" w:styleId="Prrafodelista">
    <w:name w:val="List Paragraph"/>
    <w:basedOn w:val="Normal"/>
    <w:uiPriority w:val="34"/>
    <w:qFormat/>
    <w:rsid w:val="00B20229"/>
    <w:pPr>
      <w:ind w:left="720"/>
      <w:contextualSpacing/>
    </w:pPr>
  </w:style>
  <w:style w:type="character" w:styleId="nfasisintenso">
    <w:name w:val="Intense Emphasis"/>
    <w:basedOn w:val="Fuentedeprrafopredeter"/>
    <w:uiPriority w:val="21"/>
    <w:qFormat/>
    <w:rsid w:val="00B20229"/>
    <w:rPr>
      <w:i/>
      <w:iCs/>
      <w:color w:val="0F4761" w:themeColor="accent1" w:themeShade="BF"/>
    </w:rPr>
  </w:style>
  <w:style w:type="paragraph" w:styleId="Citadestacada">
    <w:name w:val="Intense Quote"/>
    <w:basedOn w:val="Normal"/>
    <w:next w:val="Normal"/>
    <w:link w:val="CitadestacadaCar"/>
    <w:uiPriority w:val="30"/>
    <w:qFormat/>
    <w:rsid w:val="00B20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0229"/>
    <w:rPr>
      <w:i/>
      <w:iCs/>
      <w:color w:val="0F4761" w:themeColor="accent1" w:themeShade="BF"/>
    </w:rPr>
  </w:style>
  <w:style w:type="character" w:styleId="Referenciaintensa">
    <w:name w:val="Intense Reference"/>
    <w:basedOn w:val="Fuentedeprrafopredeter"/>
    <w:uiPriority w:val="32"/>
    <w:qFormat/>
    <w:rsid w:val="00B20229"/>
    <w:rPr>
      <w:b/>
      <w:bCs/>
      <w:smallCaps/>
      <w:color w:val="0F4761" w:themeColor="accent1" w:themeShade="BF"/>
      <w:spacing w:val="5"/>
    </w:rPr>
  </w:style>
  <w:style w:type="character" w:styleId="Hipervnculo">
    <w:name w:val="Hyperlink"/>
    <w:basedOn w:val="Fuentedeprrafopredeter"/>
    <w:uiPriority w:val="99"/>
    <w:unhideWhenUsed/>
    <w:rsid w:val="00B20229"/>
    <w:rPr>
      <w:color w:val="467886" w:themeColor="hyperlink"/>
      <w:u w:val="single"/>
    </w:rPr>
  </w:style>
  <w:style w:type="character" w:styleId="Mencinsinresolver">
    <w:name w:val="Unresolved Mention"/>
    <w:basedOn w:val="Fuentedeprrafopredeter"/>
    <w:uiPriority w:val="99"/>
    <w:semiHidden/>
    <w:unhideWhenUsed/>
    <w:rsid w:val="00B2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23B1A-EBF3-461C-A751-A9838D9AF012}"/>
</file>

<file path=customXml/itemProps2.xml><?xml version="1.0" encoding="utf-8"?>
<ds:datastoreItem xmlns:ds="http://schemas.openxmlformats.org/officeDocument/2006/customXml" ds:itemID="{56323FBF-A9B2-4B76-9E72-11C216875734}"/>
</file>

<file path=customXml/itemProps3.xml><?xml version="1.0" encoding="utf-8"?>
<ds:datastoreItem xmlns:ds="http://schemas.openxmlformats.org/officeDocument/2006/customXml" ds:itemID="{C5458F21-9F31-4535-BE61-4CFACDBAF4D6}"/>
</file>

<file path=docProps/app.xml><?xml version="1.0" encoding="utf-8"?>
<Properties xmlns="http://schemas.openxmlformats.org/officeDocument/2006/extended-properties" xmlns:vt="http://schemas.openxmlformats.org/officeDocument/2006/docPropsVTypes">
  <Template>Normal</Template>
  <TotalTime>0</TotalTime>
  <Pages>1</Pages>
  <Words>1993</Words>
  <Characters>10964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2026-05-04T19:12:00Z</dcterms:created>
  <dcterms:modified xsi:type="dcterms:W3CDTF">2026-05-04T19:12:00Z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