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ADEE1" w14:textId="6BD03BB2" w:rsidR="000D5ECE" w:rsidRPr="000D5ECE" w:rsidRDefault="000D5ECE" w:rsidP="000D5ECE">
      <w:pPr>
        <w:jc w:val="center"/>
        <w:rPr>
          <w:rFonts w:ascii="Verdana" w:hAnsi="Verdana"/>
          <w:b/>
          <w:bCs/>
        </w:rPr>
      </w:pPr>
      <w:r w:rsidRPr="000D5ECE">
        <w:rPr>
          <w:rFonts w:ascii="Verdana" w:hAnsi="Verdana"/>
          <w:b/>
          <w:bCs/>
        </w:rPr>
        <w:t>CONCEPTO 126 DE 2015</w:t>
      </w:r>
    </w:p>
    <w:p w14:paraId="1C63CF77" w14:textId="4CD0DE27" w:rsidR="000D5ECE" w:rsidRPr="000D5ECE" w:rsidRDefault="000D5ECE" w:rsidP="000D5ECE">
      <w:pPr>
        <w:jc w:val="center"/>
        <w:rPr>
          <w:rFonts w:ascii="Verdana" w:hAnsi="Verdana"/>
        </w:rPr>
      </w:pPr>
      <w:r w:rsidRPr="000D5ECE">
        <w:rPr>
          <w:rFonts w:ascii="Verdana" w:hAnsi="Verdana"/>
        </w:rPr>
        <w:t>(</w:t>
      </w:r>
      <w:r w:rsidRPr="000D5ECE">
        <w:rPr>
          <w:rFonts w:ascii="Verdana" w:hAnsi="Verdana"/>
        </w:rPr>
        <w:t xml:space="preserve">13 de </w:t>
      </w:r>
      <w:r w:rsidRPr="000D5ECE">
        <w:rPr>
          <w:rFonts w:ascii="Verdana" w:hAnsi="Verdana"/>
        </w:rPr>
        <w:t>octubre)</w:t>
      </w:r>
    </w:p>
    <w:p w14:paraId="516EFA4C" w14:textId="1699981E" w:rsidR="000B4793" w:rsidRDefault="000D5ECE" w:rsidP="000D5ECE">
      <w:pPr>
        <w:jc w:val="center"/>
        <w:rPr>
          <w:rFonts w:ascii="Verdana" w:hAnsi="Verdana"/>
          <w:b/>
          <w:bCs/>
        </w:rPr>
      </w:pPr>
      <w:r w:rsidRPr="000D5ECE">
        <w:rPr>
          <w:rFonts w:ascii="Verdana" w:hAnsi="Verdana"/>
          <w:b/>
          <w:bCs/>
        </w:rPr>
        <w:t xml:space="preserve">INSTITUTO COLOMBIANO DE BIENESTAR FAMILIAR </w:t>
      </w:r>
      <w:r>
        <w:rPr>
          <w:rFonts w:ascii="Verdana" w:hAnsi="Verdana"/>
          <w:b/>
          <w:bCs/>
        </w:rPr>
        <w:t>–</w:t>
      </w:r>
      <w:r w:rsidRPr="000D5ECE">
        <w:rPr>
          <w:rFonts w:ascii="Verdana" w:hAnsi="Verdana"/>
          <w:b/>
          <w:bCs/>
        </w:rPr>
        <w:t xml:space="preserve"> ICBF</w:t>
      </w:r>
    </w:p>
    <w:p w14:paraId="2BEE1EE5" w14:textId="25848EC4" w:rsidR="000D5ECE" w:rsidRPr="000D5ECE" w:rsidRDefault="000D5ECE" w:rsidP="000D5ECE">
      <w:pPr>
        <w:jc w:val="both"/>
        <w:rPr>
          <w:rFonts w:ascii="Verdana" w:hAnsi="Verdana"/>
        </w:rPr>
      </w:pPr>
      <w:r w:rsidRPr="000D5ECE">
        <w:rPr>
          <w:rFonts w:ascii="Verdana" w:hAnsi="Verdana"/>
          <w:b/>
          <w:bCs/>
        </w:rPr>
        <w:t>ASUNTO:</w:t>
      </w:r>
      <w:r w:rsidRPr="000D5ECE">
        <w:rPr>
          <w:rFonts w:ascii="Verdana" w:hAnsi="Verdana"/>
        </w:rPr>
        <w:t xml:space="preserve"> Solicitud de concepto, radicado bajo el No. 1760510210 del 23 de septiembre de 2015.</w:t>
      </w:r>
    </w:p>
    <w:p w14:paraId="2591D565" w14:textId="6965A8FA" w:rsidR="000D5ECE" w:rsidRPr="000D5ECE" w:rsidRDefault="000D5ECE" w:rsidP="000D5ECE">
      <w:pPr>
        <w:jc w:val="both"/>
        <w:rPr>
          <w:rFonts w:ascii="Verdana" w:hAnsi="Verdana"/>
        </w:rPr>
      </w:pPr>
      <w:r w:rsidRPr="000D5ECE">
        <w:rPr>
          <w:rFonts w:ascii="Verdana" w:hAnsi="Verdana"/>
        </w:rPr>
        <w:t>De manera atenta, en relación con el asunto de la referencia, en los términos previstos en los artículos 26 del Código Civil, 13 y subsiguientes del Código de Procedimiento Administrativo y de lo Contencioso Administrativo, y 6o, numeral 4, del Decreto 987 de 2012, se responde la solicitud de concepto definitivo sobre el caso en cuestión, en los términos que siguen:</w:t>
      </w:r>
    </w:p>
    <w:p w14:paraId="2DF3F8EB" w14:textId="7C106C5D" w:rsidR="000D5ECE" w:rsidRPr="000D5ECE" w:rsidRDefault="000D5ECE" w:rsidP="000D5ECE">
      <w:pPr>
        <w:jc w:val="both"/>
        <w:rPr>
          <w:rFonts w:ascii="Verdana" w:hAnsi="Verdana"/>
          <w:b/>
          <w:bCs/>
        </w:rPr>
      </w:pPr>
      <w:r w:rsidRPr="000D5ECE">
        <w:rPr>
          <w:rFonts w:ascii="Verdana" w:hAnsi="Verdana"/>
          <w:b/>
          <w:bCs/>
        </w:rPr>
        <w:t>1. PROBLEMA JURÍDICO</w:t>
      </w:r>
    </w:p>
    <w:p w14:paraId="5863720A" w14:textId="1D1A1B0E" w:rsidR="000D5ECE" w:rsidRPr="000D5ECE" w:rsidRDefault="000D5ECE" w:rsidP="000D5ECE">
      <w:pPr>
        <w:jc w:val="both"/>
        <w:rPr>
          <w:rFonts w:ascii="Verdana" w:hAnsi="Verdana"/>
        </w:rPr>
      </w:pPr>
      <w:r w:rsidRPr="000D5ECE">
        <w:rPr>
          <w:rFonts w:ascii="Verdana" w:hAnsi="Verdana"/>
        </w:rPr>
        <w:t>¿Es obligación del Defensor de Familia realizar la defensa técnica de un adolescente vinculado a un proceso de responsabilidad penal?</w:t>
      </w:r>
    </w:p>
    <w:p w14:paraId="706223C6" w14:textId="0D8CB7E3" w:rsidR="000D5ECE" w:rsidRPr="000D5ECE" w:rsidRDefault="000D5ECE" w:rsidP="000D5ECE">
      <w:pPr>
        <w:jc w:val="both"/>
        <w:rPr>
          <w:rFonts w:ascii="Verdana" w:hAnsi="Verdana"/>
          <w:b/>
          <w:bCs/>
        </w:rPr>
      </w:pPr>
      <w:r w:rsidRPr="000D5ECE">
        <w:rPr>
          <w:rFonts w:ascii="Verdana" w:hAnsi="Verdana"/>
          <w:b/>
          <w:bCs/>
        </w:rPr>
        <w:t>2. ANÁLISIS DEL PROBLEMA JURÍDICO</w:t>
      </w:r>
    </w:p>
    <w:p w14:paraId="18F40FA9" w14:textId="6A774419" w:rsidR="000D5ECE" w:rsidRPr="000D5ECE" w:rsidRDefault="000D5ECE" w:rsidP="000D5ECE">
      <w:pPr>
        <w:jc w:val="both"/>
        <w:rPr>
          <w:rFonts w:ascii="Verdana" w:hAnsi="Verdana"/>
        </w:rPr>
      </w:pPr>
      <w:r w:rsidRPr="000D5ECE">
        <w:rPr>
          <w:rFonts w:ascii="Verdana" w:hAnsi="Verdana"/>
        </w:rPr>
        <w:t>El presente problema jurídico se analizará DE LA SIGUIENTE MANERA: (2.1) Funciones de la Autoridad Administrativa en el Sistema de Responsabilidad para Adolescentes – SRPA.</w:t>
      </w:r>
    </w:p>
    <w:p w14:paraId="13AC69FC" w14:textId="7C7C5B9B" w:rsidR="000D5ECE" w:rsidRPr="000D5ECE" w:rsidRDefault="000D5ECE" w:rsidP="000D5ECE">
      <w:pPr>
        <w:jc w:val="both"/>
        <w:rPr>
          <w:rFonts w:ascii="Verdana" w:hAnsi="Verdana"/>
        </w:rPr>
      </w:pPr>
      <w:r w:rsidRPr="000D5ECE">
        <w:rPr>
          <w:rFonts w:ascii="Verdana" w:hAnsi="Verdana"/>
        </w:rPr>
        <w:t>2.1 Funciones de la Autoridad Administrativa en el Sistema de Responsabilidad para Adolescentes – SRPA-</w:t>
      </w:r>
    </w:p>
    <w:p w14:paraId="10F8556D" w14:textId="49D3320F" w:rsidR="000D5ECE" w:rsidRPr="000D5ECE" w:rsidRDefault="000D5ECE" w:rsidP="000D5ECE">
      <w:pPr>
        <w:jc w:val="both"/>
        <w:rPr>
          <w:rFonts w:ascii="Verdana" w:hAnsi="Verdana"/>
        </w:rPr>
      </w:pPr>
      <w:r w:rsidRPr="000D5ECE">
        <w:rPr>
          <w:rFonts w:ascii="Verdana" w:hAnsi="Verdana"/>
        </w:rPr>
        <w:t xml:space="preserve">Según el artículo 146 del Código de la Infancia y la Adolescencia el Defensor de Familia, tiene el deber legal de acompañar al adolescente en todas las actuaciones del proceso y en las etapas de indagación, investigación y juicio, con el fin de verificar la garantía de sus derechos, apareciendo como un </w:t>
      </w:r>
      <w:proofErr w:type="spellStart"/>
      <w:r w:rsidRPr="000D5ECE">
        <w:rPr>
          <w:rFonts w:ascii="Verdana" w:hAnsi="Verdana"/>
        </w:rPr>
        <w:t>intervíniente</w:t>
      </w:r>
      <w:proofErr w:type="spellEnd"/>
      <w:r w:rsidRPr="000D5ECE">
        <w:rPr>
          <w:rFonts w:ascii="Verdana" w:hAnsi="Verdana"/>
        </w:rPr>
        <w:t>, más dentro del Sistema de Responsabilidad Penal para adolescentes, cumpliendo con roles específicos y simultáneamente accionando el marco de la prevención, protección, garantía y restablecimiento de derechos de los mismos, restaurando su dignidad e integridad como sujetos y su capacidad para hacer un ejercicio efectivo de los derechos que le han sido vulnerados.</w:t>
      </w:r>
    </w:p>
    <w:p w14:paraId="5B1D7082" w14:textId="463440E4" w:rsidR="000D5ECE" w:rsidRPr="000D5ECE" w:rsidRDefault="000D5ECE" w:rsidP="000D5ECE">
      <w:pPr>
        <w:jc w:val="both"/>
        <w:rPr>
          <w:rFonts w:ascii="Verdana" w:hAnsi="Verdana"/>
        </w:rPr>
      </w:pPr>
      <w:r w:rsidRPr="000D5ECE">
        <w:rPr>
          <w:rFonts w:ascii="Verdana" w:hAnsi="Verdana"/>
        </w:rPr>
        <w:t>La función del Defensor de Familia va mucho más allá de asistir y acompañar al adolescente en el proceso penal, ya que incluso en los casos en que éste sea encontrado responsable penalmente, le asiste la obligación al Defensor de Familia de velar por la materialización de los derechos del adolescente en la ejecución de la sanción y que se hagan efectivos y se apliquen sus derechos según lo contemplado en el artículo 180 del Código de la Infancia y la Adolescencia.</w:t>
      </w:r>
    </w:p>
    <w:p w14:paraId="1C1EA1F9" w14:textId="5DAA43B1" w:rsidR="000D5ECE" w:rsidRPr="000D5ECE" w:rsidRDefault="000D5ECE" w:rsidP="000D5ECE">
      <w:pPr>
        <w:jc w:val="both"/>
        <w:rPr>
          <w:rFonts w:ascii="Verdana" w:hAnsi="Verdana"/>
        </w:rPr>
      </w:pPr>
      <w:r w:rsidRPr="000D5ECE">
        <w:rPr>
          <w:rFonts w:ascii="Verdana" w:hAnsi="Verdana"/>
        </w:rPr>
        <w:t xml:space="preserve">Es de suma importancia resaltar que la intervención y participación del Defensor de Familia dentro del Sistema de Responsabilidad Penal para Adolescentes debe </w:t>
      </w:r>
      <w:r w:rsidRPr="000D5ECE">
        <w:rPr>
          <w:rFonts w:ascii="Verdana" w:hAnsi="Verdana"/>
        </w:rPr>
        <w:lastRenderedPageBreak/>
        <w:t>ser esencialmente activa; teniendo en cuenta que debe velar por el cumplimiento de las normas de rango constitucional y supraconstitucional y la prevalencia de los principios rectores que inspiran el Código de la Infancia y la Adolescencia.</w:t>
      </w:r>
    </w:p>
    <w:p w14:paraId="3CD0534B" w14:textId="67F3C779" w:rsidR="000D5ECE" w:rsidRPr="000D5ECE" w:rsidRDefault="000D5ECE" w:rsidP="000D5ECE">
      <w:pPr>
        <w:jc w:val="both"/>
        <w:rPr>
          <w:rFonts w:ascii="Verdana" w:hAnsi="Verdana"/>
        </w:rPr>
      </w:pPr>
      <w:r w:rsidRPr="000D5ECE">
        <w:rPr>
          <w:rFonts w:ascii="Verdana" w:hAnsi="Verdana"/>
        </w:rPr>
        <w:t>Las funciones del Defensor de Familia, relacionadas con la representación judicial en su jurisdicción donde se debatan derechos de los niños, las niñas y los adolescentes, tienen un fundamento de rango constitucional, conforme a lo dispuesto en los artículos 5, 42 y 44, al amparar y proteger la familia como institución básica de la sociedad y proteger los derechos fundamentales de los niños.</w:t>
      </w:r>
    </w:p>
    <w:p w14:paraId="7ECDD246" w14:textId="0E38558F" w:rsidR="000D5ECE" w:rsidRPr="000D5ECE" w:rsidRDefault="000D5ECE" w:rsidP="000D5ECE">
      <w:pPr>
        <w:jc w:val="both"/>
        <w:rPr>
          <w:rFonts w:ascii="Verdana" w:hAnsi="Verdana"/>
        </w:rPr>
      </w:pPr>
      <w:r w:rsidRPr="000D5ECE">
        <w:rPr>
          <w:rFonts w:ascii="Verdana" w:hAnsi="Verdana"/>
        </w:rPr>
        <w:t xml:space="preserve">Ahora </w:t>
      </w:r>
      <w:proofErr w:type="gramStart"/>
      <w:r w:rsidRPr="000D5ECE">
        <w:rPr>
          <w:rFonts w:ascii="Verdana" w:hAnsi="Verdana"/>
        </w:rPr>
        <w:t>bien</w:t>
      </w:r>
      <w:proofErr w:type="gramEnd"/>
      <w:r w:rsidRPr="000D5ECE">
        <w:rPr>
          <w:rFonts w:ascii="Verdana" w:hAnsi="Verdana"/>
        </w:rPr>
        <w:t xml:space="preserve"> el artículo 154 de la Ley 1098 de 2006 establece que durante toda la actuación procesal y aún antes de la imputación el adolescente deberá tener un apoderado que adelante su defensa técnica.</w:t>
      </w:r>
    </w:p>
    <w:p w14:paraId="219A3B1F" w14:textId="2237184E" w:rsidR="000D5ECE" w:rsidRPr="000D5ECE" w:rsidRDefault="000D5ECE" w:rsidP="000D5ECE">
      <w:pPr>
        <w:jc w:val="both"/>
        <w:rPr>
          <w:rFonts w:ascii="Verdana" w:hAnsi="Verdana"/>
        </w:rPr>
      </w:pPr>
      <w:r w:rsidRPr="000D5ECE">
        <w:rPr>
          <w:rFonts w:ascii="Verdana" w:hAnsi="Verdana"/>
        </w:rPr>
        <w:t>Al respecto, la Sala de Casación Penal de la Corte Suprema de Justicia,[1] dijo que el Defensor de Familia sólo puede representar al menor de edad víctima de un delito cuando sus padres o familiares se encuentren ausentes.</w:t>
      </w:r>
    </w:p>
    <w:p w14:paraId="48360EF2" w14:textId="36AC3B82" w:rsidR="000D5ECE" w:rsidRPr="000D5ECE" w:rsidRDefault="000D5ECE" w:rsidP="000D5ECE">
      <w:pPr>
        <w:jc w:val="both"/>
        <w:rPr>
          <w:rFonts w:ascii="Verdana" w:hAnsi="Verdana"/>
        </w:rPr>
      </w:pPr>
      <w:r w:rsidRPr="000D5ECE">
        <w:rPr>
          <w:rFonts w:ascii="Verdana" w:hAnsi="Verdana"/>
        </w:rPr>
        <w:t>En efecto, concluyó la Corte que:</w:t>
      </w:r>
    </w:p>
    <w:p w14:paraId="512ABAE6" w14:textId="0873B589" w:rsidR="000D5ECE" w:rsidRPr="000D5ECE" w:rsidRDefault="000D5ECE" w:rsidP="000D5ECE">
      <w:pPr>
        <w:jc w:val="both"/>
        <w:rPr>
          <w:rFonts w:ascii="Verdana" w:hAnsi="Verdana"/>
        </w:rPr>
      </w:pPr>
      <w:r w:rsidRPr="000D5ECE">
        <w:rPr>
          <w:rFonts w:ascii="Verdana" w:hAnsi="Verdana"/>
        </w:rPr>
        <w:t>... "Respecto del rol de defensor de familia en las actuaciones penales, éste se encuentra claramente regulado en la Ley 1098 de 2006, en cuyo artículo 81 numeral 12 establece que una de las funciones del defensor de familia es la de representar a los niños, las niñas o los adolescentes en las actuaciones judiciales o administrativas cuando carezcan de representante o este se halle ausente o incapacitado o sea el agente de la amenaza o vulneración de derechos. Este mismo estatuto, al referirse a &lt;sic&gt; en forma específicas &lt;sic&gt; al procedimiento que debe adelantarse cuando los niños, las niñas o los adolescentes son víctimas de delitos, en su artículo 193 numeral 2o, prevé que la autoridad judicial tendrá que informar de inmediato a la defensoría de familia a fin de que se tomen las medidas de verificación de la garantía de derechos y restablecimiento pertinentes en los casos en que el menor carezca definitiva o temporalmente de padres, representante legal o éstos sean vinculados como autores o partícipes del delito.</w:t>
      </w:r>
    </w:p>
    <w:p w14:paraId="0F3E73B3" w14:textId="5A07EAF0" w:rsidR="000D5ECE" w:rsidRPr="000D5ECE" w:rsidRDefault="000D5ECE" w:rsidP="000D5ECE">
      <w:pPr>
        <w:jc w:val="both"/>
        <w:rPr>
          <w:rFonts w:ascii="Verdana" w:hAnsi="Verdana"/>
        </w:rPr>
      </w:pPr>
      <w:r w:rsidRPr="000D5ECE">
        <w:rPr>
          <w:rFonts w:ascii="Verdana" w:hAnsi="Verdana"/>
        </w:rPr>
        <w:t xml:space="preserve">A su turno el artículo 193 </w:t>
      </w:r>
      <w:proofErr w:type="spellStart"/>
      <w:r w:rsidRPr="000D5ECE">
        <w:rPr>
          <w:rFonts w:ascii="Verdana" w:hAnsi="Verdana"/>
        </w:rPr>
        <w:t>íbid</w:t>
      </w:r>
      <w:proofErr w:type="spellEnd"/>
      <w:r w:rsidRPr="000D5ECE">
        <w:rPr>
          <w:rFonts w:ascii="Verdana" w:hAnsi="Verdana"/>
        </w:rPr>
        <w:t>, sobre las facultades del defensor de familia en los procesos penales, indica que éste podrá solicitar información sobre el desarrollo de la investigación, para efectos de tomar las medidas de verificación de la garantía de derechos y restablecimiento pertinentes.</w:t>
      </w:r>
    </w:p>
    <w:p w14:paraId="3837C98D" w14:textId="7CCCCC6E" w:rsidR="000D5ECE" w:rsidRPr="000D5ECE" w:rsidRDefault="000D5ECE" w:rsidP="000D5ECE">
      <w:pPr>
        <w:jc w:val="both"/>
        <w:rPr>
          <w:rFonts w:ascii="Verdana" w:hAnsi="Verdana"/>
        </w:rPr>
      </w:pPr>
      <w:r w:rsidRPr="000D5ECE">
        <w:rPr>
          <w:rFonts w:ascii="Verdana" w:hAnsi="Verdana"/>
        </w:rPr>
        <w:t xml:space="preserve">Según las normas antes citadas, corresponde al defensor de familia ejercer la representación de los menores que han sido víctimas de conductas punibles dentro del trámite penal, solo cuando esta tarea no puede ser asumida por los padres o familiares por encontrarse ausentes y que por lo mismo tampoco pueden designar un apoderado de víctimas. Es decir, interpreta la Corte </w:t>
      </w:r>
      <w:proofErr w:type="gramStart"/>
      <w:r w:rsidRPr="000D5ECE">
        <w:rPr>
          <w:rFonts w:ascii="Verdana" w:hAnsi="Verdana"/>
        </w:rPr>
        <w:t>que</w:t>
      </w:r>
      <w:proofErr w:type="gramEnd"/>
      <w:r w:rsidRPr="000D5ECE">
        <w:rPr>
          <w:rFonts w:ascii="Verdana" w:hAnsi="Verdana"/>
        </w:rPr>
        <w:t xml:space="preserve"> si dentro del proceso penal el menor es representado directamente por sus parientes o por el abogado que éstos hayan designado para el efecto, la </w:t>
      </w:r>
      <w:r w:rsidRPr="000D5ECE">
        <w:rPr>
          <w:rFonts w:ascii="Verdana" w:hAnsi="Verdana"/>
        </w:rPr>
        <w:lastRenderedPageBreak/>
        <w:t>actuación del defensor de familia como otro interviniente en la actuación, no puede admitirse, pues las cuestiones que corresponda debatir en el trámite penal a favor del menor víctima quedan en cabeza de los representantes del menor o de su apoderado.</w:t>
      </w:r>
    </w:p>
    <w:p w14:paraId="4A48C997" w14:textId="57CB9098" w:rsidR="000D5ECE" w:rsidRPr="000D5ECE" w:rsidRDefault="000D5ECE" w:rsidP="000D5ECE">
      <w:pPr>
        <w:jc w:val="both"/>
        <w:rPr>
          <w:rFonts w:ascii="Verdana" w:hAnsi="Verdana"/>
        </w:rPr>
      </w:pPr>
      <w:r w:rsidRPr="000D5ECE">
        <w:rPr>
          <w:rFonts w:ascii="Verdana" w:hAnsi="Verdana"/>
        </w:rPr>
        <w:t>Se entiende entonces que el rol del defensor de familia para estos específicos términos, esto es, la intervención en el proceso penal, es residual de donde no pueden actuar simultáneamente los representantes del menor, llámense padres o familiares o el apoderado de víctimas, con el defensor de familia, toda vez que sería admitir la actual de dos intervinientes especiales con idéntica pretensión, con las mismas facultades que la Ley 906 de 2004 les otorga y ejerciendo el mismo rol que debe ser asumido por uno solo de ellos, ya sea representantes legales directamente o a través de apoderado o por el defensor de familia, en orden a defender los derechos del menor víctima.</w:t>
      </w:r>
    </w:p>
    <w:p w14:paraId="41D9DF87" w14:textId="37770224" w:rsidR="000D5ECE" w:rsidRPr="000D5ECE" w:rsidRDefault="000D5ECE" w:rsidP="000D5ECE">
      <w:pPr>
        <w:jc w:val="both"/>
        <w:rPr>
          <w:rFonts w:ascii="Verdana" w:hAnsi="Verdana"/>
        </w:rPr>
      </w:pPr>
      <w:r w:rsidRPr="000D5ECE">
        <w:rPr>
          <w:rFonts w:ascii="Verdana" w:hAnsi="Verdana"/>
        </w:rPr>
        <w:t>Así las cosas, el defensor de familia asumirá el papel de representante del menor en el proceso penal con todas las facultades que la Ley Procesal Penal otorga a las víctimas y su apoderado quienes reciben el calificativo de interviniente especial, a falta de parientes o de abogado de víctimas, rol que ejercerá con apego a los estrictos lineamientos que ha fijado la Corte Constitucional, concretamente la sentencia C-209 de 2007 y la línea jurisprudencial marcada por la Sala de Casación de la Corte Suprema de Justicia quo se ha desarrollado respetando el anterior precedente de constitucionalidad. De lo contrario la actuación de la defensoría de familia con ocasión de los procesos penales que se adelanten cuando la víctima es un niño, niña o adolescente, se limitará a una mera labor de verificación y recaudo de información con el fin de estar atenta a desplegar cualquier medida de protección que como autoridad administrativa está en el deber de prestar a estos sujetos de especial protección.</w:t>
      </w:r>
    </w:p>
    <w:p w14:paraId="4AE72CEA" w14:textId="6B9A00A2" w:rsidR="000D5ECE" w:rsidRPr="000D5ECE" w:rsidRDefault="000D5ECE" w:rsidP="000D5ECE">
      <w:pPr>
        <w:jc w:val="both"/>
        <w:rPr>
          <w:rFonts w:ascii="Verdana" w:hAnsi="Verdana"/>
          <w:b/>
          <w:bCs/>
        </w:rPr>
      </w:pPr>
      <w:r w:rsidRPr="000D5ECE">
        <w:rPr>
          <w:rFonts w:ascii="Verdana" w:hAnsi="Verdana"/>
          <w:b/>
          <w:bCs/>
        </w:rPr>
        <w:t>3. CONCLUSIONES</w:t>
      </w:r>
    </w:p>
    <w:p w14:paraId="694E8D7B" w14:textId="0E1733BA" w:rsidR="000D5ECE" w:rsidRPr="000D5ECE" w:rsidRDefault="000D5ECE" w:rsidP="000D5ECE">
      <w:pPr>
        <w:jc w:val="both"/>
        <w:rPr>
          <w:rFonts w:ascii="Verdana" w:hAnsi="Verdana"/>
        </w:rPr>
      </w:pPr>
      <w:r w:rsidRPr="000D5ECE">
        <w:rPr>
          <w:rFonts w:ascii="Verdana" w:hAnsi="Verdana"/>
        </w:rPr>
        <w:t>Teniendo en cuenta las consideraciones de orden legal expuestas se puede concluir lo siguiente:</w:t>
      </w:r>
    </w:p>
    <w:p w14:paraId="7EF009ED" w14:textId="2B281733" w:rsidR="000D5ECE" w:rsidRPr="000D5ECE" w:rsidRDefault="000D5ECE" w:rsidP="000D5ECE">
      <w:pPr>
        <w:jc w:val="both"/>
        <w:rPr>
          <w:rFonts w:ascii="Verdana" w:hAnsi="Verdana"/>
        </w:rPr>
      </w:pPr>
      <w:r w:rsidRPr="000D5ECE">
        <w:rPr>
          <w:rFonts w:ascii="Verdana" w:hAnsi="Verdana"/>
        </w:rPr>
        <w:t>Primera: El Defensor .de Familia acompaña al adolescente en todas las actuaciones del proceso y en las etapas de indagación, investigación y juicio, con el fin de verificar la garantía de sus derechos, pero no ejerce la defensa técnica del mismo, para dicha función debe nombrarse un abogado.</w:t>
      </w:r>
    </w:p>
    <w:p w14:paraId="491B8D52" w14:textId="3C0ED4F2" w:rsidR="000D5ECE" w:rsidRPr="000D5ECE" w:rsidRDefault="000D5ECE" w:rsidP="000D5ECE">
      <w:pPr>
        <w:jc w:val="both"/>
        <w:rPr>
          <w:rFonts w:ascii="Verdana" w:hAnsi="Verdana"/>
        </w:rPr>
      </w:pPr>
      <w:r w:rsidRPr="000D5ECE">
        <w:rPr>
          <w:rFonts w:ascii="Verdana" w:hAnsi="Verdana"/>
        </w:rPr>
        <w:t xml:space="preserve">El presente </w:t>
      </w:r>
      <w:proofErr w:type="gramStart"/>
      <w:r w:rsidRPr="000D5ECE">
        <w:rPr>
          <w:rFonts w:ascii="Verdana" w:hAnsi="Verdana"/>
        </w:rPr>
        <w:t>concepto[</w:t>
      </w:r>
      <w:proofErr w:type="gramEnd"/>
      <w:r w:rsidRPr="000D5ECE">
        <w:rPr>
          <w:rFonts w:ascii="Verdana" w:hAnsi="Verdana"/>
        </w:rPr>
        <w:t xml:space="preserve">2]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0D5ECE">
        <w:rPr>
          <w:rFonts w:ascii="Verdana" w:hAnsi="Verdana"/>
        </w:rPr>
        <w:t>obstante</w:t>
      </w:r>
      <w:proofErr w:type="gramEnd"/>
      <w:r w:rsidRPr="000D5ECE">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w:t>
      </w:r>
      <w:r w:rsidRPr="000D5ECE">
        <w:rPr>
          <w:rFonts w:ascii="Verdana" w:hAnsi="Verdana"/>
        </w:rPr>
        <w:lastRenderedPageBreak/>
        <w:t>necesarias para el desarrollo de las funciones del Instituto, de conformidad con los numerales 8 y 15 del Decreto 987 de 2012.</w:t>
      </w:r>
    </w:p>
    <w:p w14:paraId="1F86BA69" w14:textId="4B0ECD8C" w:rsidR="000D5ECE" w:rsidRPr="000D5ECE" w:rsidRDefault="000D5ECE" w:rsidP="000D5ECE">
      <w:pPr>
        <w:jc w:val="both"/>
        <w:rPr>
          <w:rFonts w:ascii="Verdana" w:hAnsi="Verdana"/>
        </w:rPr>
      </w:pPr>
      <w:r w:rsidRPr="000D5ECE">
        <w:rPr>
          <w:rFonts w:ascii="Verdana" w:hAnsi="Verdana"/>
        </w:rPr>
        <w:t>Atentamente,</w:t>
      </w:r>
    </w:p>
    <w:p w14:paraId="3011E8A0" w14:textId="0A77DA39" w:rsidR="000D5ECE" w:rsidRPr="000D5ECE" w:rsidRDefault="000D5ECE" w:rsidP="000D5ECE">
      <w:pPr>
        <w:jc w:val="center"/>
        <w:rPr>
          <w:rFonts w:ascii="Verdana" w:hAnsi="Verdana"/>
          <w:b/>
          <w:bCs/>
        </w:rPr>
      </w:pPr>
      <w:r w:rsidRPr="000D5ECE">
        <w:rPr>
          <w:rFonts w:ascii="Verdana" w:hAnsi="Verdana"/>
          <w:b/>
          <w:bCs/>
        </w:rPr>
        <w:t>LUZ KARIME FERNANDEZ CASTILLO</w:t>
      </w:r>
    </w:p>
    <w:p w14:paraId="7D108657" w14:textId="719E7D2B" w:rsidR="000D5ECE" w:rsidRPr="000D5ECE" w:rsidRDefault="000D5ECE" w:rsidP="000D5ECE">
      <w:pPr>
        <w:jc w:val="center"/>
        <w:rPr>
          <w:rFonts w:ascii="Verdana" w:hAnsi="Verdana"/>
        </w:rPr>
      </w:pPr>
      <w:r w:rsidRPr="000D5ECE">
        <w:rPr>
          <w:rFonts w:ascii="Verdana" w:hAnsi="Verdana"/>
        </w:rPr>
        <w:t>JEFE OFICINA ASESORA JURÍDICA</w:t>
      </w:r>
    </w:p>
    <w:p w14:paraId="2D910C89" w14:textId="6834CCA9" w:rsidR="000D5ECE" w:rsidRPr="000D5ECE" w:rsidRDefault="000D5ECE" w:rsidP="000D5ECE">
      <w:pPr>
        <w:jc w:val="both"/>
        <w:rPr>
          <w:rFonts w:ascii="Verdana" w:hAnsi="Verdana"/>
        </w:rPr>
      </w:pPr>
      <w:r w:rsidRPr="000D5ECE">
        <w:rPr>
          <w:rFonts w:ascii="Verdana" w:hAnsi="Verdana"/>
        </w:rPr>
        <w:t>* * *</w:t>
      </w:r>
    </w:p>
    <w:p w14:paraId="309AA5A2" w14:textId="77777777" w:rsidR="000D5ECE" w:rsidRPr="000D5ECE" w:rsidRDefault="000D5ECE" w:rsidP="000D5ECE">
      <w:pPr>
        <w:jc w:val="both"/>
        <w:rPr>
          <w:rFonts w:ascii="Verdana" w:hAnsi="Verdana"/>
        </w:rPr>
      </w:pPr>
      <w:r w:rsidRPr="000D5ECE">
        <w:rPr>
          <w:rFonts w:ascii="Verdana" w:hAnsi="Verdana"/>
        </w:rPr>
        <w:t>1. Sentencia 38564 del 17 de octubre de 2012, MP Fernando Alberto Castro Caballero.</w:t>
      </w:r>
    </w:p>
    <w:p w14:paraId="1D6D75EA" w14:textId="68AF3B58" w:rsidR="000D5ECE" w:rsidRPr="000D5ECE" w:rsidRDefault="000D5ECE" w:rsidP="000D5ECE">
      <w:pPr>
        <w:jc w:val="both"/>
        <w:rPr>
          <w:rFonts w:ascii="Verdana" w:hAnsi="Verdana"/>
        </w:rPr>
      </w:pPr>
      <w:r w:rsidRPr="000D5ECE">
        <w:rPr>
          <w:rFonts w:ascii="Verdana" w:hAnsi="Verdana"/>
        </w:rPr>
        <w:t xml:space="preserve">2. "Como al realizar las referidas intervenciones la Administración debe aplicar a través de funcionarios con conocimientos jurídicos, o cuando la </w:t>
      </w:r>
      <w:proofErr w:type="gramStart"/>
      <w:r w:rsidRPr="000D5ECE">
        <w:rPr>
          <w:rFonts w:ascii="Verdana" w:hAnsi="Verdana"/>
        </w:rPr>
        <w:t>debida  ejecución</w:t>
      </w:r>
      <w:proofErr w:type="gramEnd"/>
      <w:r w:rsidRPr="000D5ECE">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0D5ECE">
        <w:rPr>
          <w:rFonts w:ascii="Verdana" w:hAnsi="Verdana"/>
        </w:rPr>
        <w:t>Carbonel</w:t>
      </w:r>
      <w:proofErr w:type="spellEnd"/>
      <w:r w:rsidRPr="000D5ECE">
        <w:rPr>
          <w:rFonts w:ascii="Verdana" w:hAnsi="Verdana"/>
        </w:rPr>
        <w:t>.</w:t>
      </w:r>
    </w:p>
    <w:sectPr w:rsidR="000D5ECE" w:rsidRPr="000D5EC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CE"/>
    <w:rsid w:val="000B4793"/>
    <w:rsid w:val="000D5E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B0317"/>
  <w15:chartTrackingRefBased/>
  <w15:docId w15:val="{F25C5215-FAE7-4B7A-9911-AC464B46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7A250-879B-47ED-94F0-C55D03152AF1}"/>
</file>

<file path=customXml/itemProps2.xml><?xml version="1.0" encoding="utf-8"?>
<ds:datastoreItem xmlns:ds="http://schemas.openxmlformats.org/officeDocument/2006/customXml" ds:itemID="{84CCF39E-086B-40CB-964F-1DFE34C85136}"/>
</file>

<file path=customXml/itemProps3.xml><?xml version="1.0" encoding="utf-8"?>
<ds:datastoreItem xmlns:ds="http://schemas.openxmlformats.org/officeDocument/2006/customXml" ds:itemID="{1CDE0F8C-2E90-40ED-9C6E-CEBC12644E11}"/>
</file>

<file path=docProps/app.xml><?xml version="1.0" encoding="utf-8"?>
<Properties xmlns="http://schemas.openxmlformats.org/officeDocument/2006/extended-properties" xmlns:vt="http://schemas.openxmlformats.org/officeDocument/2006/docPropsVTypes">
  <Template>Normal</Template>
  <TotalTime>3</TotalTime>
  <Pages>4</Pages>
  <Words>1552</Words>
  <Characters>8536</Characters>
  <Application>Microsoft Office Word</Application>
  <DocSecurity>0</DocSecurity>
  <Lines>71</Lines>
  <Paragraphs>20</Paragraphs>
  <ScaleCrop>false</ScaleCrop>
  <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2026-07-01T15:42:00Z</dcterms:created>
  <dcterms:modified xsi:type="dcterms:W3CDTF">2026-07-01T15:50:00Z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