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C3B2" w14:textId="77777777" w:rsidR="00E71DBC" w:rsidRPr="00E71DBC" w:rsidRDefault="00E71DBC" w:rsidP="00E71DBC">
      <w:pPr>
        <w:jc w:val="center"/>
        <w:rPr>
          <w:rFonts w:ascii="Verdana" w:hAnsi="Verdana"/>
          <w:sz w:val="22"/>
          <w:szCs w:val="22"/>
        </w:rPr>
      </w:pPr>
      <w:r w:rsidRPr="00E71DBC">
        <w:rPr>
          <w:rFonts w:ascii="Verdana" w:hAnsi="Verdana"/>
          <w:b/>
          <w:bCs/>
          <w:sz w:val="22"/>
          <w:szCs w:val="22"/>
        </w:rPr>
        <w:t>CONCEPTO 118 DE 2014</w:t>
      </w:r>
    </w:p>
    <w:p w14:paraId="55F035CA" w14:textId="77777777" w:rsidR="00E71DBC" w:rsidRPr="00E71DBC" w:rsidRDefault="00E71DBC" w:rsidP="00E71DBC">
      <w:pPr>
        <w:jc w:val="center"/>
        <w:rPr>
          <w:rFonts w:ascii="Verdana" w:hAnsi="Verdana"/>
          <w:sz w:val="22"/>
          <w:szCs w:val="22"/>
        </w:rPr>
      </w:pPr>
      <w:r w:rsidRPr="00E71DBC">
        <w:rPr>
          <w:rFonts w:ascii="Verdana" w:hAnsi="Verdana"/>
          <w:sz w:val="22"/>
          <w:szCs w:val="22"/>
        </w:rPr>
        <w:t>(Agosto27)</w:t>
      </w:r>
    </w:p>
    <w:p w14:paraId="3F0DFA1C" w14:textId="77777777" w:rsidR="00E71DBC" w:rsidRPr="00E71DBC" w:rsidRDefault="00E71DBC" w:rsidP="00E71DBC">
      <w:pPr>
        <w:jc w:val="center"/>
        <w:rPr>
          <w:rFonts w:ascii="Verdana" w:hAnsi="Verdana"/>
          <w:sz w:val="22"/>
          <w:szCs w:val="22"/>
        </w:rPr>
      </w:pPr>
      <w:r w:rsidRPr="00E71DBC">
        <w:rPr>
          <w:rFonts w:ascii="Verdana" w:hAnsi="Verdana"/>
          <w:b/>
          <w:bCs/>
          <w:sz w:val="22"/>
          <w:szCs w:val="22"/>
        </w:rPr>
        <w:t>INSTITUTO COLOMBIANO DE BIENESTAR FAMILIAR – ICBF</w:t>
      </w:r>
    </w:p>
    <w:p w14:paraId="30440CB8" w14:textId="77777777" w:rsidR="00E71DBC" w:rsidRDefault="00E71DBC" w:rsidP="00E71DBC">
      <w:pPr>
        <w:jc w:val="both"/>
        <w:rPr>
          <w:rFonts w:ascii="Verdana" w:hAnsi="Verdana"/>
          <w:b/>
          <w:bCs/>
          <w:sz w:val="22"/>
          <w:szCs w:val="22"/>
        </w:rPr>
      </w:pPr>
    </w:p>
    <w:p w14:paraId="43AE51F2" w14:textId="3746C017" w:rsidR="00E71DBC" w:rsidRPr="00E71DBC" w:rsidRDefault="00E71DBC" w:rsidP="00E71DBC">
      <w:pPr>
        <w:jc w:val="both"/>
        <w:rPr>
          <w:rFonts w:ascii="Verdana" w:hAnsi="Verdana"/>
          <w:b/>
          <w:bCs/>
          <w:sz w:val="22"/>
          <w:szCs w:val="22"/>
        </w:rPr>
      </w:pPr>
      <w:r w:rsidRPr="00E71DBC">
        <w:rPr>
          <w:rFonts w:ascii="Verdana" w:hAnsi="Verdana"/>
          <w:b/>
          <w:bCs/>
          <w:sz w:val="22"/>
          <w:szCs w:val="22"/>
        </w:rPr>
        <w:t>PARA:</w:t>
      </w:r>
      <w:r>
        <w:rPr>
          <w:rFonts w:ascii="Verdana" w:hAnsi="Verdana"/>
          <w:b/>
          <w:bCs/>
          <w:sz w:val="22"/>
          <w:szCs w:val="22"/>
        </w:rPr>
        <w:t xml:space="preserve"> </w:t>
      </w:r>
      <w:r w:rsidRPr="00E71DBC">
        <w:rPr>
          <w:rFonts w:ascii="Verdana" w:hAnsi="Verdana"/>
          <w:sz w:val="22"/>
          <w:szCs w:val="22"/>
        </w:rPr>
        <w:t>Coordinador Jurídico Regional ICBF Antioquia</w:t>
      </w:r>
    </w:p>
    <w:p w14:paraId="1AB6DA2E" w14:textId="0C6FC78A" w:rsidR="00E71DBC" w:rsidRDefault="00E71DBC" w:rsidP="00E71DBC">
      <w:pPr>
        <w:jc w:val="both"/>
        <w:rPr>
          <w:rFonts w:ascii="Verdana" w:hAnsi="Verdana"/>
          <w:sz w:val="22"/>
          <w:szCs w:val="22"/>
        </w:rPr>
      </w:pPr>
      <w:r w:rsidRPr="00E71DBC">
        <w:rPr>
          <w:rFonts w:ascii="Verdana" w:hAnsi="Verdana"/>
          <w:b/>
          <w:bCs/>
          <w:sz w:val="22"/>
          <w:szCs w:val="22"/>
        </w:rPr>
        <w:t>ASUNTO:</w:t>
      </w:r>
      <w:r>
        <w:rPr>
          <w:rFonts w:ascii="Verdana" w:hAnsi="Verdana"/>
          <w:b/>
          <w:bCs/>
          <w:sz w:val="22"/>
          <w:szCs w:val="22"/>
        </w:rPr>
        <w:t xml:space="preserve"> </w:t>
      </w:r>
      <w:r w:rsidRPr="00E71DBC">
        <w:rPr>
          <w:rFonts w:ascii="Verdana" w:hAnsi="Verdana"/>
          <w:sz w:val="22"/>
          <w:szCs w:val="22"/>
        </w:rPr>
        <w:t>Pérdida de la calidad de Hogar de paso.</w:t>
      </w:r>
    </w:p>
    <w:p w14:paraId="66704519" w14:textId="77777777" w:rsidR="00E71DBC" w:rsidRDefault="00E71DBC" w:rsidP="00E71DBC">
      <w:pPr>
        <w:jc w:val="both"/>
        <w:rPr>
          <w:rFonts w:ascii="Verdana" w:hAnsi="Verdana"/>
          <w:b/>
          <w:bCs/>
          <w:sz w:val="22"/>
          <w:szCs w:val="22"/>
        </w:rPr>
      </w:pPr>
    </w:p>
    <w:p w14:paraId="119AE94F" w14:textId="108D605F" w:rsidR="00E71DBC" w:rsidRPr="00E71DBC" w:rsidRDefault="00E71DBC" w:rsidP="00E71DBC">
      <w:pPr>
        <w:jc w:val="both"/>
        <w:rPr>
          <w:rFonts w:ascii="Verdana" w:hAnsi="Verdana"/>
          <w:sz w:val="22"/>
          <w:szCs w:val="22"/>
        </w:rPr>
      </w:pPr>
      <w:r w:rsidRPr="00E71DBC">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7EF535EA" w14:textId="77777777" w:rsidR="00E71DBC" w:rsidRPr="00E71DBC" w:rsidRDefault="00E71DBC" w:rsidP="00E71DBC">
      <w:pPr>
        <w:jc w:val="both"/>
        <w:rPr>
          <w:rFonts w:ascii="Verdana" w:hAnsi="Verdana"/>
          <w:sz w:val="22"/>
          <w:szCs w:val="22"/>
        </w:rPr>
      </w:pPr>
      <w:r w:rsidRPr="00E71DBC">
        <w:rPr>
          <w:rFonts w:ascii="Verdana" w:hAnsi="Verdana"/>
          <w:b/>
          <w:bCs/>
          <w:sz w:val="22"/>
          <w:szCs w:val="22"/>
        </w:rPr>
        <w:t>1. PROBLEMA JURÍDICO</w:t>
      </w:r>
    </w:p>
    <w:p w14:paraId="20225762" w14:textId="77777777" w:rsidR="00E71DBC" w:rsidRPr="00E71DBC" w:rsidRDefault="00E71DBC" w:rsidP="00E71DBC">
      <w:pPr>
        <w:jc w:val="both"/>
        <w:rPr>
          <w:rFonts w:ascii="Verdana" w:hAnsi="Verdana"/>
          <w:sz w:val="22"/>
          <w:szCs w:val="22"/>
        </w:rPr>
      </w:pPr>
      <w:r w:rsidRPr="00E71DBC">
        <w:rPr>
          <w:rFonts w:ascii="Verdana" w:hAnsi="Verdana"/>
          <w:sz w:val="22"/>
          <w:szCs w:val="22"/>
        </w:rPr>
        <w:t>¿Puede cerrarse un Hogar de Paso- modalidad familia, con fundamento en la facultad discrecional?</w:t>
      </w:r>
    </w:p>
    <w:p w14:paraId="607F0A5D" w14:textId="77777777" w:rsidR="00E71DBC" w:rsidRPr="00E71DBC" w:rsidRDefault="00E71DBC" w:rsidP="00E71DBC">
      <w:pPr>
        <w:jc w:val="both"/>
        <w:rPr>
          <w:rFonts w:ascii="Verdana" w:hAnsi="Verdana"/>
          <w:sz w:val="22"/>
          <w:szCs w:val="22"/>
        </w:rPr>
      </w:pPr>
      <w:r w:rsidRPr="00E71DBC">
        <w:rPr>
          <w:rFonts w:ascii="Verdana" w:hAnsi="Verdana"/>
          <w:b/>
          <w:bCs/>
          <w:sz w:val="22"/>
          <w:szCs w:val="22"/>
        </w:rPr>
        <w:t>2. ANÁLISIS DEL PROBLEMA JURÍDICO</w:t>
      </w:r>
    </w:p>
    <w:p w14:paraId="04BD81BB" w14:textId="77777777" w:rsidR="00E71DBC" w:rsidRPr="00E71DBC" w:rsidRDefault="00E71DBC" w:rsidP="00E71DBC">
      <w:pPr>
        <w:jc w:val="both"/>
        <w:rPr>
          <w:rFonts w:ascii="Verdana" w:hAnsi="Verdana"/>
          <w:sz w:val="22"/>
          <w:szCs w:val="22"/>
        </w:rPr>
      </w:pPr>
      <w:r w:rsidRPr="00E71DBC">
        <w:rPr>
          <w:rFonts w:ascii="Verdana" w:hAnsi="Verdana"/>
          <w:sz w:val="22"/>
          <w:szCs w:val="22"/>
        </w:rPr>
        <w:t>Se abordará el tema analizando: (2.1) El interés superior de los niños, niñas y adolescentes; (2.2) motivación de los actos administrativos y (2.3) Pérdida de la calidad de Hogar de paso.</w:t>
      </w:r>
    </w:p>
    <w:p w14:paraId="7526A4A5" w14:textId="77777777" w:rsidR="00E71DBC" w:rsidRPr="00E71DBC" w:rsidRDefault="00E71DBC" w:rsidP="00E71DBC">
      <w:pPr>
        <w:jc w:val="both"/>
        <w:rPr>
          <w:rFonts w:ascii="Verdana" w:hAnsi="Verdana"/>
          <w:sz w:val="22"/>
          <w:szCs w:val="22"/>
        </w:rPr>
      </w:pPr>
      <w:r w:rsidRPr="00E71DBC">
        <w:rPr>
          <w:rFonts w:ascii="Verdana" w:hAnsi="Verdana"/>
          <w:b/>
          <w:bCs/>
          <w:sz w:val="22"/>
          <w:szCs w:val="22"/>
        </w:rPr>
        <w:t>2.1 El interés Superior de los niños, las niñas y los adolescentes</w:t>
      </w:r>
    </w:p>
    <w:p w14:paraId="6687333E" w14:textId="77777777" w:rsidR="00E71DBC" w:rsidRPr="00E71DBC" w:rsidRDefault="00E71DBC" w:rsidP="00E71DBC">
      <w:pPr>
        <w:jc w:val="both"/>
        <w:rPr>
          <w:rFonts w:ascii="Verdana" w:hAnsi="Verdana"/>
          <w:sz w:val="22"/>
          <w:szCs w:val="22"/>
        </w:rPr>
      </w:pPr>
      <w:r w:rsidRPr="00E71DBC">
        <w:rPr>
          <w:rFonts w:ascii="Verdana" w:hAnsi="Verdana"/>
          <w:sz w:val="22"/>
          <w:szCs w:val="22"/>
        </w:rPr>
        <w:t>La Convención sobre los Derechos del Niño en el numeral primero del artículo tercero establece que </w:t>
      </w:r>
      <w:r w:rsidRPr="00E71DBC">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E71DBC">
        <w:rPr>
          <w:rFonts w:ascii="Verdana" w:hAnsi="Verdana"/>
          <w:i/>
          <w:iCs/>
          <w:sz w:val="22"/>
          <w:szCs w:val="22"/>
          <w:u w:val="single"/>
        </w:rPr>
        <w:t>una consideración primordial a que se atenderá será el interés superior del niño</w:t>
      </w:r>
      <w:r w:rsidRPr="00E71DBC">
        <w:rPr>
          <w:rFonts w:ascii="Verdana" w:hAnsi="Verdana"/>
          <w:i/>
          <w:iCs/>
          <w:sz w:val="22"/>
          <w:szCs w:val="22"/>
        </w:rPr>
        <w:t>"</w:t>
      </w:r>
      <w:r w:rsidRPr="00E71DBC">
        <w:rPr>
          <w:rFonts w:ascii="Verdana" w:hAnsi="Verdana"/>
          <w:sz w:val="22"/>
          <w:szCs w:val="22"/>
        </w:rPr>
        <w:t> (subrayado fuera de texto).</w:t>
      </w:r>
    </w:p>
    <w:p w14:paraId="6BC5C18A" w14:textId="3DB0C4F7" w:rsidR="00E71DBC" w:rsidRPr="00E71DBC" w:rsidRDefault="00E71DBC" w:rsidP="00E71DBC">
      <w:pPr>
        <w:jc w:val="both"/>
        <w:rPr>
          <w:rFonts w:ascii="Verdana" w:hAnsi="Verdana"/>
          <w:sz w:val="22"/>
          <w:szCs w:val="22"/>
        </w:rPr>
      </w:pPr>
      <w:r w:rsidRPr="00E71DBC">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1C9EBA2E" w14:textId="78CE502E" w:rsidR="00E71DBC" w:rsidRPr="00E71DBC" w:rsidRDefault="00E71DBC" w:rsidP="00E71DBC">
      <w:pPr>
        <w:jc w:val="both"/>
        <w:rPr>
          <w:rFonts w:ascii="Verdana" w:hAnsi="Verdana"/>
          <w:sz w:val="22"/>
          <w:szCs w:val="22"/>
        </w:rPr>
      </w:pPr>
      <w:r w:rsidRPr="00E71DBC">
        <w:rPr>
          <w:rFonts w:ascii="Verdana" w:hAnsi="Verdana"/>
          <w:sz w:val="22"/>
          <w:szCs w:val="22"/>
        </w:rPr>
        <w:t>Por su parte, en el artículo 8 del Código de la Infancia y la Adolescencia se define el interés superior de los niños, las niñas y los adolescentes como </w:t>
      </w:r>
      <w:r w:rsidRPr="00E71DBC">
        <w:rPr>
          <w:rFonts w:ascii="Verdana" w:hAnsi="Verdana"/>
          <w:i/>
          <w:iCs/>
          <w:sz w:val="22"/>
          <w:szCs w:val="22"/>
        </w:rPr>
        <w:t>“(…) el imperativa que obliga a todas las personas</w:t>
      </w:r>
      <w:r w:rsidRPr="00E71DBC">
        <w:rPr>
          <w:rFonts w:ascii="Verdana" w:hAnsi="Verdana"/>
          <w:sz w:val="22"/>
          <w:szCs w:val="22"/>
        </w:rPr>
        <w:t> </w:t>
      </w:r>
      <w:r w:rsidRPr="00E71DBC">
        <w:rPr>
          <w:rFonts w:ascii="Verdana" w:hAnsi="Verdana"/>
          <w:i/>
          <w:iCs/>
          <w:sz w:val="22"/>
          <w:szCs w:val="22"/>
        </w:rPr>
        <w:t>a</w:t>
      </w:r>
      <w:r w:rsidRPr="00E71DBC">
        <w:rPr>
          <w:rFonts w:ascii="Verdana" w:hAnsi="Verdana"/>
          <w:sz w:val="22"/>
          <w:szCs w:val="22"/>
        </w:rPr>
        <w:t> </w:t>
      </w:r>
      <w:r w:rsidRPr="00E71DBC">
        <w:rPr>
          <w:rFonts w:ascii="Verdana" w:hAnsi="Verdana"/>
          <w:i/>
          <w:iCs/>
          <w:sz w:val="22"/>
          <w:szCs w:val="22"/>
        </w:rPr>
        <w:t xml:space="preserve">garantizar la satisfacción integral y </w:t>
      </w:r>
      <w:r w:rsidRPr="00E71DBC">
        <w:rPr>
          <w:rFonts w:ascii="Verdana" w:hAnsi="Verdana"/>
          <w:i/>
          <w:iCs/>
          <w:sz w:val="22"/>
          <w:szCs w:val="22"/>
        </w:rPr>
        <w:lastRenderedPageBreak/>
        <w:t>simultánea de todos sus derechos humanos, que son universales, prevalentes o interdependientes”.</w:t>
      </w:r>
    </w:p>
    <w:p w14:paraId="105931AF" w14:textId="77777777" w:rsidR="00E71DBC" w:rsidRPr="00E71DBC" w:rsidRDefault="00E71DBC" w:rsidP="00E71DBC">
      <w:pPr>
        <w:jc w:val="both"/>
        <w:rPr>
          <w:rFonts w:ascii="Verdana" w:hAnsi="Verdana"/>
          <w:sz w:val="22"/>
          <w:szCs w:val="22"/>
        </w:rPr>
      </w:pPr>
      <w:r w:rsidRPr="00E71DBC">
        <w:rPr>
          <w:rFonts w:ascii="Verdana" w:hAnsi="Verdana"/>
          <w:sz w:val="22"/>
          <w:szCs w:val="22"/>
        </w:rPr>
        <w:t>En ese sentido, la Corte Constitucional ha precisado que todas las actuaciones que realicen se encuentren involucrados niños, niñas o adolescentes deben estar orientadas por el principio del interés superior.</w:t>
      </w:r>
      <w:r w:rsidRPr="00E71DBC">
        <w:rPr>
          <w:rFonts w:ascii="Verdana" w:hAnsi="Verdana"/>
          <w:sz w:val="22"/>
          <w:szCs w:val="22"/>
          <w:vertAlign w:val="subscript"/>
        </w:rPr>
        <w:t>[1]</w:t>
      </w:r>
    </w:p>
    <w:p w14:paraId="48D3B82D" w14:textId="77777777" w:rsidR="00E71DBC" w:rsidRPr="00E71DBC" w:rsidRDefault="00E71DBC" w:rsidP="00E71DBC">
      <w:pPr>
        <w:jc w:val="both"/>
        <w:rPr>
          <w:rFonts w:ascii="Verdana" w:hAnsi="Verdana"/>
          <w:sz w:val="22"/>
          <w:szCs w:val="22"/>
        </w:rPr>
      </w:pPr>
      <w:r w:rsidRPr="00E71DBC">
        <w:rPr>
          <w:rFonts w:ascii="Verdana" w:hAnsi="Verdana"/>
          <w:sz w:val="22"/>
          <w:szCs w:val="22"/>
        </w:rPr>
        <w:t>En efecto, la Corte ha afirmado que </w:t>
      </w:r>
      <w:r w:rsidRPr="00E71DBC">
        <w:rPr>
          <w:rFonts w:ascii="Verdana" w:hAnsi="Verdana"/>
          <w:i/>
          <w:iCs/>
          <w:sz w:val="22"/>
          <w:szCs w:val="22"/>
        </w:rPr>
        <w:t xml:space="preserve">“el interés superior del menor no constituye un ente abstracto, desprovisto de vínculos con la realidad concreta, sobre el cual se pueden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E71DBC">
        <w:rPr>
          <w:rFonts w:ascii="Verdana" w:hAnsi="Verdana"/>
          <w:i/>
          <w:iCs/>
          <w:sz w:val="22"/>
          <w:szCs w:val="22"/>
        </w:rPr>
        <w:t>que</w:t>
      </w:r>
      <w:proofErr w:type="gramEnd"/>
      <w:r w:rsidRPr="00E71DBC">
        <w:rPr>
          <w:rFonts w:ascii="Verdana" w:hAnsi="Verdana"/>
          <w:i/>
          <w:iCs/>
          <w:sz w:val="22"/>
          <w:szCs w:val="22"/>
        </w:rPr>
        <w:t xml:space="preserve"> en tanto sujeto digno, debe ser atendido por la familia, la sociedad y el Estado con todo el cuidado que requiere su situación personal".</w:t>
      </w:r>
      <w:r w:rsidRPr="00E71DBC">
        <w:rPr>
          <w:rFonts w:ascii="Verdana" w:hAnsi="Verdana"/>
          <w:sz w:val="22"/>
          <w:szCs w:val="22"/>
          <w:vertAlign w:val="subscript"/>
        </w:rPr>
        <w:t>[3]</w:t>
      </w:r>
    </w:p>
    <w:p w14:paraId="7D4D79A0" w14:textId="77777777" w:rsidR="00E71DBC" w:rsidRPr="00E71DBC" w:rsidRDefault="00E71DBC" w:rsidP="00E71DBC">
      <w:pPr>
        <w:jc w:val="both"/>
        <w:rPr>
          <w:rFonts w:ascii="Verdana" w:hAnsi="Verdana"/>
          <w:sz w:val="22"/>
          <w:szCs w:val="22"/>
        </w:rPr>
      </w:pPr>
      <w:r w:rsidRPr="00E71DBC">
        <w:rPr>
          <w:rFonts w:ascii="Verdana" w:hAnsi="Verdana"/>
          <w:sz w:val="22"/>
          <w:szCs w:val="22"/>
        </w:rPr>
        <w:t>Así mismo, sostuvo que </w:t>
      </w:r>
      <w:r w:rsidRPr="00E71DBC">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a ponderación debe ser guiado por la protección de este principio; 4) por último debe demostrarse que dicho interés tiende a lograr un beneficio jurídico supremo consistente en el pleno y armónico desarrollo de la personalidad del menor”.</w:t>
      </w:r>
      <w:r w:rsidRPr="00E71DBC">
        <w:rPr>
          <w:rFonts w:ascii="Verdana" w:hAnsi="Verdana"/>
          <w:sz w:val="22"/>
          <w:szCs w:val="22"/>
          <w:vertAlign w:val="subscript"/>
        </w:rPr>
        <w:t>[4]</w:t>
      </w:r>
    </w:p>
    <w:p w14:paraId="203FE2D1" w14:textId="77777777" w:rsidR="00E71DBC" w:rsidRPr="00E71DBC" w:rsidRDefault="00E71DBC" w:rsidP="00E71DBC">
      <w:pPr>
        <w:jc w:val="both"/>
        <w:rPr>
          <w:rFonts w:ascii="Verdana" w:hAnsi="Verdana"/>
          <w:sz w:val="22"/>
          <w:szCs w:val="22"/>
        </w:rPr>
      </w:pPr>
      <w:r w:rsidRPr="00E71DBC">
        <w:rPr>
          <w:rFonts w:ascii="Verdana" w:hAnsi="Verdana"/>
          <w:sz w:val="22"/>
          <w:szCs w:val="22"/>
        </w:rPr>
        <w:t>De otra parte, en el Estatuto Integral del Defensor de Familia respecto al interés superior del niño, la niña y el adolescente se señala que </w:t>
      </w:r>
      <w:r w:rsidRPr="00E71DBC">
        <w:rPr>
          <w:rFonts w:ascii="Verdana" w:hAnsi="Verdana"/>
          <w:i/>
          <w:iCs/>
          <w:sz w:val="22"/>
          <w:szCs w:val="22"/>
        </w:rPr>
        <w:t xml:space="preserve">“(…)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roofErr w:type="gramStart"/>
      <w:r w:rsidRPr="00E71DBC">
        <w:rPr>
          <w:rFonts w:ascii="Verdana" w:hAnsi="Verdana"/>
          <w:i/>
          <w:iCs/>
          <w:sz w:val="22"/>
          <w:szCs w:val="22"/>
        </w:rPr>
        <w:t>(….</w:t>
      </w:r>
      <w:proofErr w:type="gramEnd"/>
      <w:r w:rsidRPr="00E71DBC">
        <w:rPr>
          <w:rFonts w:ascii="Verdana" w:hAnsi="Verdana"/>
          <w:i/>
          <w:iCs/>
          <w:sz w:val="22"/>
          <w:szCs w:val="22"/>
        </w:rPr>
        <w:t>)”.</w:t>
      </w:r>
    </w:p>
    <w:p w14:paraId="4DED30C9" w14:textId="75A11961" w:rsidR="00E71DBC" w:rsidRPr="00E71DBC" w:rsidRDefault="00E71DBC" w:rsidP="00E71DBC">
      <w:pPr>
        <w:jc w:val="both"/>
        <w:rPr>
          <w:rFonts w:ascii="Verdana" w:hAnsi="Verdana"/>
          <w:sz w:val="22"/>
          <w:szCs w:val="22"/>
        </w:rPr>
      </w:pPr>
      <w:r w:rsidRPr="00E71DBC">
        <w:rPr>
          <w:rFonts w:ascii="Verdana" w:hAnsi="Verdana"/>
          <w:sz w:val="22"/>
          <w:szCs w:val="22"/>
        </w:rPr>
        <w:t>La Constitución Política de Colombia reconoce a los niños, las niñas y los adolescentes como sujetos titulares de derechos y consagra en sus artículos 44 y 45 su protección integral y la prevalencia de sus derechos sobre los derechos de los demás.</w:t>
      </w:r>
    </w:p>
    <w:p w14:paraId="1F756617" w14:textId="77777777" w:rsidR="00E71DBC" w:rsidRPr="00E71DBC" w:rsidRDefault="00E71DBC" w:rsidP="00E71DBC">
      <w:pPr>
        <w:jc w:val="both"/>
        <w:rPr>
          <w:rFonts w:ascii="Verdana" w:hAnsi="Verdana"/>
          <w:sz w:val="22"/>
          <w:szCs w:val="22"/>
        </w:rPr>
      </w:pPr>
      <w:r w:rsidRPr="00E71DBC">
        <w:rPr>
          <w:rFonts w:ascii="Verdana" w:hAnsi="Verdana"/>
          <w:b/>
          <w:bCs/>
          <w:sz w:val="22"/>
          <w:szCs w:val="22"/>
        </w:rPr>
        <w:lastRenderedPageBreak/>
        <w:t>(2.2) Motivación de los actos administrativos</w:t>
      </w:r>
    </w:p>
    <w:p w14:paraId="75DA3660" w14:textId="77777777" w:rsidR="00E71DBC" w:rsidRPr="00E71DBC" w:rsidRDefault="00E71DBC" w:rsidP="00E71DBC">
      <w:pPr>
        <w:jc w:val="both"/>
        <w:rPr>
          <w:rFonts w:ascii="Verdana" w:hAnsi="Verdana"/>
          <w:sz w:val="22"/>
          <w:szCs w:val="22"/>
        </w:rPr>
      </w:pPr>
      <w:r w:rsidRPr="00E71DBC">
        <w:rPr>
          <w:rFonts w:ascii="Verdana" w:hAnsi="Verdana"/>
          <w:sz w:val="22"/>
          <w:szCs w:val="22"/>
        </w:rPr>
        <w:t>Se entiende por acto administrativo la declaración unilateral de voluntad de la administración, o de un órgano estatal en función administrativa que produce efectos jurídicos con relación a terceros.</w:t>
      </w:r>
    </w:p>
    <w:p w14:paraId="4F64FFA7" w14:textId="77777777" w:rsidR="00E71DBC" w:rsidRPr="00E71DBC" w:rsidRDefault="00E71DBC" w:rsidP="00E71DBC">
      <w:pPr>
        <w:jc w:val="both"/>
        <w:rPr>
          <w:rFonts w:ascii="Verdana" w:hAnsi="Verdana"/>
          <w:sz w:val="22"/>
          <w:szCs w:val="22"/>
        </w:rPr>
      </w:pPr>
      <w:r w:rsidRPr="00E71DBC">
        <w:rPr>
          <w:rFonts w:ascii="Verdana" w:hAnsi="Verdana"/>
          <w:sz w:val="22"/>
          <w:szCs w:val="22"/>
        </w:rPr>
        <w:t>Según lo preceptúa el Código de Procedimiento Administrativo y de lo Contencioso Administrativo, la voluntad de la administración se manifiesta mediante actos que producen efectos jurídicos como consecuencia del ejercicio de las competencias constitucional y legalmente establecidas, previo el cumplimiento de los procedimientos y las formalidades específicamente exigidas para su expedición.</w:t>
      </w:r>
    </w:p>
    <w:p w14:paraId="70B09064" w14:textId="77777777" w:rsidR="00E71DBC" w:rsidRPr="00E71DBC" w:rsidRDefault="00E71DBC" w:rsidP="00E71DBC">
      <w:pPr>
        <w:jc w:val="both"/>
        <w:rPr>
          <w:rFonts w:ascii="Verdana" w:hAnsi="Verdana"/>
          <w:sz w:val="22"/>
          <w:szCs w:val="22"/>
        </w:rPr>
      </w:pPr>
      <w:r w:rsidRPr="00E71DBC">
        <w:rPr>
          <w:rFonts w:ascii="Verdana" w:hAnsi="Verdana"/>
          <w:sz w:val="22"/>
          <w:szCs w:val="22"/>
        </w:rPr>
        <w:t>Ahora bien, la motivación de los actos administrativos proviene del cumplimiento de preceptos constitucionales que garantizan que los particulares tengan la posibilidad de contradecir las decisiones de los entes públicos ante las vías gubernativa y judicial, evitando de esta forma la configuración de actos de abuso de poder. En este orden de ideas le corresponde a la administración motivar sus actos y a los entes judiciales decidir si tal argumentación se ajusta o no al ordenamiento jurídico.</w:t>
      </w:r>
    </w:p>
    <w:p w14:paraId="40A04DA8" w14:textId="77777777" w:rsidR="00E71DBC" w:rsidRPr="00E71DBC" w:rsidRDefault="00E71DBC" w:rsidP="00E71DBC">
      <w:pPr>
        <w:jc w:val="both"/>
        <w:rPr>
          <w:rFonts w:ascii="Verdana" w:hAnsi="Verdana"/>
          <w:sz w:val="22"/>
          <w:szCs w:val="22"/>
        </w:rPr>
      </w:pPr>
      <w:r w:rsidRPr="00E71DBC">
        <w:rPr>
          <w:rFonts w:ascii="Verdana" w:hAnsi="Verdana"/>
          <w:sz w:val="22"/>
          <w:szCs w:val="22"/>
        </w:rPr>
        <w:t xml:space="preserve">Al respecto la Corte </w:t>
      </w:r>
      <w:proofErr w:type="gramStart"/>
      <w:r w:rsidRPr="00E71DBC">
        <w:rPr>
          <w:rFonts w:ascii="Verdana" w:hAnsi="Verdana"/>
          <w:sz w:val="22"/>
          <w:szCs w:val="22"/>
        </w:rPr>
        <w:t>Constitucional</w:t>
      </w:r>
      <w:r w:rsidRPr="00E71DBC">
        <w:rPr>
          <w:rFonts w:ascii="Verdana" w:hAnsi="Verdana"/>
          <w:sz w:val="22"/>
          <w:szCs w:val="22"/>
          <w:vertAlign w:val="subscript"/>
        </w:rPr>
        <w:t>[</w:t>
      </w:r>
      <w:proofErr w:type="gramEnd"/>
      <w:r w:rsidRPr="00E71DBC">
        <w:rPr>
          <w:rFonts w:ascii="Verdana" w:hAnsi="Verdana"/>
          <w:sz w:val="22"/>
          <w:szCs w:val="22"/>
          <w:vertAlign w:val="subscript"/>
        </w:rPr>
        <w:t>2]</w:t>
      </w:r>
      <w:r w:rsidRPr="00E71DBC">
        <w:rPr>
          <w:rFonts w:ascii="Verdana" w:hAnsi="Verdana"/>
          <w:sz w:val="22"/>
          <w:szCs w:val="22"/>
        </w:rPr>
        <w:t> ha manifestado:</w:t>
      </w:r>
    </w:p>
    <w:p w14:paraId="60CFED49" w14:textId="77777777" w:rsidR="00E71DBC" w:rsidRPr="00E71DBC" w:rsidRDefault="00E71DBC" w:rsidP="00E71DBC">
      <w:pPr>
        <w:jc w:val="both"/>
        <w:rPr>
          <w:rFonts w:ascii="Verdana" w:hAnsi="Verdana"/>
          <w:sz w:val="22"/>
          <w:szCs w:val="22"/>
        </w:rPr>
      </w:pPr>
      <w:r w:rsidRPr="00E71DBC">
        <w:rPr>
          <w:rFonts w:ascii="Verdana" w:hAnsi="Verdana"/>
          <w:i/>
          <w:iCs/>
          <w:sz w:val="22"/>
          <w:szCs w:val="22"/>
        </w:rPr>
        <w:t xml:space="preserve">“El deber de motivación de los actos administrativos que (por regla general) tiene la administración, hace efectiva la cláusula de Estado de Derecho, el principio democrático, el principio de publicidad en las actuaciones de la administración, al tiempo que permite a los asociados contar con elementos de juicio suficientes para ejercer su derecho de contradicción y defensa a fin de acudir ante las instancias gubernativas y autoridades judiciales para controlar los abusos en el ejercicio del poder. De esta forma a la Administración corresponde motivar los actos, </w:t>
      </w:r>
      <w:proofErr w:type="gramStart"/>
      <w:r w:rsidRPr="00E71DBC">
        <w:rPr>
          <w:rFonts w:ascii="Verdana" w:hAnsi="Verdana"/>
          <w:i/>
          <w:iCs/>
          <w:sz w:val="22"/>
          <w:szCs w:val="22"/>
        </w:rPr>
        <w:t>estos es</w:t>
      </w:r>
      <w:proofErr w:type="gramEnd"/>
      <w:r w:rsidRPr="00E71DBC">
        <w:rPr>
          <w:rFonts w:ascii="Verdana" w:hAnsi="Verdana"/>
          <w:i/>
          <w:iCs/>
          <w:sz w:val="22"/>
          <w:szCs w:val="22"/>
        </w:rPr>
        <w:t>, hacer expresas las razones de su decisión, mientras que a la jurisdicción compete definir si esas razones son justificadas constitucional y legalmente.</w:t>
      </w:r>
    </w:p>
    <w:p w14:paraId="23CEFFC2" w14:textId="744A9A94" w:rsidR="00E71DBC" w:rsidRPr="00E71DBC" w:rsidRDefault="00E71DBC" w:rsidP="00E71DBC">
      <w:pPr>
        <w:jc w:val="both"/>
        <w:rPr>
          <w:rFonts w:ascii="Verdana" w:hAnsi="Verdana"/>
          <w:sz w:val="22"/>
          <w:szCs w:val="22"/>
        </w:rPr>
      </w:pPr>
      <w:r w:rsidRPr="00E71DBC">
        <w:rPr>
          <w:rFonts w:ascii="Verdana" w:hAnsi="Verdana"/>
          <w:i/>
          <w:iCs/>
          <w:sz w:val="22"/>
          <w:szCs w:val="22"/>
        </w:rPr>
        <w:t xml:space="preserve">La discrecionalidad que excepcionalmente otorga la ley nunca es absoluta, con lo cual se evita que se confunda con la arbitrariedad y el capricho del funcionario. La discrecionalidad relativa atenúa entonces la exigencia de motivación de ciertos actos, </w:t>
      </w:r>
      <w:proofErr w:type="spellStart"/>
      <w:r w:rsidRPr="00E71DBC">
        <w:rPr>
          <w:rFonts w:ascii="Verdana" w:hAnsi="Verdana"/>
          <w:i/>
          <w:iCs/>
          <w:sz w:val="22"/>
          <w:szCs w:val="22"/>
        </w:rPr>
        <w:t>aún</w:t>
      </w:r>
      <w:proofErr w:type="spellEnd"/>
      <w:r w:rsidRPr="00E71DBC">
        <w:rPr>
          <w:rFonts w:ascii="Verdana" w:hAnsi="Verdana"/>
          <w:i/>
          <w:iCs/>
          <w:sz w:val="22"/>
          <w:szCs w:val="22"/>
        </w:rPr>
        <w:t xml:space="preserve"> cuando no libera al funcionario del deber de obrar conforme a los principios constitucionales y legales que rigen la función administrativa y podrían dar lugar a la nulidad de actos por desviación de poder o por las causales previstas en el artículo 84 del CCA.</w:t>
      </w:r>
    </w:p>
    <w:p w14:paraId="57368114" w14:textId="77777777" w:rsidR="00E71DBC" w:rsidRPr="00E71DBC" w:rsidRDefault="00E71DBC" w:rsidP="00E71DBC">
      <w:pPr>
        <w:jc w:val="both"/>
        <w:rPr>
          <w:rFonts w:ascii="Verdana" w:hAnsi="Verdana"/>
          <w:sz w:val="22"/>
          <w:szCs w:val="22"/>
        </w:rPr>
      </w:pPr>
      <w:r w:rsidRPr="00E71DBC">
        <w:rPr>
          <w:rFonts w:ascii="Verdana" w:hAnsi="Verdana"/>
          <w:i/>
          <w:iCs/>
          <w:sz w:val="22"/>
          <w:szCs w:val="22"/>
        </w:rPr>
        <w:t xml:space="preserve">Por regla general la Administración tiene el deber de motivar los actos a través de los cuales se materializa el poder del Estado en cada una de sus instituciones; es decir, tiene la obligación de hacer explícitas los fundamentos o razones de </w:t>
      </w:r>
      <w:r w:rsidRPr="00E71DBC">
        <w:rPr>
          <w:rFonts w:ascii="Verdana" w:hAnsi="Verdana"/>
          <w:i/>
          <w:iCs/>
          <w:sz w:val="22"/>
          <w:szCs w:val="22"/>
        </w:rPr>
        <w:lastRenderedPageBreak/>
        <w:t xml:space="preserve">hecho y de derecho de sus decisiones. Para el caso </w:t>
      </w:r>
      <w:proofErr w:type="gramStart"/>
      <w:r w:rsidRPr="00E71DBC">
        <w:rPr>
          <w:rFonts w:ascii="Verdana" w:hAnsi="Verdana"/>
          <w:i/>
          <w:iCs/>
          <w:sz w:val="22"/>
          <w:szCs w:val="22"/>
        </w:rPr>
        <w:t>Colombiano</w:t>
      </w:r>
      <w:proofErr w:type="gramEnd"/>
      <w:r w:rsidRPr="00E71DBC">
        <w:rPr>
          <w:rFonts w:ascii="Verdana" w:hAnsi="Verdana"/>
          <w:i/>
          <w:iCs/>
          <w:sz w:val="22"/>
          <w:szCs w:val="22"/>
        </w:rPr>
        <w:t>, ello es consecuencia directa del diseño adoptado en la Carta Constitucional de 1991, sobre el cual esta Corporación ya ha tenido oportunidad de referirse en numerosas oportunidades.</w:t>
      </w:r>
    </w:p>
    <w:p w14:paraId="6102C0AB" w14:textId="77777777" w:rsidR="00E71DBC" w:rsidRPr="00E71DBC" w:rsidRDefault="00E71DBC" w:rsidP="00E71DBC">
      <w:pPr>
        <w:jc w:val="both"/>
        <w:rPr>
          <w:rFonts w:ascii="Verdana" w:hAnsi="Verdana"/>
          <w:sz w:val="22"/>
          <w:szCs w:val="22"/>
        </w:rPr>
      </w:pPr>
      <w:r w:rsidRPr="00E71DBC">
        <w:rPr>
          <w:rFonts w:ascii="Verdana" w:hAnsi="Verdana"/>
          <w:i/>
          <w:iCs/>
          <w:sz w:val="22"/>
          <w:szCs w:val="22"/>
        </w:rPr>
        <w:t xml:space="preserve">En la Sentencia SU-250 de 1998 la Sala Plena de la Corte Constitucional unificó por vez primera su jurisprudencia sobre el deber de motivación de los actos administrativo &lt;sic&gt;. Apoyada en importantes planteamientos doctrinarios, la Corte explicó que la discrecionalidad no puede ser interpretada ni confundirse con la arbitrariedad. Recordó como en el sistema napoleónico imperial no había tal exigencia y cómo en el antiguo régimen español ni </w:t>
      </w:r>
      <w:proofErr w:type="spellStart"/>
      <w:r w:rsidRPr="00E71DBC">
        <w:rPr>
          <w:rFonts w:ascii="Verdana" w:hAnsi="Verdana"/>
          <w:i/>
          <w:iCs/>
          <w:sz w:val="22"/>
          <w:szCs w:val="22"/>
        </w:rPr>
        <w:t>siquisera</w:t>
      </w:r>
      <w:proofErr w:type="spellEnd"/>
      <w:r w:rsidRPr="00E71DBC">
        <w:rPr>
          <w:rFonts w:ascii="Verdana" w:hAnsi="Verdana"/>
          <w:i/>
          <w:iCs/>
          <w:sz w:val="22"/>
          <w:szCs w:val="22"/>
        </w:rPr>
        <w:t xml:space="preserve"> se requería motivar las decisiones judiciales, de manera que solo a finales del siglo XIX y durante el siglo XX se desarrolla la dogmática según la cual, salvo casos excepcionales, los actos de la administración también deben estar motivados.</w:t>
      </w:r>
    </w:p>
    <w:p w14:paraId="41A6493F" w14:textId="77777777" w:rsidR="00E71DBC" w:rsidRPr="00E71DBC" w:rsidRDefault="00E71DBC" w:rsidP="00E71DBC">
      <w:pPr>
        <w:jc w:val="both"/>
        <w:rPr>
          <w:rFonts w:ascii="Verdana" w:hAnsi="Verdana"/>
          <w:sz w:val="22"/>
          <w:szCs w:val="22"/>
        </w:rPr>
      </w:pPr>
      <w:r w:rsidRPr="00E71DBC">
        <w:rPr>
          <w:rFonts w:ascii="Verdana" w:hAnsi="Verdana"/>
          <w:i/>
          <w:iCs/>
          <w:sz w:val="22"/>
          <w:szCs w:val="22"/>
        </w:rPr>
        <w:t xml:space="preserve">Desde entonces la jurisprudencia de esta Corporación ha sido consistente, uniforme, extensa y reiterada sobre el deber inexcusable que tiene la Administración de motivar los actos administrativos, no solo en asuntos de tutela sino también en decisiones de control abstracto de constitucionalidad. Por </w:t>
      </w:r>
      <w:proofErr w:type="gramStart"/>
      <w:r w:rsidRPr="00E71DBC">
        <w:rPr>
          <w:rFonts w:ascii="Verdana" w:hAnsi="Verdana"/>
          <w:i/>
          <w:iCs/>
          <w:sz w:val="22"/>
          <w:szCs w:val="22"/>
        </w:rPr>
        <w:t>ejemplo</w:t>
      </w:r>
      <w:proofErr w:type="gramEnd"/>
      <w:r w:rsidRPr="00E71DBC">
        <w:rPr>
          <w:rFonts w:ascii="Verdana" w:hAnsi="Verdana"/>
          <w:i/>
          <w:iCs/>
          <w:sz w:val="22"/>
          <w:szCs w:val="22"/>
        </w:rPr>
        <w:t xml:space="preserve"> en la Sentencia C-734 de 2000 la Corte precisó que la motivación es la mejor forma para distinguir lo discrecional de lo arbitrario. Dijo entonces:</w:t>
      </w:r>
    </w:p>
    <w:p w14:paraId="2354C9A9" w14:textId="77777777" w:rsidR="00E71DBC" w:rsidRPr="00E71DBC" w:rsidRDefault="00E71DBC" w:rsidP="00E71DBC">
      <w:pPr>
        <w:jc w:val="both"/>
        <w:rPr>
          <w:rFonts w:ascii="Verdana" w:hAnsi="Verdana"/>
          <w:sz w:val="22"/>
          <w:szCs w:val="22"/>
        </w:rPr>
      </w:pPr>
      <w:r w:rsidRPr="00E71DBC">
        <w:rPr>
          <w:rFonts w:ascii="Verdana" w:hAnsi="Verdana"/>
          <w:i/>
          <w:iCs/>
          <w:sz w:val="22"/>
          <w:szCs w:val="22"/>
        </w:rPr>
        <w:t xml:space="preserve">De lo hasta aquí expuesto puede concluirse que la discrecionalidad absoluta entendida como la posibilidad de adoptar decisiones administrativas sin que exista una razón justificada para </w:t>
      </w:r>
      <w:proofErr w:type="gramStart"/>
      <w:r w:rsidRPr="00E71DBC">
        <w:rPr>
          <w:rFonts w:ascii="Verdana" w:hAnsi="Verdana"/>
          <w:i/>
          <w:iCs/>
          <w:sz w:val="22"/>
          <w:szCs w:val="22"/>
        </w:rPr>
        <w:t>ello,</w:t>
      </w:r>
      <w:proofErr w:type="gramEnd"/>
      <w:r w:rsidRPr="00E71DBC">
        <w:rPr>
          <w:rFonts w:ascii="Verdana" w:hAnsi="Verdana"/>
          <w:i/>
          <w:iCs/>
          <w:sz w:val="22"/>
          <w:szCs w:val="22"/>
        </w:rPr>
        <w:t xml:space="preserve"> puede confundirse con la arbitrariedad y no es de recibo en el panorama de derecho contemporáneo. La discrecionalidad relativa, en cambio, ajena a la noción del capricho del funcionario, le permite a éste apreciar las circunstancias de hecho y las de oportunidad y convivencia que rodean la toma de la decisión, concediéndole la posibilidad de actuar o de no hacerlo, o de escoger el contenido de su determinación, siempre dentro de las finalidades generales inherentes a la función pública y las particulares implícitas en la norma que autoriza la decisión discrecional. En este orden de ideas, le asiste razón al actor cuando afirma que la necesidad de motivar el acto administrativo se erige como la mejor garantía para distinguir lo discrecional de lo arbitrario”.</w:t>
      </w:r>
    </w:p>
    <w:p w14:paraId="06C90EB9" w14:textId="77777777" w:rsidR="00E71DBC" w:rsidRPr="00E71DBC" w:rsidRDefault="00E71DBC" w:rsidP="00E71DBC">
      <w:pPr>
        <w:jc w:val="both"/>
        <w:rPr>
          <w:rFonts w:ascii="Verdana" w:hAnsi="Verdana"/>
          <w:sz w:val="22"/>
          <w:szCs w:val="22"/>
        </w:rPr>
      </w:pPr>
      <w:r w:rsidRPr="00E71DBC">
        <w:rPr>
          <w:rFonts w:ascii="Verdana" w:hAnsi="Verdana"/>
          <w:b/>
          <w:bCs/>
          <w:sz w:val="22"/>
          <w:szCs w:val="22"/>
        </w:rPr>
        <w:t>(2.3) Pérdida de la calidad de hogar de paso</w:t>
      </w:r>
    </w:p>
    <w:p w14:paraId="6A4676C4" w14:textId="28ED1E02" w:rsidR="00E71DBC" w:rsidRPr="00E71DBC" w:rsidRDefault="00E71DBC" w:rsidP="00E71DBC">
      <w:pPr>
        <w:jc w:val="both"/>
        <w:rPr>
          <w:rFonts w:ascii="Verdana" w:hAnsi="Verdana"/>
          <w:sz w:val="22"/>
          <w:szCs w:val="22"/>
        </w:rPr>
      </w:pPr>
      <w:r w:rsidRPr="00E71DBC">
        <w:rPr>
          <w:rFonts w:ascii="Verdana" w:hAnsi="Verdana"/>
          <w:sz w:val="22"/>
          <w:szCs w:val="22"/>
        </w:rPr>
        <w:t>El lineamiento técnico de la modalidad de Hogar de paso, aprobado mediante Resolución No. 6021 de 2010 define el Hogar de paso como:</w:t>
      </w:r>
    </w:p>
    <w:p w14:paraId="2C4739CF" w14:textId="77777777" w:rsidR="00E71DBC" w:rsidRPr="00E71DBC" w:rsidRDefault="00E71DBC" w:rsidP="00E71DBC">
      <w:pPr>
        <w:jc w:val="both"/>
        <w:rPr>
          <w:rFonts w:ascii="Verdana" w:hAnsi="Verdana"/>
          <w:sz w:val="22"/>
          <w:szCs w:val="22"/>
        </w:rPr>
      </w:pPr>
      <w:r w:rsidRPr="00E71DBC">
        <w:rPr>
          <w:rFonts w:ascii="Verdana" w:hAnsi="Verdana"/>
          <w:sz w:val="22"/>
          <w:szCs w:val="22"/>
        </w:rPr>
        <w:t xml:space="preserve">Medida de restablecimiento de derechos, consistente en la ubicación inmediata y provisional de niños, niñas y adolescentes con familias que forman parte de la Red de Hogares de Paso organizada en cada Municipio o Departamento en el marco del Sistema Nacional de Bienestar Familiar. Procede cuando no aparezcan </w:t>
      </w:r>
      <w:r w:rsidRPr="00E71DBC">
        <w:rPr>
          <w:rFonts w:ascii="Verdana" w:hAnsi="Verdana"/>
          <w:sz w:val="22"/>
          <w:szCs w:val="22"/>
        </w:rPr>
        <w:lastRenderedPageBreak/>
        <w:t>los padres, parientes o personas responsables del cuidado y atención de niños, niñas y adolescentes.</w:t>
      </w:r>
    </w:p>
    <w:p w14:paraId="438196A9" w14:textId="6D4DAD88" w:rsidR="00E71DBC" w:rsidRPr="00E71DBC" w:rsidRDefault="00E71DBC" w:rsidP="00E71DBC">
      <w:pPr>
        <w:jc w:val="both"/>
        <w:rPr>
          <w:rFonts w:ascii="Verdana" w:hAnsi="Verdana"/>
          <w:sz w:val="22"/>
          <w:szCs w:val="22"/>
        </w:rPr>
      </w:pPr>
      <w:r w:rsidRPr="00E71DBC">
        <w:rPr>
          <w:rFonts w:ascii="Verdana" w:hAnsi="Verdana"/>
          <w:sz w:val="22"/>
          <w:szCs w:val="22"/>
        </w:rPr>
        <w:t xml:space="preserve">La ubicación en Hogar de Paso es una medida transitoria y su duración no podrá exceder de ocho (8) días hábiles, término en el cual la autoridad </w:t>
      </w:r>
      <w:proofErr w:type="gramStart"/>
      <w:r w:rsidRPr="00E71DBC">
        <w:rPr>
          <w:rFonts w:ascii="Verdana" w:hAnsi="Verdana"/>
          <w:sz w:val="22"/>
          <w:szCs w:val="22"/>
        </w:rPr>
        <w:t>competente</w:t>
      </w:r>
      <w:r w:rsidRPr="00E71DBC">
        <w:rPr>
          <w:rFonts w:ascii="Verdana" w:hAnsi="Verdana"/>
          <w:sz w:val="22"/>
          <w:szCs w:val="22"/>
          <w:vertAlign w:val="subscript"/>
        </w:rPr>
        <w:t>[</w:t>
      </w:r>
      <w:proofErr w:type="gramEnd"/>
      <w:r w:rsidRPr="00E71DBC">
        <w:rPr>
          <w:rFonts w:ascii="Verdana" w:hAnsi="Verdana"/>
          <w:sz w:val="22"/>
          <w:szCs w:val="22"/>
          <w:vertAlign w:val="subscript"/>
        </w:rPr>
        <w:t>3]</w:t>
      </w:r>
      <w:r w:rsidRPr="00E71DBC">
        <w:rPr>
          <w:rFonts w:ascii="Verdana" w:hAnsi="Verdana"/>
          <w:sz w:val="22"/>
          <w:szCs w:val="22"/>
        </w:rPr>
        <w:t> debe decretar otra medida de protección (Ley 1098 de 2006, Art. 57).</w:t>
      </w:r>
    </w:p>
    <w:p w14:paraId="5D7DB0C7" w14:textId="77777777" w:rsidR="00E71DBC" w:rsidRPr="00E71DBC" w:rsidRDefault="00E71DBC" w:rsidP="00E71DBC">
      <w:pPr>
        <w:jc w:val="both"/>
        <w:rPr>
          <w:rFonts w:ascii="Verdana" w:hAnsi="Verdana"/>
          <w:sz w:val="22"/>
          <w:szCs w:val="22"/>
        </w:rPr>
      </w:pPr>
      <w:r w:rsidRPr="00E71DBC">
        <w:rPr>
          <w:rFonts w:ascii="Verdana" w:hAnsi="Verdana"/>
          <w:sz w:val="22"/>
          <w:szCs w:val="22"/>
        </w:rPr>
        <w:t xml:space="preserve">Igualmente establece el mencionado lineamiento entre otras cosas </w:t>
      </w:r>
      <w:proofErr w:type="gramStart"/>
      <w:r w:rsidRPr="00E71DBC">
        <w:rPr>
          <w:rFonts w:ascii="Verdana" w:hAnsi="Verdana"/>
          <w:sz w:val="22"/>
          <w:szCs w:val="22"/>
        </w:rPr>
        <w:t>que</w:t>
      </w:r>
      <w:proofErr w:type="gramEnd"/>
      <w:r w:rsidRPr="00E71DBC">
        <w:rPr>
          <w:rFonts w:ascii="Verdana" w:hAnsi="Verdana"/>
          <w:sz w:val="22"/>
          <w:szCs w:val="22"/>
        </w:rPr>
        <w:t xml:space="preserve"> para dar trámite a la pérdida de la calidad de Hogar de paso, se debe diligenciar un acta de pérdida de calidad Hogar de paso, la cual se encuentra en el anexo 12 del lineamiento.</w:t>
      </w:r>
    </w:p>
    <w:p w14:paraId="39F3A4E6" w14:textId="77777777" w:rsidR="00E71DBC" w:rsidRPr="00E71DBC" w:rsidRDefault="00E71DBC" w:rsidP="00E71DBC">
      <w:pPr>
        <w:jc w:val="both"/>
        <w:rPr>
          <w:rFonts w:ascii="Verdana" w:hAnsi="Verdana"/>
          <w:sz w:val="22"/>
          <w:szCs w:val="22"/>
        </w:rPr>
      </w:pPr>
      <w:r w:rsidRPr="00E71DBC">
        <w:rPr>
          <w:rFonts w:ascii="Verdana" w:hAnsi="Verdana"/>
          <w:sz w:val="22"/>
          <w:szCs w:val="22"/>
        </w:rPr>
        <w:t>Así mimo se indican como causales por las cuales se puede perder la calidad de Hogar las siguientes:</w:t>
      </w:r>
    </w:p>
    <w:p w14:paraId="5309E6E4" w14:textId="77777777" w:rsidR="00E71DBC" w:rsidRPr="00E71DBC" w:rsidRDefault="00E71DBC" w:rsidP="00E71DBC">
      <w:pPr>
        <w:jc w:val="both"/>
        <w:rPr>
          <w:rFonts w:ascii="Verdana" w:hAnsi="Verdana"/>
          <w:sz w:val="22"/>
          <w:szCs w:val="22"/>
        </w:rPr>
      </w:pPr>
      <w:r w:rsidRPr="00E71DBC">
        <w:rPr>
          <w:rFonts w:ascii="Verdana" w:hAnsi="Verdana"/>
          <w:sz w:val="22"/>
          <w:szCs w:val="22"/>
        </w:rPr>
        <w:t xml:space="preserve">a) La violación o incumplimiento, así sea por una sola vez, de las obligaciones o prohibiciones especiales contenidas en el Acta de Aprobación del Hogar de Paso o en los Lineamientos </w:t>
      </w:r>
      <w:proofErr w:type="gramStart"/>
      <w:r w:rsidRPr="00E71DBC">
        <w:rPr>
          <w:rFonts w:ascii="Verdana" w:hAnsi="Verdana"/>
          <w:sz w:val="22"/>
          <w:szCs w:val="22"/>
        </w:rPr>
        <w:t>Técnico Administrativos</w:t>
      </w:r>
      <w:proofErr w:type="gramEnd"/>
      <w:r w:rsidRPr="00E71DBC">
        <w:rPr>
          <w:rFonts w:ascii="Verdana" w:hAnsi="Verdana"/>
          <w:sz w:val="22"/>
          <w:szCs w:val="22"/>
        </w:rPr>
        <w:t>. En este caso, ninguna entidad territorial podrá utilizar los servicios de las personas o entidades implicadas, en ningún lugar del País.</w:t>
      </w:r>
    </w:p>
    <w:p w14:paraId="3DEBA2C7" w14:textId="77777777" w:rsidR="00E71DBC" w:rsidRPr="00E71DBC" w:rsidRDefault="00E71DBC" w:rsidP="00E71DBC">
      <w:pPr>
        <w:jc w:val="both"/>
        <w:rPr>
          <w:rFonts w:ascii="Verdana" w:hAnsi="Verdana"/>
          <w:sz w:val="22"/>
          <w:szCs w:val="22"/>
        </w:rPr>
      </w:pPr>
      <w:r w:rsidRPr="00E71DBC">
        <w:rPr>
          <w:rFonts w:ascii="Verdana" w:hAnsi="Verdana"/>
          <w:sz w:val="22"/>
          <w:szCs w:val="22"/>
        </w:rPr>
        <w:t>b) La acumulación de tres (3) amonestaciones impuestas de acuerdo con el procedimiento contenido en estos Lineamientos.</w:t>
      </w:r>
    </w:p>
    <w:p w14:paraId="13D07FFE" w14:textId="77777777" w:rsidR="00E71DBC" w:rsidRPr="00E71DBC" w:rsidRDefault="00E71DBC" w:rsidP="00E71DBC">
      <w:pPr>
        <w:jc w:val="both"/>
        <w:rPr>
          <w:rFonts w:ascii="Verdana" w:hAnsi="Verdana"/>
          <w:sz w:val="22"/>
          <w:szCs w:val="22"/>
        </w:rPr>
      </w:pPr>
      <w:r w:rsidRPr="00E71DBC">
        <w:rPr>
          <w:rFonts w:ascii="Verdana" w:hAnsi="Verdana"/>
          <w:sz w:val="22"/>
          <w:szCs w:val="22"/>
        </w:rPr>
        <w:t>c) Cuando la familia aprobada como responsable del Hogar de Paso deje de residir en el inmueble aprobado para la prestación del servicio. En este caso, si la familia desea continuar vinculada al servicio, deberá solicitar a la entidad territorial la aprobación de la nueva vivienda, con el correspondiente visto bueno del Centro Zonal del ICBF con competencia territorial.</w:t>
      </w:r>
    </w:p>
    <w:p w14:paraId="40CAE2A1" w14:textId="77777777" w:rsidR="00E71DBC" w:rsidRPr="00E71DBC" w:rsidRDefault="00E71DBC" w:rsidP="00E71DBC">
      <w:pPr>
        <w:jc w:val="both"/>
        <w:rPr>
          <w:rFonts w:ascii="Verdana" w:hAnsi="Verdana"/>
          <w:sz w:val="22"/>
          <w:szCs w:val="22"/>
        </w:rPr>
      </w:pPr>
      <w:r w:rsidRPr="00E71DBC">
        <w:rPr>
          <w:rFonts w:ascii="Verdana" w:hAnsi="Verdana"/>
          <w:sz w:val="22"/>
          <w:szCs w:val="22"/>
        </w:rPr>
        <w:t>d) Por la voluntad del responsable del Hogar de Paso.</w:t>
      </w:r>
    </w:p>
    <w:p w14:paraId="42650C89" w14:textId="77777777" w:rsidR="00E71DBC" w:rsidRPr="00E71DBC" w:rsidRDefault="00E71DBC" w:rsidP="00E71DBC">
      <w:pPr>
        <w:jc w:val="both"/>
        <w:rPr>
          <w:rFonts w:ascii="Verdana" w:hAnsi="Verdana"/>
          <w:sz w:val="22"/>
          <w:szCs w:val="22"/>
        </w:rPr>
      </w:pPr>
      <w:r w:rsidRPr="00E71DBC">
        <w:rPr>
          <w:rFonts w:ascii="Verdana" w:hAnsi="Verdana"/>
          <w:b/>
          <w:bCs/>
          <w:sz w:val="22"/>
          <w:szCs w:val="22"/>
        </w:rPr>
        <w:t>3. CONCLUSIONES.</w:t>
      </w:r>
    </w:p>
    <w:p w14:paraId="399EB9A3" w14:textId="77777777" w:rsidR="00E71DBC" w:rsidRPr="00E71DBC" w:rsidRDefault="00E71DBC" w:rsidP="00E71DBC">
      <w:pPr>
        <w:jc w:val="both"/>
        <w:rPr>
          <w:rFonts w:ascii="Verdana" w:hAnsi="Verdana"/>
          <w:sz w:val="22"/>
          <w:szCs w:val="22"/>
        </w:rPr>
      </w:pPr>
      <w:r w:rsidRPr="00E71DBC">
        <w:rPr>
          <w:rFonts w:ascii="Verdana" w:hAnsi="Verdana"/>
          <w:sz w:val="22"/>
          <w:szCs w:val="22"/>
        </w:rPr>
        <w:t>Primero: El interés superior de los niños, niñas y adolescentes goza de una protección legal nacional e internacional, e implica la obligación para todas las personas a garantizar la satisfacción integral y simultanea de todos los derechos de esta población, los cuales, son universales, prevalentes e interdependientes.</w:t>
      </w:r>
    </w:p>
    <w:p w14:paraId="19448233" w14:textId="61DAF619" w:rsidR="00E71DBC" w:rsidRPr="00E71DBC" w:rsidRDefault="00E71DBC" w:rsidP="00E71DBC">
      <w:pPr>
        <w:jc w:val="both"/>
        <w:rPr>
          <w:rFonts w:ascii="Verdana" w:hAnsi="Verdana"/>
          <w:sz w:val="22"/>
          <w:szCs w:val="22"/>
        </w:rPr>
      </w:pPr>
      <w:r w:rsidRPr="00E71DBC">
        <w:rPr>
          <w:rFonts w:ascii="Verdana" w:hAnsi="Verdana"/>
          <w:sz w:val="22"/>
          <w:szCs w:val="22"/>
        </w:rPr>
        <w:t>Segundo: No es viable el cierre o la pérdida de un Hogar de paso con fundamento en la facultad discrecional de ningún funcionario, se debe dar aplicación a los fundamentos constitucionales, legales y para el caso en concreto a los procedimientos establecidos en la resolución No. 6021 de 2010 lineamiento técnico de la modalidad Hogar de Paso.</w:t>
      </w:r>
    </w:p>
    <w:p w14:paraId="7443AC26" w14:textId="0352BC48" w:rsidR="00E71DBC" w:rsidRPr="00E71DBC" w:rsidRDefault="00E71DBC" w:rsidP="00E71DBC">
      <w:pPr>
        <w:jc w:val="both"/>
        <w:rPr>
          <w:rFonts w:ascii="Verdana" w:hAnsi="Verdana"/>
          <w:sz w:val="22"/>
          <w:szCs w:val="22"/>
        </w:rPr>
      </w:pPr>
      <w:r w:rsidRPr="00E71DBC">
        <w:rPr>
          <w:rFonts w:ascii="Verdana" w:hAnsi="Verdana"/>
          <w:sz w:val="22"/>
          <w:szCs w:val="22"/>
        </w:rPr>
        <w:lastRenderedPageBreak/>
        <w:t>Tercero. El presente concepto </w:t>
      </w:r>
      <w:r w:rsidRPr="00E71DBC">
        <w:rPr>
          <w:rFonts w:ascii="Verdana" w:hAnsi="Verdana"/>
          <w:sz w:val="22"/>
          <w:szCs w:val="22"/>
          <w:vertAlign w:val="subscript"/>
        </w:rPr>
        <w:t>[4]</w:t>
      </w:r>
      <w:r w:rsidRPr="00E71DBC">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E71DBC">
        <w:rPr>
          <w:rFonts w:ascii="Verdana" w:hAnsi="Verdana"/>
          <w:sz w:val="22"/>
          <w:szCs w:val="22"/>
        </w:rPr>
        <w:t>obstante</w:t>
      </w:r>
      <w:proofErr w:type="gramEnd"/>
      <w:r w:rsidRPr="00E71DB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b asignada a la Oficina Asesora Jurídica de mantener la unidad doctrinaria e impartir las directrices jurídicas necesarias para el desarrollo de las funciones del Instituto, de conformidad con los numerales 8 y 15 del Decreto 987 de 2012.</w:t>
      </w:r>
    </w:p>
    <w:p w14:paraId="2A7B7A3C" w14:textId="77777777" w:rsidR="00E71DBC" w:rsidRDefault="00E71DBC" w:rsidP="00E71DBC">
      <w:pPr>
        <w:jc w:val="both"/>
        <w:rPr>
          <w:rFonts w:ascii="Verdana" w:hAnsi="Verdana"/>
          <w:sz w:val="22"/>
          <w:szCs w:val="22"/>
        </w:rPr>
      </w:pPr>
    </w:p>
    <w:p w14:paraId="633034E6" w14:textId="4D32A1F1" w:rsidR="00E71DBC" w:rsidRPr="00E71DBC" w:rsidRDefault="00E71DBC" w:rsidP="00E71DBC">
      <w:pPr>
        <w:jc w:val="both"/>
        <w:rPr>
          <w:rFonts w:ascii="Verdana" w:hAnsi="Verdana"/>
          <w:sz w:val="22"/>
          <w:szCs w:val="22"/>
        </w:rPr>
      </w:pPr>
      <w:r w:rsidRPr="00E71DBC">
        <w:rPr>
          <w:rFonts w:ascii="Verdana" w:hAnsi="Verdana"/>
          <w:sz w:val="22"/>
          <w:szCs w:val="22"/>
        </w:rPr>
        <w:t>Cordialmente,</w:t>
      </w:r>
    </w:p>
    <w:p w14:paraId="39C106DD" w14:textId="77777777" w:rsidR="00E71DBC" w:rsidRDefault="00E71DBC" w:rsidP="00E71DBC">
      <w:pPr>
        <w:jc w:val="both"/>
        <w:rPr>
          <w:rFonts w:ascii="Verdana" w:hAnsi="Verdana"/>
          <w:b/>
          <w:bCs/>
          <w:sz w:val="22"/>
          <w:szCs w:val="22"/>
        </w:rPr>
      </w:pPr>
    </w:p>
    <w:p w14:paraId="4B6A4893" w14:textId="5E0D27E9" w:rsidR="00E71DBC" w:rsidRPr="00E71DBC" w:rsidRDefault="00E71DBC" w:rsidP="00E71DBC">
      <w:pPr>
        <w:jc w:val="both"/>
        <w:rPr>
          <w:rFonts w:ascii="Verdana" w:hAnsi="Verdana"/>
          <w:sz w:val="22"/>
          <w:szCs w:val="22"/>
        </w:rPr>
      </w:pPr>
      <w:r w:rsidRPr="00E71DBC">
        <w:rPr>
          <w:rFonts w:ascii="Verdana" w:hAnsi="Verdana"/>
          <w:b/>
          <w:bCs/>
          <w:sz w:val="22"/>
          <w:szCs w:val="22"/>
        </w:rPr>
        <w:t>LUISA MARINA BALLESTEROS ARISTIZABAL</w:t>
      </w:r>
    </w:p>
    <w:p w14:paraId="476F1441" w14:textId="77777777" w:rsidR="00E71DBC" w:rsidRPr="00E71DBC" w:rsidRDefault="00E71DBC" w:rsidP="00E71DBC">
      <w:pPr>
        <w:jc w:val="both"/>
        <w:rPr>
          <w:rFonts w:ascii="Verdana" w:hAnsi="Verdana"/>
          <w:sz w:val="22"/>
          <w:szCs w:val="22"/>
        </w:rPr>
      </w:pPr>
      <w:r w:rsidRPr="00E71DBC">
        <w:rPr>
          <w:rFonts w:ascii="Verdana" w:hAnsi="Verdana"/>
          <w:sz w:val="22"/>
          <w:szCs w:val="22"/>
        </w:rPr>
        <w:t>Jefe Oficina Asesora Jurídica</w:t>
      </w:r>
    </w:p>
    <w:p w14:paraId="0B68EE30" w14:textId="28F6F4F7" w:rsidR="00E71DBC" w:rsidRDefault="00E71DBC" w:rsidP="00E71DBC">
      <w:pPr>
        <w:jc w:val="both"/>
        <w:rPr>
          <w:rFonts w:ascii="Verdana" w:hAnsi="Verdana"/>
          <w:sz w:val="22"/>
          <w:szCs w:val="22"/>
        </w:rPr>
      </w:pPr>
    </w:p>
    <w:p w14:paraId="66158963" w14:textId="1863F174" w:rsidR="00E71DBC" w:rsidRPr="00E71DBC" w:rsidRDefault="00E71DBC" w:rsidP="00E71DBC">
      <w:pPr>
        <w:jc w:val="both"/>
        <w:rPr>
          <w:rFonts w:ascii="Verdana" w:hAnsi="Verdana"/>
          <w:b/>
          <w:bCs/>
          <w:sz w:val="22"/>
          <w:szCs w:val="22"/>
        </w:rPr>
      </w:pPr>
      <w:r w:rsidRPr="00E71DBC">
        <w:rPr>
          <w:rFonts w:ascii="Verdana" w:hAnsi="Verdana"/>
          <w:b/>
          <w:bCs/>
          <w:sz w:val="22"/>
          <w:szCs w:val="22"/>
        </w:rPr>
        <w:t xml:space="preserve">Notas Pie de Página: </w:t>
      </w:r>
    </w:p>
    <w:p w14:paraId="5386627B" w14:textId="2D29016E" w:rsidR="00E71DBC" w:rsidRPr="00E71DBC" w:rsidRDefault="00E71DBC" w:rsidP="00E71DBC">
      <w:pPr>
        <w:pStyle w:val="Prrafodelista"/>
        <w:numPr>
          <w:ilvl w:val="0"/>
          <w:numId w:val="17"/>
        </w:numPr>
        <w:jc w:val="both"/>
        <w:rPr>
          <w:rFonts w:ascii="Verdana" w:hAnsi="Verdana"/>
          <w:sz w:val="22"/>
          <w:szCs w:val="22"/>
        </w:rPr>
      </w:pPr>
      <w:r w:rsidRPr="00E71DBC">
        <w:rPr>
          <w:rFonts w:ascii="Verdana" w:hAnsi="Verdana"/>
          <w:sz w:val="22"/>
          <w:szCs w:val="22"/>
        </w:rPr>
        <w:t>Corte Constitucional, sentencia T-408-95, expediente T-71149, M. P. Eduardo Cifuentes Muñoz.</w:t>
      </w:r>
    </w:p>
    <w:p w14:paraId="657CE79E" w14:textId="21DD5097" w:rsidR="00E71DBC" w:rsidRPr="00E71DBC" w:rsidRDefault="00E71DBC" w:rsidP="00E71DBC">
      <w:pPr>
        <w:pStyle w:val="Prrafodelista"/>
        <w:numPr>
          <w:ilvl w:val="0"/>
          <w:numId w:val="17"/>
        </w:numPr>
        <w:jc w:val="both"/>
        <w:rPr>
          <w:rFonts w:ascii="Verdana" w:hAnsi="Verdana"/>
          <w:sz w:val="22"/>
          <w:szCs w:val="22"/>
        </w:rPr>
      </w:pPr>
      <w:r w:rsidRPr="00E71DBC">
        <w:rPr>
          <w:rFonts w:ascii="Verdana" w:hAnsi="Verdana"/>
          <w:sz w:val="22"/>
          <w:szCs w:val="22"/>
        </w:rPr>
        <w:t xml:space="preserve">Sentencia SU.917/10 MP. Dr. Jorge Iván Palacio </w:t>
      </w:r>
      <w:proofErr w:type="spellStart"/>
      <w:r w:rsidRPr="00E71DBC">
        <w:rPr>
          <w:rFonts w:ascii="Verdana" w:hAnsi="Verdana"/>
          <w:sz w:val="22"/>
          <w:szCs w:val="22"/>
        </w:rPr>
        <w:t>Palacio</w:t>
      </w:r>
      <w:proofErr w:type="spellEnd"/>
    </w:p>
    <w:p w14:paraId="03CE7790" w14:textId="6A6F3E2B" w:rsidR="00E71DBC" w:rsidRPr="00E71DBC" w:rsidRDefault="00E71DBC" w:rsidP="00E71DBC">
      <w:pPr>
        <w:pStyle w:val="Prrafodelista"/>
        <w:numPr>
          <w:ilvl w:val="0"/>
          <w:numId w:val="17"/>
        </w:numPr>
        <w:jc w:val="both"/>
        <w:rPr>
          <w:rFonts w:ascii="Verdana" w:hAnsi="Verdana"/>
          <w:sz w:val="22"/>
          <w:szCs w:val="22"/>
        </w:rPr>
      </w:pPr>
      <w:r w:rsidRPr="00E71DBC">
        <w:rPr>
          <w:rFonts w:ascii="Verdana" w:hAnsi="Verdana"/>
          <w:sz w:val="22"/>
          <w:szCs w:val="22"/>
        </w:rPr>
        <w:t>La Autoridad Competente es el Defensor de Familia, el Comisario de Familia o el Inspector de Policía.</w:t>
      </w:r>
    </w:p>
    <w:p w14:paraId="22CD76A7" w14:textId="4DBC790F" w:rsidR="00E71DBC" w:rsidRPr="00E71DBC" w:rsidRDefault="00E71DBC" w:rsidP="00E71DBC">
      <w:pPr>
        <w:pStyle w:val="Prrafodelista"/>
        <w:numPr>
          <w:ilvl w:val="0"/>
          <w:numId w:val="17"/>
        </w:numPr>
        <w:jc w:val="both"/>
        <w:rPr>
          <w:rFonts w:ascii="Verdana" w:hAnsi="Verdana"/>
          <w:sz w:val="22"/>
          <w:szCs w:val="22"/>
        </w:rPr>
      </w:pPr>
      <w:r w:rsidRPr="00E71DBC">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trabadas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w:t>
      </w:r>
      <w:r w:rsidRPr="00E71DBC">
        <w:rPr>
          <w:rFonts w:ascii="Verdana" w:hAnsi="Verdana"/>
          <w:sz w:val="22"/>
          <w:szCs w:val="22"/>
        </w:rPr>
        <w:lastRenderedPageBreak/>
        <w:t>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w:t>
      </w:r>
      <w:r w:rsidRPr="00E71DBC">
        <w:rPr>
          <w:rFonts w:ascii="Verdana" w:hAnsi="Verdana"/>
          <w:i/>
          <w:iCs/>
          <w:sz w:val="22"/>
          <w:szCs w:val="22"/>
        </w:rPr>
        <w:t> </w:t>
      </w:r>
      <w:r w:rsidRPr="00E71DBC">
        <w:rPr>
          <w:rFonts w:ascii="Verdana" w:hAnsi="Verdana"/>
          <w:sz w:val="22"/>
          <w:szCs w:val="22"/>
        </w:rPr>
        <w:t>de 2000 M.P. Antonio Barrera Carbonel.</w:t>
      </w:r>
    </w:p>
    <w:p w14:paraId="4D77D58F" w14:textId="67ECD791" w:rsidR="008161D5" w:rsidRPr="00E71DBC" w:rsidRDefault="008161D5" w:rsidP="00244579">
      <w:pPr>
        <w:jc w:val="both"/>
        <w:rPr>
          <w:rFonts w:ascii="Verdana" w:hAnsi="Verdana"/>
          <w:sz w:val="22"/>
          <w:szCs w:val="22"/>
          <w:lang w:val="es-ES"/>
        </w:rPr>
      </w:pPr>
    </w:p>
    <w:sectPr w:rsidR="008161D5" w:rsidRPr="00E71DBC"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33762E"/>
    <w:multiLevelType w:val="hybridMultilevel"/>
    <w:tmpl w:val="DF5A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CF4DAA"/>
    <w:multiLevelType w:val="multilevel"/>
    <w:tmpl w:val="7A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95AFD"/>
    <w:multiLevelType w:val="multilevel"/>
    <w:tmpl w:val="C2C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890"/>
    <w:multiLevelType w:val="multilevel"/>
    <w:tmpl w:val="5FF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DD05E3"/>
    <w:multiLevelType w:val="hybridMultilevel"/>
    <w:tmpl w:val="FCAAD2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4C33B2"/>
    <w:multiLevelType w:val="hybridMultilevel"/>
    <w:tmpl w:val="3D0C588A"/>
    <w:lvl w:ilvl="0" w:tplc="18D639E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781BC7"/>
    <w:multiLevelType w:val="hybridMultilevel"/>
    <w:tmpl w:val="7354C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152760"/>
    <w:multiLevelType w:val="multilevel"/>
    <w:tmpl w:val="996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D63DF"/>
    <w:multiLevelType w:val="hybridMultilevel"/>
    <w:tmpl w:val="7EAC0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6197817"/>
    <w:multiLevelType w:val="hybridMultilevel"/>
    <w:tmpl w:val="AF1AF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12"/>
  </w:num>
  <w:num w:numId="2" w16cid:durableId="1027802130">
    <w:abstractNumId w:val="15"/>
  </w:num>
  <w:num w:numId="3" w16cid:durableId="1929847423">
    <w:abstractNumId w:val="9"/>
  </w:num>
  <w:num w:numId="4" w16cid:durableId="1689595681">
    <w:abstractNumId w:val="6"/>
  </w:num>
  <w:num w:numId="5" w16cid:durableId="1853647680">
    <w:abstractNumId w:val="5"/>
  </w:num>
  <w:num w:numId="6" w16cid:durableId="1473477189">
    <w:abstractNumId w:val="0"/>
  </w:num>
  <w:num w:numId="7" w16cid:durableId="429471986">
    <w:abstractNumId w:val="10"/>
  </w:num>
  <w:num w:numId="8" w16cid:durableId="1715082893">
    <w:abstractNumId w:val="3"/>
  </w:num>
  <w:num w:numId="9" w16cid:durableId="1447893140">
    <w:abstractNumId w:val="13"/>
  </w:num>
  <w:num w:numId="10" w16cid:durableId="2132555516">
    <w:abstractNumId w:val="4"/>
  </w:num>
  <w:num w:numId="11" w16cid:durableId="174150724">
    <w:abstractNumId w:val="2"/>
  </w:num>
  <w:num w:numId="12" w16cid:durableId="1121412284">
    <w:abstractNumId w:val="14"/>
  </w:num>
  <w:num w:numId="13" w16cid:durableId="1571842226">
    <w:abstractNumId w:val="11"/>
  </w:num>
  <w:num w:numId="14" w16cid:durableId="1151557923">
    <w:abstractNumId w:val="7"/>
  </w:num>
  <w:num w:numId="15" w16cid:durableId="677735430">
    <w:abstractNumId w:val="1"/>
  </w:num>
  <w:num w:numId="16" w16cid:durableId="961568523">
    <w:abstractNumId w:val="16"/>
  </w:num>
  <w:num w:numId="17" w16cid:durableId="64856044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44579"/>
    <w:rsid w:val="002523A2"/>
    <w:rsid w:val="00266ECF"/>
    <w:rsid w:val="002900A0"/>
    <w:rsid w:val="00291607"/>
    <w:rsid w:val="002A4DBF"/>
    <w:rsid w:val="002C7467"/>
    <w:rsid w:val="002D1966"/>
    <w:rsid w:val="002F3024"/>
    <w:rsid w:val="002F48BD"/>
    <w:rsid w:val="003071DE"/>
    <w:rsid w:val="003131C4"/>
    <w:rsid w:val="0031528F"/>
    <w:rsid w:val="0034018A"/>
    <w:rsid w:val="0035583E"/>
    <w:rsid w:val="00360930"/>
    <w:rsid w:val="003757B6"/>
    <w:rsid w:val="00385E98"/>
    <w:rsid w:val="0039323B"/>
    <w:rsid w:val="003A3106"/>
    <w:rsid w:val="003A51CD"/>
    <w:rsid w:val="003B2F0A"/>
    <w:rsid w:val="003C082D"/>
    <w:rsid w:val="003C1D21"/>
    <w:rsid w:val="003D12C5"/>
    <w:rsid w:val="003E14A4"/>
    <w:rsid w:val="003F5ABD"/>
    <w:rsid w:val="004005A5"/>
    <w:rsid w:val="004032C9"/>
    <w:rsid w:val="00404622"/>
    <w:rsid w:val="004255A0"/>
    <w:rsid w:val="0043201B"/>
    <w:rsid w:val="00452B64"/>
    <w:rsid w:val="00460D19"/>
    <w:rsid w:val="00464D81"/>
    <w:rsid w:val="00491371"/>
    <w:rsid w:val="004972B9"/>
    <w:rsid w:val="004B5C62"/>
    <w:rsid w:val="004C739F"/>
    <w:rsid w:val="004E635F"/>
    <w:rsid w:val="004F78C2"/>
    <w:rsid w:val="004F7CCC"/>
    <w:rsid w:val="00521018"/>
    <w:rsid w:val="00522476"/>
    <w:rsid w:val="00522877"/>
    <w:rsid w:val="005228AC"/>
    <w:rsid w:val="00526D44"/>
    <w:rsid w:val="00527130"/>
    <w:rsid w:val="0053036E"/>
    <w:rsid w:val="005308FC"/>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16EC8"/>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96522"/>
    <w:rsid w:val="007A05C6"/>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56F6A"/>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246AB"/>
    <w:rsid w:val="00E37210"/>
    <w:rsid w:val="00E56025"/>
    <w:rsid w:val="00E56719"/>
    <w:rsid w:val="00E60092"/>
    <w:rsid w:val="00E61C80"/>
    <w:rsid w:val="00E642C9"/>
    <w:rsid w:val="00E712EE"/>
    <w:rsid w:val="00E71DBC"/>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015"/>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1FF01F47-A42B-4A8C-9537-C9DFBBF46B28}"/>
</file>

<file path=customXml/itemProps2.xml><?xml version="1.0" encoding="utf-8"?>
<ds:datastoreItem xmlns:ds="http://schemas.openxmlformats.org/officeDocument/2006/customXml" ds:itemID="{7CC401AA-ABFC-41A3-94B1-07CD30A72E46}"/>
</file>

<file path=customXml/itemProps3.xml><?xml version="1.0" encoding="utf-8"?>
<ds:datastoreItem xmlns:ds="http://schemas.openxmlformats.org/officeDocument/2006/customXml" ds:itemID="{1609A184-CADE-4D2E-99F7-3045FFF73BD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278</TotalTime>
  <Pages>7</Pages>
  <Words>2344</Words>
  <Characters>12897</Characters>
  <Application>Microsoft Office Word</Application>
  <DocSecurity>0</DocSecurity>
  <Lines>107</Lines>
  <Paragraphs>30</Paragraphs>
  <ScaleCrop>false</ScaleCrop>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203</cp:revision>
  <dcterms:created xsi:type="dcterms:W3CDTF">2026-05-08T19:08:00Z</dcterms:created>
  <dcterms:modified xsi:type="dcterms:W3CDTF">2026-07-13T00:42:00Z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