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AB7E" w14:textId="77777777" w:rsidR="001E0ABB" w:rsidRPr="001E0ABB" w:rsidRDefault="001E0ABB" w:rsidP="001E0ABB">
      <w:pPr>
        <w:jc w:val="center"/>
        <w:rPr>
          <w:rFonts w:ascii="Verdana" w:hAnsi="Verdana"/>
          <w:sz w:val="22"/>
          <w:szCs w:val="22"/>
        </w:rPr>
      </w:pPr>
      <w:r w:rsidRPr="001E0ABB">
        <w:rPr>
          <w:rFonts w:ascii="Verdana" w:hAnsi="Verdana"/>
          <w:b/>
          <w:bCs/>
          <w:sz w:val="22"/>
          <w:szCs w:val="22"/>
        </w:rPr>
        <w:t>CONCEPTO 117 DE 2016</w:t>
      </w:r>
    </w:p>
    <w:p w14:paraId="757FC8ED" w14:textId="77777777" w:rsidR="001E0ABB" w:rsidRPr="001E0ABB" w:rsidRDefault="001E0ABB" w:rsidP="001E0ABB">
      <w:pPr>
        <w:jc w:val="center"/>
        <w:rPr>
          <w:rFonts w:ascii="Verdana" w:hAnsi="Verdana"/>
          <w:sz w:val="22"/>
          <w:szCs w:val="22"/>
        </w:rPr>
      </w:pPr>
      <w:r w:rsidRPr="001E0ABB">
        <w:rPr>
          <w:rFonts w:ascii="Verdana" w:hAnsi="Verdana"/>
          <w:sz w:val="22"/>
          <w:szCs w:val="22"/>
        </w:rPr>
        <w:t>(septiembre 22)</w:t>
      </w:r>
    </w:p>
    <w:p w14:paraId="7ED67D18" w14:textId="77777777" w:rsidR="001E0ABB" w:rsidRPr="001E0ABB" w:rsidRDefault="001E0ABB" w:rsidP="001E0ABB">
      <w:pPr>
        <w:jc w:val="center"/>
        <w:rPr>
          <w:rFonts w:ascii="Verdana" w:hAnsi="Verdana"/>
          <w:sz w:val="22"/>
          <w:szCs w:val="22"/>
        </w:rPr>
      </w:pPr>
      <w:r w:rsidRPr="001E0AB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1E0ABB" w:rsidRPr="001E0ABB" w14:paraId="45440FEC" w14:textId="77777777" w:rsidTr="001E0ABB">
        <w:trPr>
          <w:tblCellSpacing w:w="15" w:type="dxa"/>
        </w:trPr>
        <w:tc>
          <w:tcPr>
            <w:tcW w:w="742" w:type="pct"/>
            <w:tcBorders>
              <w:top w:val="nil"/>
              <w:left w:val="nil"/>
              <w:bottom w:val="nil"/>
              <w:right w:val="nil"/>
            </w:tcBorders>
            <w:tcMar>
              <w:top w:w="0" w:type="dxa"/>
              <w:left w:w="0" w:type="dxa"/>
              <w:bottom w:w="0" w:type="dxa"/>
              <w:right w:w="0" w:type="dxa"/>
            </w:tcMar>
            <w:hideMark/>
          </w:tcPr>
          <w:p w14:paraId="292D4FA6" w14:textId="77777777" w:rsidR="001E0ABB" w:rsidRPr="001E0ABB" w:rsidRDefault="001E0ABB" w:rsidP="001E0ABB">
            <w:pPr>
              <w:jc w:val="both"/>
              <w:rPr>
                <w:rFonts w:ascii="Verdana" w:hAnsi="Verdana"/>
                <w:sz w:val="22"/>
                <w:szCs w:val="22"/>
              </w:rPr>
            </w:pPr>
            <w:r w:rsidRPr="001E0ABB">
              <w:rPr>
                <w:rFonts w:ascii="Verdana" w:hAnsi="Verdana"/>
                <w:sz w:val="22"/>
                <w:szCs w:val="22"/>
              </w:rPr>
              <w:t>PARA</w:t>
            </w:r>
            <w:r w:rsidRPr="001E0ABB">
              <w:rPr>
                <w:rFonts w:ascii="Verdana" w:hAnsi="Verdana"/>
                <w:b/>
                <w:bCs/>
                <w:sz w:val="22"/>
                <w:szCs w:val="22"/>
              </w:rPr>
              <w:t>:</w:t>
            </w:r>
          </w:p>
        </w:tc>
        <w:tc>
          <w:tcPr>
            <w:tcW w:w="4207" w:type="pct"/>
            <w:tcBorders>
              <w:top w:val="nil"/>
              <w:left w:val="nil"/>
              <w:bottom w:val="nil"/>
              <w:right w:val="nil"/>
            </w:tcBorders>
            <w:tcMar>
              <w:top w:w="0" w:type="dxa"/>
              <w:left w:w="0" w:type="dxa"/>
              <w:bottom w:w="0" w:type="dxa"/>
              <w:right w:w="0" w:type="dxa"/>
            </w:tcMar>
            <w:hideMark/>
          </w:tcPr>
          <w:p w14:paraId="4A554BA7" w14:textId="77777777" w:rsidR="001E0ABB" w:rsidRPr="001E0ABB" w:rsidRDefault="001E0ABB" w:rsidP="001E0ABB">
            <w:pPr>
              <w:jc w:val="both"/>
              <w:rPr>
                <w:rFonts w:ascii="Verdana" w:hAnsi="Verdana"/>
                <w:sz w:val="22"/>
                <w:szCs w:val="22"/>
              </w:rPr>
            </w:pPr>
            <w:r w:rsidRPr="001E0ABB">
              <w:rPr>
                <w:rFonts w:ascii="Verdana" w:hAnsi="Verdana"/>
                <w:sz w:val="22"/>
                <w:szCs w:val="22"/>
              </w:rPr>
              <w:t>Profesional Universitario Grupo Jurídico</w:t>
            </w:r>
          </w:p>
        </w:tc>
      </w:tr>
      <w:tr w:rsidR="001E0ABB" w:rsidRPr="001E0ABB" w14:paraId="765C3AAF" w14:textId="77777777" w:rsidTr="001E0ABB">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5F23AACC" w14:textId="77777777" w:rsidR="001E0ABB" w:rsidRPr="001E0ABB" w:rsidRDefault="001E0ABB" w:rsidP="001E0ABB">
            <w:pPr>
              <w:jc w:val="both"/>
              <w:rPr>
                <w:rFonts w:ascii="Verdana" w:hAnsi="Verdana"/>
                <w:sz w:val="22"/>
                <w:szCs w:val="22"/>
              </w:rPr>
            </w:pPr>
            <w:r w:rsidRPr="001E0ABB">
              <w:rPr>
                <w:rFonts w:ascii="Verdana" w:hAnsi="Verdana"/>
                <w:sz w:val="22"/>
                <w:szCs w:val="22"/>
              </w:rPr>
              <w:t>Regional ICBF Sucre</w:t>
            </w:r>
          </w:p>
        </w:tc>
      </w:tr>
      <w:tr w:rsidR="001E0ABB" w:rsidRPr="001E0ABB" w14:paraId="1DD63BD2" w14:textId="77777777" w:rsidTr="001E0ABB">
        <w:trPr>
          <w:tblCellSpacing w:w="15" w:type="dxa"/>
        </w:trPr>
        <w:tc>
          <w:tcPr>
            <w:tcW w:w="742" w:type="pct"/>
            <w:tcBorders>
              <w:top w:val="nil"/>
              <w:left w:val="nil"/>
              <w:bottom w:val="nil"/>
              <w:right w:val="nil"/>
            </w:tcBorders>
            <w:tcMar>
              <w:top w:w="0" w:type="dxa"/>
              <w:left w:w="0" w:type="dxa"/>
              <w:bottom w:w="0" w:type="dxa"/>
              <w:right w:w="0" w:type="dxa"/>
            </w:tcMar>
            <w:hideMark/>
          </w:tcPr>
          <w:p w14:paraId="4B443EF7" w14:textId="77777777" w:rsidR="001E0ABB" w:rsidRPr="001E0ABB" w:rsidRDefault="001E0ABB" w:rsidP="001E0ABB">
            <w:pPr>
              <w:jc w:val="both"/>
              <w:rPr>
                <w:rFonts w:ascii="Verdana" w:hAnsi="Verdana"/>
                <w:sz w:val="22"/>
                <w:szCs w:val="22"/>
              </w:rPr>
            </w:pPr>
            <w:r w:rsidRPr="001E0ABB">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4305915" w14:textId="77777777" w:rsidR="001E0ABB" w:rsidRPr="001E0ABB" w:rsidRDefault="001E0ABB" w:rsidP="001E0ABB">
            <w:pPr>
              <w:jc w:val="both"/>
              <w:rPr>
                <w:rFonts w:ascii="Verdana" w:hAnsi="Verdana"/>
                <w:sz w:val="22"/>
                <w:szCs w:val="22"/>
              </w:rPr>
            </w:pPr>
            <w:r w:rsidRPr="001E0ABB">
              <w:rPr>
                <w:rFonts w:ascii="Verdana" w:hAnsi="Verdana"/>
                <w:sz w:val="22"/>
                <w:szCs w:val="22"/>
              </w:rPr>
              <w:t>Solicitud de concepto radicado bajo el No. 440175 del 08 de septiembre de 2016.</w:t>
            </w:r>
          </w:p>
        </w:tc>
      </w:tr>
    </w:tbl>
    <w:p w14:paraId="3EC19BD0" w14:textId="09711E4D" w:rsidR="001E0ABB" w:rsidRPr="001E0ABB" w:rsidRDefault="001E0ABB" w:rsidP="001E0ABB">
      <w:pPr>
        <w:jc w:val="both"/>
        <w:rPr>
          <w:rFonts w:ascii="Verdana" w:hAnsi="Verdana"/>
          <w:sz w:val="22"/>
          <w:szCs w:val="22"/>
        </w:rPr>
      </w:pPr>
      <w:r w:rsidRPr="001E0ABB">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24836111" w14:textId="77777777" w:rsidR="001E0ABB" w:rsidRPr="001E0ABB" w:rsidRDefault="001E0ABB" w:rsidP="001E0ABB">
      <w:pPr>
        <w:jc w:val="both"/>
        <w:rPr>
          <w:rFonts w:ascii="Verdana" w:hAnsi="Verdana"/>
          <w:sz w:val="22"/>
          <w:szCs w:val="22"/>
        </w:rPr>
      </w:pPr>
      <w:r w:rsidRPr="001E0ABB">
        <w:rPr>
          <w:rFonts w:ascii="Verdana" w:hAnsi="Verdana"/>
          <w:b/>
          <w:bCs/>
          <w:sz w:val="22"/>
          <w:szCs w:val="22"/>
          <w:u w:val="single"/>
        </w:rPr>
        <w:t>1. PROBLEMA JURÍDICO</w:t>
      </w:r>
    </w:p>
    <w:p w14:paraId="5F2F8F3B" w14:textId="5F32074A" w:rsidR="001E0ABB" w:rsidRPr="001E0ABB" w:rsidRDefault="001E0ABB" w:rsidP="001E0ABB">
      <w:pPr>
        <w:jc w:val="both"/>
        <w:rPr>
          <w:rFonts w:ascii="Verdana" w:hAnsi="Verdana"/>
          <w:sz w:val="22"/>
          <w:szCs w:val="22"/>
        </w:rPr>
      </w:pPr>
      <w:r w:rsidRPr="001E0ABB">
        <w:rPr>
          <w:rFonts w:ascii="Verdana" w:hAnsi="Verdana"/>
          <w:sz w:val="22"/>
          <w:szCs w:val="22"/>
        </w:rPr>
        <w:t>¿Procede la revocatoria directa contemplada en 97 del Código de Procedimiento Administrativo y de lo Contencioso Administrativo para realizar la cancelación de personerías jurídicas expedidas por el ICBF de manera errónea?</w:t>
      </w:r>
    </w:p>
    <w:p w14:paraId="3E96C444" w14:textId="77777777" w:rsidR="001E0ABB" w:rsidRPr="001E0ABB" w:rsidRDefault="001E0ABB" w:rsidP="001E0ABB">
      <w:pPr>
        <w:jc w:val="both"/>
        <w:rPr>
          <w:rFonts w:ascii="Verdana" w:hAnsi="Verdana"/>
          <w:sz w:val="22"/>
          <w:szCs w:val="22"/>
        </w:rPr>
      </w:pPr>
      <w:r w:rsidRPr="001E0ABB">
        <w:rPr>
          <w:rFonts w:ascii="Verdana" w:hAnsi="Verdana"/>
          <w:sz w:val="22"/>
          <w:szCs w:val="22"/>
        </w:rPr>
        <w:t>¿Es procedente realizar una cancelación y un reconocimiento de personería jurídica en un mismo acto, por tratarse de una misma institución?</w:t>
      </w:r>
    </w:p>
    <w:p w14:paraId="38F44BE1" w14:textId="77777777" w:rsidR="001E0ABB" w:rsidRPr="001E0ABB" w:rsidRDefault="001E0ABB" w:rsidP="001E0ABB">
      <w:pPr>
        <w:jc w:val="both"/>
        <w:rPr>
          <w:rFonts w:ascii="Verdana" w:hAnsi="Verdana"/>
          <w:sz w:val="22"/>
          <w:szCs w:val="22"/>
        </w:rPr>
      </w:pPr>
      <w:r w:rsidRPr="001E0ABB">
        <w:rPr>
          <w:rFonts w:ascii="Verdana" w:hAnsi="Verdana"/>
          <w:b/>
          <w:bCs/>
          <w:sz w:val="22"/>
          <w:szCs w:val="22"/>
          <w:u w:val="single"/>
        </w:rPr>
        <w:t>2. ANÁLISIS DEL PROBLEMA JURÍDICO</w:t>
      </w:r>
    </w:p>
    <w:p w14:paraId="0F0FD527"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Se </w:t>
      </w:r>
      <w:proofErr w:type="gramStart"/>
      <w:r w:rsidRPr="001E0ABB">
        <w:rPr>
          <w:rFonts w:ascii="Verdana" w:hAnsi="Verdana"/>
          <w:sz w:val="22"/>
          <w:szCs w:val="22"/>
        </w:rPr>
        <w:t>abordara</w:t>
      </w:r>
      <w:proofErr w:type="gramEnd"/>
      <w:r w:rsidRPr="001E0ABB">
        <w:rPr>
          <w:rFonts w:ascii="Verdana" w:hAnsi="Verdana"/>
          <w:sz w:val="22"/>
          <w:szCs w:val="22"/>
        </w:rPr>
        <w:t xml:space="preserve"> el tema analizando: (2.1) La expedición, vigencia y obligatoriedad de los actos administrativos, (2.2) ejecutoriedad de los actos administrativos y (2.3) Revocatoria de los actos administrativos.</w:t>
      </w:r>
    </w:p>
    <w:p w14:paraId="6D70E78C" w14:textId="77777777" w:rsidR="001E0ABB" w:rsidRPr="001E0ABB" w:rsidRDefault="001E0ABB" w:rsidP="001E0ABB">
      <w:pPr>
        <w:jc w:val="both"/>
        <w:rPr>
          <w:rFonts w:ascii="Verdana" w:hAnsi="Verdana"/>
          <w:sz w:val="22"/>
          <w:szCs w:val="22"/>
        </w:rPr>
      </w:pPr>
      <w:r w:rsidRPr="001E0ABB">
        <w:rPr>
          <w:rFonts w:ascii="Verdana" w:hAnsi="Verdana"/>
          <w:b/>
          <w:bCs/>
          <w:sz w:val="22"/>
          <w:szCs w:val="22"/>
          <w:u w:val="single"/>
        </w:rPr>
        <w:t>(2.1.) La expedición, vigencia y obligatoriedad de los actos administrativos</w:t>
      </w:r>
    </w:p>
    <w:p w14:paraId="1F6FD069" w14:textId="77777777" w:rsidR="001E0ABB" w:rsidRPr="001E0ABB" w:rsidRDefault="001E0ABB" w:rsidP="001E0ABB">
      <w:pPr>
        <w:jc w:val="both"/>
        <w:rPr>
          <w:rFonts w:ascii="Verdana" w:hAnsi="Verdana"/>
          <w:sz w:val="22"/>
          <w:szCs w:val="22"/>
        </w:rPr>
      </w:pPr>
      <w:r w:rsidRPr="001E0ABB">
        <w:rPr>
          <w:rFonts w:ascii="Verdana" w:hAnsi="Verdana"/>
          <w:sz w:val="22"/>
          <w:szCs w:val="22"/>
        </w:rPr>
        <w:t>Según lo preceptúa el Código de Procedimiento Administrativo y de lo Contencioso Administrativo, la voluntad de la administración se manifiesta mediante actos que producen efectos jurídicos como consecuencia del ejercicio de las competencias constitucional y legalmente establecidas, previo el cumplimiento de los procedimientos las formalidades específicamente exigidos para su expedición, momento a partir del cual el acto nace a la vida jurídica, pero su aplicación queda suspendida hasta que sea dado a conocer a sus destinatarios.</w:t>
      </w:r>
    </w:p>
    <w:p w14:paraId="1F9B0B03"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La normatividad vigente diferencia la forma de poner en conocimiento los actos administrativos según sean éstos de carácter general o particular, en razón a los </w:t>
      </w:r>
      <w:r w:rsidRPr="001E0ABB">
        <w:rPr>
          <w:rFonts w:ascii="Verdana" w:hAnsi="Verdana"/>
          <w:sz w:val="22"/>
          <w:szCs w:val="22"/>
        </w:rPr>
        <w:lastRenderedPageBreak/>
        <w:t>efectos que estos mismos producen. Por consiguiente, es preciso tener en cuenta lo siguiente:</w:t>
      </w:r>
    </w:p>
    <w:p w14:paraId="1A0234C7" w14:textId="1A5A77D5" w:rsidR="001E0ABB" w:rsidRPr="001E0ABB" w:rsidRDefault="001E0ABB" w:rsidP="001E0ABB">
      <w:pPr>
        <w:jc w:val="both"/>
        <w:rPr>
          <w:rFonts w:ascii="Verdana" w:hAnsi="Verdana"/>
          <w:sz w:val="22"/>
          <w:szCs w:val="22"/>
        </w:rPr>
      </w:pPr>
      <w:r w:rsidRPr="001E0ABB">
        <w:rPr>
          <w:rFonts w:ascii="Verdana" w:hAnsi="Verdana"/>
          <w:sz w:val="22"/>
          <w:szCs w:val="22"/>
        </w:rPr>
        <w:t>a) Con respecto a los primeros, el artículo 65 del Código de Procedimiento Administrativo y de lo Contencioso Administrativo dispone que:</w:t>
      </w:r>
    </w:p>
    <w:p w14:paraId="61AF8318"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"los actos administrativos de carácter general no serán obligatorios mientras no hayan sido publicados en el Diario Oficial o en las gacetas territoriales según sea el caso (…)”.</w:t>
      </w:r>
    </w:p>
    <w:p w14:paraId="25451087" w14:textId="77777777" w:rsidR="001E0ABB" w:rsidRPr="001E0ABB" w:rsidRDefault="001E0ABB" w:rsidP="001E0ABB">
      <w:pPr>
        <w:jc w:val="both"/>
        <w:rPr>
          <w:rFonts w:ascii="Verdana" w:hAnsi="Verdana"/>
          <w:sz w:val="22"/>
          <w:szCs w:val="22"/>
        </w:rPr>
      </w:pPr>
      <w:r w:rsidRPr="001E0ABB">
        <w:rPr>
          <w:rFonts w:ascii="Verdana" w:hAnsi="Verdana"/>
          <w:sz w:val="22"/>
          <w:szCs w:val="22"/>
        </w:rPr>
        <w:t>En consecuencia, estos actos administrativos sin publicar no son obligatorios para los particulares, lo cual no significa que la publicación sea requisito de validez, sino condición de oponibilidad.</w:t>
      </w:r>
    </w:p>
    <w:p w14:paraId="6597D897" w14:textId="7CBB167C" w:rsidR="001E0ABB" w:rsidRPr="001E0ABB" w:rsidRDefault="001E0ABB" w:rsidP="001E0ABB">
      <w:pPr>
        <w:jc w:val="both"/>
        <w:rPr>
          <w:rFonts w:ascii="Verdana" w:hAnsi="Verdana"/>
          <w:sz w:val="22"/>
          <w:szCs w:val="22"/>
        </w:rPr>
      </w:pPr>
      <w:r w:rsidRPr="001E0ABB">
        <w:rPr>
          <w:rFonts w:ascii="Verdana" w:hAnsi="Verdana"/>
          <w:sz w:val="22"/>
          <w:szCs w:val="22"/>
        </w:rPr>
        <w:t>b) En cuanto a los segundos, es decir a los actos administrativos de carácter particular, su obligatoriedad y los requisitos de su notificación están regulados en los artículos 66 a 72 del Código de Procedimiento Administrativo y de lo Contencioso Administrativo, al respecto, el artículo 66 </w:t>
      </w:r>
      <w:proofErr w:type="spellStart"/>
      <w:r w:rsidRPr="001E0ABB">
        <w:rPr>
          <w:rFonts w:ascii="Verdana" w:hAnsi="Verdana"/>
          <w:i/>
          <w:iCs/>
          <w:sz w:val="22"/>
          <w:szCs w:val="22"/>
        </w:rPr>
        <w:t>ibídem</w:t>
      </w:r>
      <w:proofErr w:type="spellEnd"/>
      <w:r w:rsidRPr="001E0ABB">
        <w:rPr>
          <w:rFonts w:ascii="Verdana" w:hAnsi="Verdana"/>
          <w:sz w:val="22"/>
          <w:szCs w:val="22"/>
        </w:rPr>
        <w:t> preceptúa que:</w:t>
      </w:r>
    </w:p>
    <w:p w14:paraId="0D5D18FC"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"las decisiones que pongan término a una actuación administrativa se notificarán personalmente al interesado, a su representante o apoderado, o a la persona debidamente autorizada por el interesado para notificarse”.</w:t>
      </w:r>
    </w:p>
    <w:p w14:paraId="47944640"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En este caso, la notificación a través de los diversos medios señalados por el ordenamiento </w:t>
      </w:r>
      <w:proofErr w:type="gramStart"/>
      <w:r w:rsidRPr="001E0ABB">
        <w:rPr>
          <w:rFonts w:ascii="Verdana" w:hAnsi="Verdana"/>
          <w:sz w:val="22"/>
          <w:szCs w:val="22"/>
        </w:rPr>
        <w:t>legal,</w:t>
      </w:r>
      <w:proofErr w:type="gramEnd"/>
      <w:r w:rsidRPr="001E0ABB">
        <w:rPr>
          <w:rFonts w:ascii="Verdana" w:hAnsi="Verdana"/>
          <w:sz w:val="22"/>
          <w:szCs w:val="22"/>
        </w:rPr>
        <w:t xml:space="preserve">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recursos y acciones.</w:t>
      </w:r>
    </w:p>
    <w:p w14:paraId="1E57E2C3" w14:textId="69D58281" w:rsidR="001E0ABB" w:rsidRPr="001E0ABB" w:rsidRDefault="001E0ABB" w:rsidP="001E0ABB">
      <w:pPr>
        <w:jc w:val="both"/>
        <w:rPr>
          <w:rFonts w:ascii="Verdana" w:hAnsi="Verdana"/>
          <w:sz w:val="22"/>
          <w:szCs w:val="22"/>
        </w:rPr>
      </w:pPr>
      <w:r w:rsidRPr="001E0ABB">
        <w:rPr>
          <w:rFonts w:ascii="Verdana" w:hAnsi="Verdana"/>
          <w:sz w:val="22"/>
          <w:szCs w:val="22"/>
        </w:rPr>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2CA320B1"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"sin el lleno de los anteriores requisitos, no se tendrá por hecha la notificación ni producirá efectos legales la decisión, a menos que la parte interesada revele que conoce el acto, consienta la decisión".</w:t>
      </w:r>
    </w:p>
    <w:p w14:paraId="0929F594" w14:textId="77777777" w:rsidR="001E0ABB" w:rsidRPr="001E0ABB" w:rsidRDefault="001E0ABB" w:rsidP="001E0ABB">
      <w:pPr>
        <w:jc w:val="both"/>
        <w:rPr>
          <w:rFonts w:ascii="Verdana" w:hAnsi="Verdana"/>
          <w:sz w:val="22"/>
          <w:szCs w:val="22"/>
        </w:rPr>
      </w:pPr>
      <w:r w:rsidRPr="001E0ABB">
        <w:rPr>
          <w:rFonts w:ascii="Verdana" w:hAnsi="Verdana"/>
          <w:b/>
          <w:bCs/>
          <w:sz w:val="22"/>
          <w:szCs w:val="22"/>
          <w:u w:val="single"/>
        </w:rPr>
        <w:t>(2.2) De la ejecutoriedad de los actos administrativos</w:t>
      </w:r>
    </w:p>
    <w:p w14:paraId="29BEE8FD" w14:textId="3DE77E5C" w:rsidR="001E0ABB" w:rsidRPr="001E0ABB" w:rsidRDefault="001E0ABB" w:rsidP="001E0ABB">
      <w:pPr>
        <w:jc w:val="both"/>
        <w:rPr>
          <w:rFonts w:ascii="Verdana" w:hAnsi="Verdana"/>
          <w:sz w:val="22"/>
          <w:szCs w:val="22"/>
        </w:rPr>
      </w:pPr>
      <w:r w:rsidRPr="001E0ABB">
        <w:rPr>
          <w:rFonts w:ascii="Verdana" w:hAnsi="Verdana"/>
          <w:sz w:val="22"/>
          <w:szCs w:val="22"/>
        </w:rPr>
        <w:t xml:space="preserve">La ejecutoriedad de los actos administrativos, es decir, su ejecutividad depende de dos aspectos fundamentales: i) la presunción de legalidad del acto administrativo, siempre que no haya sido desvirtuada y </w:t>
      </w:r>
      <w:proofErr w:type="spellStart"/>
      <w:r w:rsidRPr="001E0ABB">
        <w:rPr>
          <w:rFonts w:ascii="Verdana" w:hAnsi="Verdana"/>
          <w:sz w:val="22"/>
          <w:szCs w:val="22"/>
        </w:rPr>
        <w:t>ii</w:t>
      </w:r>
      <w:proofErr w:type="spellEnd"/>
      <w:r w:rsidRPr="001E0ABB">
        <w:rPr>
          <w:rFonts w:ascii="Verdana" w:hAnsi="Verdana"/>
          <w:sz w:val="22"/>
          <w:szCs w:val="22"/>
        </w:rPr>
        <w:t xml:space="preserve">) su firmeza, que, por </w:t>
      </w:r>
      <w:r w:rsidRPr="001E0ABB">
        <w:rPr>
          <w:rFonts w:ascii="Verdana" w:hAnsi="Verdana"/>
          <w:sz w:val="22"/>
          <w:szCs w:val="22"/>
        </w:rPr>
        <w:lastRenderedPageBreak/>
        <w:t>ejemplo, en lo referido a actos administrativos de carácter particular, se obtiene cuando contra los actos administrativos no proceda ningún recurso, o los recursos interpuestos se hayan decidido, o no se interpongan recursos o se renuncie expresamente a ellos, o cuando haya lugar a la perención o se acepten los desistimientos. Por regla general, no sucede lo mismo con los actos de carácter general, pues, según lo dispuesto en el artículo 75 del Código de Procedimiento Administrativo y de lo Contencioso Administrativo contra ellos no proceden recursos.</w:t>
      </w:r>
    </w:p>
    <w:p w14:paraId="1BFCEA8F"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Ahora </w:t>
      </w:r>
      <w:proofErr w:type="gramStart"/>
      <w:r w:rsidRPr="001E0ABB">
        <w:rPr>
          <w:rFonts w:ascii="Verdana" w:hAnsi="Verdana"/>
          <w:sz w:val="22"/>
          <w:szCs w:val="22"/>
        </w:rPr>
        <w:t>bien</w:t>
      </w:r>
      <w:proofErr w:type="gramEnd"/>
      <w:r w:rsidRPr="001E0ABB">
        <w:rPr>
          <w:rFonts w:ascii="Verdana" w:hAnsi="Verdana"/>
          <w:sz w:val="22"/>
          <w:szCs w:val="22"/>
        </w:rPr>
        <w:t xml:space="preserve">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cuando haya lugar a ello, el acto será firme y, por lo tanto, empezará a surtir efectos.</w:t>
      </w:r>
    </w:p>
    <w:p w14:paraId="50BF2FB6" w14:textId="77777777" w:rsidR="001E0ABB" w:rsidRPr="001E0ABB" w:rsidRDefault="001E0ABB" w:rsidP="001E0ABB">
      <w:pPr>
        <w:jc w:val="both"/>
        <w:rPr>
          <w:rFonts w:ascii="Verdana" w:hAnsi="Verdana"/>
          <w:sz w:val="22"/>
          <w:szCs w:val="22"/>
        </w:rPr>
      </w:pPr>
      <w:r w:rsidRPr="001E0ABB">
        <w:rPr>
          <w:rFonts w:ascii="Verdana" w:hAnsi="Verdana"/>
          <w:b/>
          <w:bCs/>
          <w:sz w:val="22"/>
          <w:szCs w:val="22"/>
          <w:u w:val="single"/>
        </w:rPr>
        <w:t>(2.3.) Revocatoria de los actos administrativos</w:t>
      </w:r>
    </w:p>
    <w:p w14:paraId="5196490F" w14:textId="77777777" w:rsidR="001E0ABB" w:rsidRPr="001E0ABB" w:rsidRDefault="001E0ABB" w:rsidP="001E0ABB">
      <w:pPr>
        <w:jc w:val="both"/>
        <w:rPr>
          <w:rFonts w:ascii="Verdana" w:hAnsi="Verdana"/>
          <w:sz w:val="22"/>
          <w:szCs w:val="22"/>
        </w:rPr>
      </w:pPr>
      <w:r w:rsidRPr="001E0ABB">
        <w:rPr>
          <w:rFonts w:ascii="Verdana" w:hAnsi="Verdana"/>
          <w:sz w:val="22"/>
          <w:szCs w:val="22"/>
        </w:rPr>
        <w:t>La revocatoria directa es un mecanismo extraordinario que le permite a la administración, de oficio o a solicitud de parte dejar sin efecto un acto administrativo o fallo que infrinja manifiestamente las normas constitucionales, legales o reglamentarias en que debían fundarse.</w:t>
      </w:r>
    </w:p>
    <w:p w14:paraId="0D7DAC87"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Los actos administrativos deberán ser revocados por los mismos funcionarios que los hayan expedido o por sus inmediatos superiores, de oficio o a solicitud de parte, en los siguientes casos únicamente: i) cuando sea manifiesta su oposición a la Constitución Política o la Ley, </w:t>
      </w:r>
      <w:proofErr w:type="spellStart"/>
      <w:r w:rsidRPr="001E0ABB">
        <w:rPr>
          <w:rFonts w:ascii="Verdana" w:hAnsi="Verdana"/>
          <w:sz w:val="22"/>
          <w:szCs w:val="22"/>
        </w:rPr>
        <w:t>ii</w:t>
      </w:r>
      <w:proofErr w:type="spellEnd"/>
      <w:r w:rsidRPr="001E0ABB">
        <w:rPr>
          <w:rFonts w:ascii="Verdana" w:hAnsi="Verdana"/>
          <w:sz w:val="22"/>
          <w:szCs w:val="22"/>
        </w:rPr>
        <w:t xml:space="preserve">) cuando no estén conformes con el interés público o social, o atenten contra él y </w:t>
      </w:r>
      <w:proofErr w:type="spellStart"/>
      <w:r w:rsidRPr="001E0ABB">
        <w:rPr>
          <w:rFonts w:ascii="Verdana" w:hAnsi="Verdana"/>
          <w:sz w:val="22"/>
          <w:szCs w:val="22"/>
        </w:rPr>
        <w:t>iii</w:t>
      </w:r>
      <w:proofErr w:type="spellEnd"/>
      <w:r w:rsidRPr="001E0ABB">
        <w:rPr>
          <w:rFonts w:ascii="Verdana" w:hAnsi="Verdana"/>
          <w:sz w:val="22"/>
          <w:szCs w:val="22"/>
        </w:rPr>
        <w:t>) cuando con ellos se cause agravio injustificado a una persona.</w:t>
      </w:r>
    </w:p>
    <w:p w14:paraId="295075FC" w14:textId="29B8FB94" w:rsidR="001E0ABB" w:rsidRPr="001E0ABB" w:rsidRDefault="001E0ABB" w:rsidP="001E0ABB">
      <w:pPr>
        <w:jc w:val="both"/>
        <w:rPr>
          <w:rFonts w:ascii="Verdana" w:hAnsi="Verdana"/>
          <w:sz w:val="22"/>
          <w:szCs w:val="22"/>
        </w:rPr>
      </w:pPr>
      <w:r w:rsidRPr="001E0ABB">
        <w:rPr>
          <w:rFonts w:ascii="Verdana" w:hAnsi="Verdana"/>
          <w:sz w:val="22"/>
          <w:szCs w:val="22"/>
        </w:rPr>
        <w:t>El artículo 97 del Código de Procedimiento Administrativo y de lo Contencioso Administrativo establece respecto de la revocatoria de actos de carácter particular y concreto que:</w:t>
      </w:r>
    </w:p>
    <w:p w14:paraId="0ECB0E34"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“Salvo las excepciones establecidas en la ley, cuando un acto administrativo, bien sea expreso o ficto, haya creado o modificado una situación jurídica de carácter particular y concreto o reconocido un derecho de igual categoría, no podrá ser revocado sin el consentimiento previo, expreso y escrito del respectivo titular.</w:t>
      </w:r>
    </w:p>
    <w:p w14:paraId="1EECA993"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Al respecto la Corte </w:t>
      </w:r>
      <w:proofErr w:type="gramStart"/>
      <w:r w:rsidRPr="001E0ABB">
        <w:rPr>
          <w:rFonts w:ascii="Verdana" w:hAnsi="Verdana"/>
          <w:sz w:val="22"/>
          <w:szCs w:val="22"/>
        </w:rPr>
        <w:t>Constitucional</w:t>
      </w:r>
      <w:r w:rsidRPr="001E0ABB">
        <w:rPr>
          <w:rFonts w:ascii="Verdana" w:hAnsi="Verdana"/>
          <w:sz w:val="22"/>
          <w:szCs w:val="22"/>
          <w:vertAlign w:val="superscript"/>
        </w:rPr>
        <w:t>[</w:t>
      </w:r>
      <w:proofErr w:type="gramEnd"/>
      <w:r w:rsidRPr="001E0ABB">
        <w:rPr>
          <w:rFonts w:ascii="Verdana" w:hAnsi="Verdana"/>
          <w:sz w:val="22"/>
          <w:szCs w:val="22"/>
          <w:vertAlign w:val="superscript"/>
        </w:rPr>
        <w:t>1]</w:t>
      </w:r>
      <w:r w:rsidRPr="001E0ABB">
        <w:rPr>
          <w:rFonts w:ascii="Verdana" w:hAnsi="Verdana"/>
          <w:sz w:val="22"/>
          <w:szCs w:val="22"/>
        </w:rPr>
        <w:t> sostuvo:</w:t>
      </w:r>
    </w:p>
    <w:p w14:paraId="78322738"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 xml:space="preserve">"Que existe vulneración de derechos fundamentales de las personas, cuando la administración de manera unilateral revoca sus propios actos, sin que exista el consentimiento expreso y escrito del afectado. Los entes públicos no pueden, so pena de menoscabar principios estructurales del Estado social de derecho, </w:t>
      </w:r>
      <w:r w:rsidRPr="001E0ABB">
        <w:rPr>
          <w:rFonts w:ascii="Verdana" w:hAnsi="Verdana"/>
          <w:i/>
          <w:iCs/>
          <w:sz w:val="22"/>
          <w:szCs w:val="22"/>
        </w:rPr>
        <w:lastRenderedPageBreak/>
        <w:t>revocar decisiones que ya están en firme sin que el afectado pueda controvertir tal decisión".</w:t>
      </w:r>
    </w:p>
    <w:p w14:paraId="37177FBD" w14:textId="77777777" w:rsidR="001E0ABB" w:rsidRPr="001E0ABB" w:rsidRDefault="001E0ABB" w:rsidP="001E0ABB">
      <w:pPr>
        <w:jc w:val="both"/>
        <w:rPr>
          <w:rFonts w:ascii="Verdana" w:hAnsi="Verdana"/>
          <w:sz w:val="22"/>
          <w:szCs w:val="22"/>
        </w:rPr>
      </w:pPr>
      <w:r w:rsidRPr="001E0ABB">
        <w:rPr>
          <w:rFonts w:ascii="Verdana" w:hAnsi="Verdana"/>
          <w:sz w:val="22"/>
          <w:szCs w:val="22"/>
        </w:rPr>
        <w:t>Así mismo el mencionado artículo indica que:</w:t>
      </w:r>
    </w:p>
    <w:p w14:paraId="1B8C3AD2"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Si el titular niega su consentimiento y la autoridad considera que el acto es contrario a la Constitución o a la ley, deberá demandarlo ante la Jurisdicción de lo Contencioso Administrativo.</w:t>
      </w:r>
    </w:p>
    <w:p w14:paraId="6DB956DD" w14:textId="77777777" w:rsidR="001E0ABB" w:rsidRPr="001E0ABB" w:rsidRDefault="001E0ABB" w:rsidP="001E0ABB">
      <w:pPr>
        <w:jc w:val="both"/>
        <w:rPr>
          <w:rFonts w:ascii="Verdana" w:hAnsi="Verdana"/>
          <w:sz w:val="22"/>
          <w:szCs w:val="22"/>
        </w:rPr>
      </w:pPr>
      <w:r w:rsidRPr="001E0ABB">
        <w:rPr>
          <w:rFonts w:ascii="Verdana" w:hAnsi="Verdana"/>
          <w:i/>
          <w:iCs/>
          <w:sz w:val="22"/>
          <w:szCs w:val="22"/>
        </w:rPr>
        <w:t>Si la Administración considera que el acto ocurrió por medios ilegales o fraudulentos lo demandará sin acudir al procedimiento previo de conciliación y solicitará al juez su suspensión provisional".</w:t>
      </w:r>
    </w:p>
    <w:p w14:paraId="7A464E8C" w14:textId="77777777" w:rsidR="001E0ABB" w:rsidRPr="001E0ABB" w:rsidRDefault="001E0ABB" w:rsidP="001E0ABB">
      <w:pPr>
        <w:jc w:val="both"/>
        <w:rPr>
          <w:rFonts w:ascii="Verdana" w:hAnsi="Verdana"/>
          <w:sz w:val="22"/>
          <w:szCs w:val="22"/>
        </w:rPr>
      </w:pPr>
      <w:r w:rsidRPr="001E0ABB">
        <w:rPr>
          <w:rFonts w:ascii="Verdana" w:hAnsi="Verdana"/>
          <w:b/>
          <w:bCs/>
          <w:i/>
          <w:iCs/>
          <w:sz w:val="22"/>
          <w:szCs w:val="22"/>
        </w:rPr>
        <w:t>Parágrafo</w:t>
      </w:r>
      <w:r w:rsidRPr="001E0ABB">
        <w:rPr>
          <w:rFonts w:ascii="Verdana" w:hAnsi="Verdana"/>
          <w:i/>
          <w:iCs/>
          <w:sz w:val="22"/>
          <w:szCs w:val="22"/>
        </w:rPr>
        <w:t>: En el trámite de la revocación directa se garantizarán los derechos de audiencia y de defensa".</w:t>
      </w:r>
    </w:p>
    <w:p w14:paraId="76405135" w14:textId="16161D9D" w:rsidR="001E0ABB" w:rsidRPr="001E0ABB" w:rsidRDefault="001E0ABB" w:rsidP="001E0ABB">
      <w:pPr>
        <w:jc w:val="both"/>
        <w:rPr>
          <w:rFonts w:ascii="Verdana" w:hAnsi="Verdana"/>
          <w:sz w:val="22"/>
          <w:szCs w:val="22"/>
        </w:rPr>
      </w:pPr>
      <w:r w:rsidRPr="001E0ABB">
        <w:rPr>
          <w:rFonts w:ascii="Verdana" w:hAnsi="Verdana"/>
          <w:sz w:val="22"/>
          <w:szCs w:val="22"/>
        </w:rPr>
        <w:t>Así las cosas y en concreto la administración no puede, salvo las dos excepciones expuestas, revocar unilateralmente un acto sin iniciar previamente una actuación administrativa que en todo momento respete los postulados de defensa y el derecho al debido proceso, derechos que por disposición del artículo 29 de la Constitución, deben regir en las actuaciones administrativas ya que son considerados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w:t>
      </w:r>
    </w:p>
    <w:p w14:paraId="1C78644E" w14:textId="77777777" w:rsidR="001E0ABB" w:rsidRPr="001E0ABB" w:rsidRDefault="001E0ABB" w:rsidP="001E0ABB">
      <w:pPr>
        <w:jc w:val="both"/>
        <w:rPr>
          <w:rFonts w:ascii="Verdana" w:hAnsi="Verdana"/>
          <w:sz w:val="22"/>
          <w:szCs w:val="22"/>
        </w:rPr>
      </w:pPr>
      <w:r w:rsidRPr="001E0ABB">
        <w:rPr>
          <w:rFonts w:ascii="Verdana" w:hAnsi="Verdana"/>
          <w:b/>
          <w:bCs/>
          <w:sz w:val="22"/>
          <w:szCs w:val="22"/>
        </w:rPr>
        <w:t>3. CONCLUSIONES</w:t>
      </w:r>
    </w:p>
    <w:p w14:paraId="51ACB62A" w14:textId="77777777" w:rsidR="001E0ABB" w:rsidRPr="001E0ABB" w:rsidRDefault="001E0ABB" w:rsidP="001E0ABB">
      <w:pPr>
        <w:jc w:val="both"/>
        <w:rPr>
          <w:rFonts w:ascii="Verdana" w:hAnsi="Verdana"/>
          <w:sz w:val="22"/>
          <w:szCs w:val="22"/>
        </w:rPr>
      </w:pPr>
      <w:r w:rsidRPr="001E0ABB">
        <w:rPr>
          <w:rFonts w:ascii="Verdana" w:hAnsi="Verdana"/>
          <w:sz w:val="22"/>
          <w:szCs w:val="22"/>
        </w:rPr>
        <w:t>Teniendo en cuenta las consideraciones de orden legal expuestas, para el caso en concreto se puede concluir lo siguiente:</w:t>
      </w:r>
    </w:p>
    <w:p w14:paraId="69D53B14" w14:textId="502BDB2E" w:rsidR="001E0ABB" w:rsidRPr="001E0ABB" w:rsidRDefault="001E0ABB" w:rsidP="001E0ABB">
      <w:pPr>
        <w:jc w:val="both"/>
        <w:rPr>
          <w:rFonts w:ascii="Verdana" w:hAnsi="Verdana"/>
          <w:sz w:val="22"/>
          <w:szCs w:val="22"/>
        </w:rPr>
      </w:pPr>
      <w:r w:rsidRPr="001E0ABB">
        <w:rPr>
          <w:rFonts w:ascii="Verdana" w:hAnsi="Verdana"/>
          <w:b/>
          <w:bCs/>
          <w:sz w:val="22"/>
          <w:szCs w:val="22"/>
        </w:rPr>
        <w:t>Primera</w:t>
      </w:r>
      <w:r w:rsidRPr="001E0ABB">
        <w:rPr>
          <w:rFonts w:ascii="Verdana" w:hAnsi="Verdana"/>
          <w:sz w:val="22"/>
          <w:szCs w:val="22"/>
        </w:rPr>
        <w:t>: Es viable la revocatoria de un acto administrativo para cancelar una personería jurídica, siempre y cuando se den los requisitos establecidos en el artículo 97 de la Ley 1437 de 2011.</w:t>
      </w:r>
      <w:r w:rsidRPr="001E0ABB">
        <w:rPr>
          <w:rFonts w:ascii="Verdana" w:hAnsi="Verdana"/>
          <w:sz w:val="22"/>
          <w:szCs w:val="22"/>
          <w:vertAlign w:val="superscript"/>
        </w:rPr>
        <w:t>[2]</w:t>
      </w:r>
    </w:p>
    <w:p w14:paraId="34485598" w14:textId="77777777" w:rsidR="001E0ABB" w:rsidRPr="001E0ABB" w:rsidRDefault="001E0ABB" w:rsidP="001E0ABB">
      <w:pPr>
        <w:jc w:val="both"/>
        <w:rPr>
          <w:rFonts w:ascii="Verdana" w:hAnsi="Verdana"/>
          <w:sz w:val="22"/>
          <w:szCs w:val="22"/>
        </w:rPr>
      </w:pPr>
      <w:r w:rsidRPr="001E0ABB">
        <w:rPr>
          <w:rFonts w:ascii="Verdana" w:hAnsi="Verdana"/>
          <w:b/>
          <w:bCs/>
          <w:sz w:val="22"/>
          <w:szCs w:val="22"/>
        </w:rPr>
        <w:t>Segunda</w:t>
      </w:r>
      <w:r w:rsidRPr="001E0ABB">
        <w:rPr>
          <w:rFonts w:ascii="Verdana" w:hAnsi="Verdana"/>
          <w:sz w:val="22"/>
          <w:szCs w:val="22"/>
        </w:rPr>
        <w:t xml:space="preserve">: Para el caso en concreto y </w:t>
      </w:r>
      <w:proofErr w:type="gramStart"/>
      <w:r w:rsidRPr="001E0ABB">
        <w:rPr>
          <w:rFonts w:ascii="Verdana" w:hAnsi="Verdana"/>
          <w:sz w:val="22"/>
          <w:szCs w:val="22"/>
        </w:rPr>
        <w:t>a pesar que</w:t>
      </w:r>
      <w:proofErr w:type="gramEnd"/>
      <w:r w:rsidRPr="001E0ABB">
        <w:rPr>
          <w:rFonts w:ascii="Verdana" w:hAnsi="Verdana"/>
          <w:sz w:val="22"/>
          <w:szCs w:val="22"/>
        </w:rPr>
        <w:t xml:space="preserve"> los trámites de cancelación y reconocimiento de personería jurídica recen sobre la misma institución, considera esta Oficina que estos se deben emitir en actos administrativos diferentes.</w:t>
      </w:r>
    </w:p>
    <w:p w14:paraId="56086E33" w14:textId="7935EC3E" w:rsidR="001E0ABB" w:rsidRPr="001E0ABB" w:rsidRDefault="001E0ABB" w:rsidP="001E0ABB">
      <w:pPr>
        <w:jc w:val="both"/>
        <w:rPr>
          <w:rFonts w:ascii="Verdana" w:hAnsi="Verdana"/>
          <w:sz w:val="22"/>
          <w:szCs w:val="22"/>
        </w:rPr>
      </w:pPr>
      <w:r w:rsidRPr="001E0ABB">
        <w:rPr>
          <w:rFonts w:ascii="Verdana" w:hAnsi="Verdana"/>
          <w:sz w:val="22"/>
          <w:szCs w:val="22"/>
        </w:rPr>
        <w:t>El presente concepto</w:t>
      </w:r>
      <w:r w:rsidRPr="001E0ABB">
        <w:rPr>
          <w:rFonts w:ascii="Verdana" w:hAnsi="Verdana"/>
          <w:sz w:val="22"/>
          <w:szCs w:val="22"/>
          <w:vertAlign w:val="superscript"/>
        </w:rPr>
        <w:t>[1]</w:t>
      </w:r>
      <w:r w:rsidRPr="001E0ABB">
        <w:rPr>
          <w:rFonts w:ascii="Verdana" w:hAnsi="Verdana"/>
          <w:sz w:val="22"/>
          <w:szCs w:val="22"/>
        </w:rPr>
        <w:t xml:space="preserve"> no es de obligatorio cumplimiento o ejecución para particulares o agentes externos, de conformidad con lo establecido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w:t>
      </w:r>
      <w:r w:rsidRPr="001E0ABB">
        <w:rPr>
          <w:rFonts w:ascii="Verdana" w:hAnsi="Verdana"/>
          <w:sz w:val="22"/>
          <w:szCs w:val="22"/>
        </w:rPr>
        <w:lastRenderedPageBreak/>
        <w:t>unidad doctrinaria e impartir las directrices jurídicas necesarias para el desarrollo de las funciones del Instituto, de conformidad con los numerales 8 y 15 del Decreto 987 de 2012.</w:t>
      </w:r>
    </w:p>
    <w:p w14:paraId="1C788D65" w14:textId="77777777" w:rsidR="001E0ABB" w:rsidRDefault="001E0ABB" w:rsidP="001E0ABB">
      <w:pPr>
        <w:jc w:val="both"/>
        <w:rPr>
          <w:rFonts w:ascii="Verdana" w:hAnsi="Verdana"/>
          <w:sz w:val="22"/>
          <w:szCs w:val="22"/>
        </w:rPr>
      </w:pPr>
      <w:r w:rsidRPr="001E0ABB">
        <w:rPr>
          <w:rFonts w:ascii="Verdana" w:hAnsi="Verdana"/>
          <w:sz w:val="22"/>
          <w:szCs w:val="22"/>
        </w:rPr>
        <w:t>Cordialmente,</w:t>
      </w:r>
    </w:p>
    <w:p w14:paraId="481FE04B" w14:textId="77777777" w:rsidR="001E0ABB" w:rsidRPr="001E0ABB" w:rsidRDefault="001E0ABB" w:rsidP="001E0ABB">
      <w:pPr>
        <w:jc w:val="both"/>
        <w:rPr>
          <w:rFonts w:ascii="Verdana" w:hAnsi="Verdana"/>
          <w:sz w:val="22"/>
          <w:szCs w:val="22"/>
        </w:rPr>
      </w:pPr>
    </w:p>
    <w:p w14:paraId="57D520A0" w14:textId="77777777" w:rsidR="001E0ABB" w:rsidRPr="001E0ABB" w:rsidRDefault="001E0ABB" w:rsidP="001E0ABB">
      <w:pPr>
        <w:jc w:val="both"/>
        <w:rPr>
          <w:rFonts w:ascii="Verdana" w:hAnsi="Verdana"/>
          <w:sz w:val="22"/>
          <w:szCs w:val="22"/>
        </w:rPr>
      </w:pPr>
      <w:r w:rsidRPr="001E0ABB">
        <w:rPr>
          <w:rFonts w:ascii="Verdana" w:hAnsi="Verdana"/>
          <w:b/>
          <w:bCs/>
          <w:sz w:val="22"/>
          <w:szCs w:val="22"/>
        </w:rPr>
        <w:t>MARÍA TERESA SALAMANCA ACOSTA</w:t>
      </w:r>
    </w:p>
    <w:p w14:paraId="26517829" w14:textId="77777777" w:rsidR="001E0ABB" w:rsidRPr="001E0ABB" w:rsidRDefault="001E0ABB" w:rsidP="001E0ABB">
      <w:pPr>
        <w:jc w:val="both"/>
        <w:rPr>
          <w:rFonts w:ascii="Verdana" w:hAnsi="Verdana"/>
          <w:sz w:val="22"/>
          <w:szCs w:val="22"/>
        </w:rPr>
      </w:pPr>
      <w:r w:rsidRPr="001E0ABB">
        <w:rPr>
          <w:rFonts w:ascii="Verdana" w:hAnsi="Verdana"/>
          <w:sz w:val="22"/>
          <w:szCs w:val="22"/>
        </w:rPr>
        <w:t>Jefe Oficina Asesora Jurídica</w:t>
      </w:r>
    </w:p>
    <w:p w14:paraId="4DFACBAD" w14:textId="77777777" w:rsidR="001E0ABB" w:rsidRDefault="001E0ABB" w:rsidP="001E0ABB">
      <w:pPr>
        <w:jc w:val="both"/>
        <w:rPr>
          <w:rFonts w:ascii="Verdana" w:hAnsi="Verdana"/>
          <w:sz w:val="22"/>
          <w:szCs w:val="22"/>
        </w:rPr>
      </w:pPr>
    </w:p>
    <w:p w14:paraId="0F24B13A" w14:textId="416C0EEB" w:rsidR="001E0ABB" w:rsidRPr="001E0ABB" w:rsidRDefault="001E0ABB" w:rsidP="001E0ABB">
      <w:pPr>
        <w:jc w:val="both"/>
        <w:rPr>
          <w:rFonts w:ascii="Verdana" w:hAnsi="Verdana"/>
          <w:b/>
          <w:bCs/>
          <w:sz w:val="22"/>
          <w:szCs w:val="22"/>
        </w:rPr>
      </w:pPr>
      <w:r w:rsidRPr="001E0ABB">
        <w:rPr>
          <w:rFonts w:ascii="Verdana" w:hAnsi="Verdana"/>
          <w:b/>
          <w:bCs/>
          <w:sz w:val="22"/>
          <w:szCs w:val="22"/>
        </w:rPr>
        <w:t>Notas de pie de página:</w:t>
      </w:r>
    </w:p>
    <w:p w14:paraId="06161EB0" w14:textId="29647D39" w:rsidR="001E0ABB" w:rsidRPr="001E0ABB" w:rsidRDefault="001E0ABB" w:rsidP="001E0ABB">
      <w:pPr>
        <w:jc w:val="both"/>
        <w:rPr>
          <w:rFonts w:ascii="Verdana" w:hAnsi="Verdana"/>
          <w:sz w:val="22"/>
          <w:szCs w:val="22"/>
        </w:rPr>
      </w:pPr>
      <w:r w:rsidRPr="001E0ABB">
        <w:rPr>
          <w:rFonts w:ascii="Verdana" w:hAnsi="Verdana"/>
          <w:sz w:val="22"/>
          <w:szCs w:val="22"/>
        </w:rPr>
        <w:t xml:space="preserve">1 </w:t>
      </w:r>
      <w:proofErr w:type="gramStart"/>
      <w:r w:rsidRPr="001E0ABB">
        <w:rPr>
          <w:rFonts w:ascii="Verdana" w:hAnsi="Verdana"/>
          <w:sz w:val="22"/>
          <w:szCs w:val="22"/>
        </w:rPr>
        <w:t>Sentencia</w:t>
      </w:r>
      <w:proofErr w:type="gramEnd"/>
      <w:r w:rsidRPr="001E0ABB">
        <w:rPr>
          <w:rFonts w:ascii="Verdana" w:hAnsi="Verdana"/>
          <w:sz w:val="22"/>
          <w:szCs w:val="22"/>
        </w:rPr>
        <w:t xml:space="preserve"> T-295 de 1999</w:t>
      </w:r>
    </w:p>
    <w:p w14:paraId="19A402C8" w14:textId="77777777" w:rsidR="001E0ABB" w:rsidRPr="001E0ABB" w:rsidRDefault="001E0ABB" w:rsidP="001E0ABB">
      <w:pPr>
        <w:jc w:val="both"/>
        <w:rPr>
          <w:rFonts w:ascii="Verdana" w:hAnsi="Verdana"/>
          <w:sz w:val="22"/>
          <w:szCs w:val="22"/>
        </w:rPr>
      </w:pPr>
      <w:r w:rsidRPr="001E0ABB">
        <w:rPr>
          <w:rFonts w:ascii="Verdana" w:hAnsi="Verdana"/>
          <w:sz w:val="22"/>
          <w:szCs w:val="22"/>
        </w:rPr>
        <w:t xml:space="preserve">2 </w:t>
      </w:r>
      <w:proofErr w:type="gramStart"/>
      <w:r w:rsidRPr="001E0ABB">
        <w:rPr>
          <w:rFonts w:ascii="Verdana" w:hAnsi="Verdana"/>
          <w:sz w:val="22"/>
          <w:szCs w:val="22"/>
        </w:rPr>
        <w:t>Código</w:t>
      </w:r>
      <w:proofErr w:type="gramEnd"/>
      <w:r w:rsidRPr="001E0ABB">
        <w:rPr>
          <w:rFonts w:ascii="Verdana" w:hAnsi="Verdana"/>
          <w:sz w:val="22"/>
          <w:szCs w:val="22"/>
        </w:rPr>
        <w:t xml:space="preserve"> de procedimiento Administrativo y de </w:t>
      </w:r>
      <w:proofErr w:type="spellStart"/>
      <w:r w:rsidRPr="001E0ABB">
        <w:rPr>
          <w:rFonts w:ascii="Verdana" w:hAnsi="Verdana"/>
          <w:sz w:val="22"/>
          <w:szCs w:val="22"/>
        </w:rPr>
        <w:t>lo</w:t>
      </w:r>
      <w:proofErr w:type="spellEnd"/>
      <w:r w:rsidRPr="001E0ABB">
        <w:rPr>
          <w:rFonts w:ascii="Verdana" w:hAnsi="Verdana"/>
          <w:sz w:val="22"/>
          <w:szCs w:val="22"/>
        </w:rPr>
        <w:t xml:space="preserve"> Contenciosos Administrativo</w:t>
      </w:r>
    </w:p>
    <w:p w14:paraId="440B7904" w14:textId="2B36CE3F" w:rsidR="001E0ABB" w:rsidRPr="001E0ABB" w:rsidRDefault="001E0ABB" w:rsidP="001E0ABB">
      <w:pPr>
        <w:jc w:val="both"/>
        <w:rPr>
          <w:rFonts w:ascii="Verdana" w:hAnsi="Verdana"/>
          <w:sz w:val="22"/>
          <w:szCs w:val="22"/>
        </w:rPr>
      </w:pPr>
      <w:r w:rsidRPr="001E0ABB">
        <w:rPr>
          <w:rFonts w:ascii="Verdana" w:hAnsi="Verdana"/>
          <w:sz w:val="22"/>
          <w:szCs w:val="22"/>
        </w:rPr>
        <w:t>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027CC7DB" w14:textId="77777777" w:rsidR="001E0ABB" w:rsidRPr="001E0ABB" w:rsidRDefault="001E0ABB" w:rsidP="001E0ABB">
      <w:pPr>
        <w:jc w:val="both"/>
        <w:rPr>
          <w:rFonts w:ascii="Verdana" w:hAnsi="Verdana"/>
          <w:sz w:val="22"/>
          <w:szCs w:val="22"/>
          <w:lang w:val="es-ES"/>
        </w:rPr>
      </w:pPr>
    </w:p>
    <w:sectPr w:rsidR="001E0ABB" w:rsidRPr="001E0A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BB"/>
    <w:rsid w:val="001E0ABB"/>
    <w:rsid w:val="00F923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161F"/>
  <w15:chartTrackingRefBased/>
  <w15:docId w15:val="{A616608D-2D26-42FF-9D13-42F3344E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0A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0A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0A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0A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0A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0A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0A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0A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0A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0A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0A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0A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0A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0A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0A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0ABB"/>
    <w:rPr>
      <w:rFonts w:eastAsiaTheme="majorEastAsia" w:cstheme="majorBidi"/>
      <w:color w:val="272727" w:themeColor="text1" w:themeTint="D8"/>
    </w:rPr>
  </w:style>
  <w:style w:type="paragraph" w:styleId="Ttulo">
    <w:name w:val="Title"/>
    <w:basedOn w:val="Normal"/>
    <w:next w:val="Normal"/>
    <w:link w:val="TtuloCar"/>
    <w:uiPriority w:val="10"/>
    <w:qFormat/>
    <w:rsid w:val="001E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0A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0A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0A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0ABB"/>
    <w:pPr>
      <w:spacing w:before="160"/>
      <w:jc w:val="center"/>
    </w:pPr>
    <w:rPr>
      <w:i/>
      <w:iCs/>
      <w:color w:val="404040" w:themeColor="text1" w:themeTint="BF"/>
    </w:rPr>
  </w:style>
  <w:style w:type="character" w:customStyle="1" w:styleId="CitaCar">
    <w:name w:val="Cita Car"/>
    <w:basedOn w:val="Fuentedeprrafopredeter"/>
    <w:link w:val="Cita"/>
    <w:uiPriority w:val="29"/>
    <w:rsid w:val="001E0ABB"/>
    <w:rPr>
      <w:i/>
      <w:iCs/>
      <w:color w:val="404040" w:themeColor="text1" w:themeTint="BF"/>
    </w:rPr>
  </w:style>
  <w:style w:type="paragraph" w:styleId="Prrafodelista">
    <w:name w:val="List Paragraph"/>
    <w:basedOn w:val="Normal"/>
    <w:uiPriority w:val="34"/>
    <w:qFormat/>
    <w:rsid w:val="001E0ABB"/>
    <w:pPr>
      <w:ind w:left="720"/>
      <w:contextualSpacing/>
    </w:pPr>
  </w:style>
  <w:style w:type="character" w:styleId="nfasisintenso">
    <w:name w:val="Intense Emphasis"/>
    <w:basedOn w:val="Fuentedeprrafopredeter"/>
    <w:uiPriority w:val="21"/>
    <w:qFormat/>
    <w:rsid w:val="001E0ABB"/>
    <w:rPr>
      <w:i/>
      <w:iCs/>
      <w:color w:val="0F4761" w:themeColor="accent1" w:themeShade="BF"/>
    </w:rPr>
  </w:style>
  <w:style w:type="paragraph" w:styleId="Citadestacada">
    <w:name w:val="Intense Quote"/>
    <w:basedOn w:val="Normal"/>
    <w:next w:val="Normal"/>
    <w:link w:val="CitadestacadaCar"/>
    <w:uiPriority w:val="30"/>
    <w:qFormat/>
    <w:rsid w:val="001E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0ABB"/>
    <w:rPr>
      <w:i/>
      <w:iCs/>
      <w:color w:val="0F4761" w:themeColor="accent1" w:themeShade="BF"/>
    </w:rPr>
  </w:style>
  <w:style w:type="character" w:styleId="Referenciaintensa">
    <w:name w:val="Intense Reference"/>
    <w:basedOn w:val="Fuentedeprrafopredeter"/>
    <w:uiPriority w:val="32"/>
    <w:qFormat/>
    <w:rsid w:val="001E0ABB"/>
    <w:rPr>
      <w:b/>
      <w:bCs/>
      <w:smallCaps/>
      <w:color w:val="0F4761" w:themeColor="accent1" w:themeShade="BF"/>
      <w:spacing w:val="5"/>
    </w:rPr>
  </w:style>
  <w:style w:type="character" w:styleId="Hipervnculo">
    <w:name w:val="Hyperlink"/>
    <w:basedOn w:val="Fuentedeprrafopredeter"/>
    <w:uiPriority w:val="99"/>
    <w:unhideWhenUsed/>
    <w:rsid w:val="001E0ABB"/>
    <w:rPr>
      <w:color w:val="467886" w:themeColor="hyperlink"/>
      <w:u w:val="single"/>
    </w:rPr>
  </w:style>
  <w:style w:type="character" w:styleId="Mencinsinresolver">
    <w:name w:val="Unresolved Mention"/>
    <w:basedOn w:val="Fuentedeprrafopredeter"/>
    <w:uiPriority w:val="99"/>
    <w:semiHidden/>
    <w:unhideWhenUsed/>
    <w:rsid w:val="001E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31853-5BA1-414B-A408-E970D7592906}"/>
</file>

<file path=customXml/itemProps2.xml><?xml version="1.0" encoding="utf-8"?>
<ds:datastoreItem xmlns:ds="http://schemas.openxmlformats.org/officeDocument/2006/customXml" ds:itemID="{28492FF2-DA65-4151-8B20-3C7B0A3184F5}"/>
</file>

<file path=customXml/itemProps3.xml><?xml version="1.0" encoding="utf-8"?>
<ds:datastoreItem xmlns:ds="http://schemas.openxmlformats.org/officeDocument/2006/customXml" ds:itemID="{395E0B92-5B6F-4326-B954-FE3A5F05151F}"/>
</file>

<file path=docProps/app.xml><?xml version="1.0" encoding="utf-8"?>
<Properties xmlns="http://schemas.openxmlformats.org/officeDocument/2006/extended-properties" xmlns:vt="http://schemas.openxmlformats.org/officeDocument/2006/docPropsVTypes">
  <Template>Normal</Template>
  <TotalTime>2</TotalTime>
  <Pages>1</Pages>
  <Words>1732</Words>
  <Characters>9531</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2026-05-08T16:42:00Z</dcterms:created>
  <dcterms:modified xsi:type="dcterms:W3CDTF">2026-05-08T16:44:00Z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