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066B" w14:textId="77777777" w:rsidR="003E2D1E" w:rsidRPr="003E2D1E" w:rsidRDefault="003E2D1E" w:rsidP="003E2D1E">
      <w:pPr>
        <w:jc w:val="center"/>
        <w:rPr>
          <w:rFonts w:ascii="Verdana" w:hAnsi="Verdana"/>
          <w:sz w:val="22"/>
          <w:szCs w:val="22"/>
        </w:rPr>
      </w:pPr>
      <w:r w:rsidRPr="003E2D1E">
        <w:rPr>
          <w:rFonts w:ascii="Verdana" w:hAnsi="Verdana"/>
          <w:b/>
          <w:bCs/>
          <w:sz w:val="22"/>
          <w:szCs w:val="22"/>
        </w:rPr>
        <w:t>CONCEPTO 110 DE 2017</w:t>
      </w:r>
    </w:p>
    <w:p w14:paraId="587F27A3" w14:textId="77777777" w:rsidR="003E2D1E" w:rsidRPr="003E2D1E" w:rsidRDefault="003E2D1E" w:rsidP="003E2D1E">
      <w:pPr>
        <w:jc w:val="center"/>
        <w:rPr>
          <w:rFonts w:ascii="Verdana" w:hAnsi="Verdana"/>
          <w:sz w:val="22"/>
          <w:szCs w:val="22"/>
        </w:rPr>
      </w:pPr>
      <w:r w:rsidRPr="003E2D1E">
        <w:rPr>
          <w:rFonts w:ascii="Verdana" w:hAnsi="Verdana"/>
          <w:sz w:val="22"/>
          <w:szCs w:val="22"/>
        </w:rPr>
        <w:t>(septiembre 18)</w:t>
      </w:r>
    </w:p>
    <w:p w14:paraId="76E67C2F" w14:textId="77777777" w:rsidR="003E2D1E" w:rsidRPr="003E2D1E" w:rsidRDefault="003E2D1E" w:rsidP="003E2D1E">
      <w:pPr>
        <w:jc w:val="center"/>
        <w:rPr>
          <w:rFonts w:ascii="Verdana" w:hAnsi="Verdana"/>
          <w:sz w:val="22"/>
          <w:szCs w:val="22"/>
        </w:rPr>
      </w:pPr>
      <w:r w:rsidRPr="003E2D1E">
        <w:rPr>
          <w:rFonts w:ascii="Verdana" w:hAnsi="Verdana"/>
          <w:b/>
          <w:bCs/>
          <w:sz w:val="22"/>
          <w:szCs w:val="22"/>
        </w:rPr>
        <w:t>INSTITUTO COLOMBIANO DE BIENESTAR FAMILIAR</w:t>
      </w:r>
      <w:r w:rsidRPr="003E2D1E">
        <w:rPr>
          <w:rFonts w:ascii="Verdana" w:hAnsi="Verdana"/>
          <w:b/>
          <w:bCs/>
          <w:sz w:val="22"/>
          <w:szCs w:val="22"/>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3E2D1E" w:rsidRPr="003E2D1E" w14:paraId="42C66FA3" w14:textId="77777777" w:rsidTr="003E2D1E">
        <w:trPr>
          <w:tblCellSpacing w:w="15" w:type="dxa"/>
        </w:trPr>
        <w:tc>
          <w:tcPr>
            <w:tcW w:w="693" w:type="pct"/>
            <w:tcBorders>
              <w:top w:val="nil"/>
              <w:left w:val="nil"/>
              <w:bottom w:val="nil"/>
              <w:right w:val="nil"/>
            </w:tcBorders>
            <w:tcMar>
              <w:top w:w="0" w:type="dxa"/>
              <w:left w:w="0" w:type="dxa"/>
              <w:bottom w:w="0" w:type="dxa"/>
              <w:right w:w="0" w:type="dxa"/>
            </w:tcMar>
            <w:hideMark/>
          </w:tcPr>
          <w:p w14:paraId="19D7FD29" w14:textId="77777777" w:rsidR="003E2D1E" w:rsidRPr="003E2D1E" w:rsidRDefault="003E2D1E" w:rsidP="003E2D1E">
            <w:pPr>
              <w:jc w:val="both"/>
              <w:rPr>
                <w:rFonts w:ascii="Verdana" w:hAnsi="Verdana"/>
                <w:sz w:val="22"/>
                <w:szCs w:val="22"/>
              </w:rPr>
            </w:pPr>
            <w:r w:rsidRPr="003E2D1E">
              <w:rPr>
                <w:rFonts w:ascii="Verdana" w:hAnsi="Verdana"/>
                <w:b/>
                <w:bCs/>
                <w:sz w:val="22"/>
                <w:szCs w:val="22"/>
              </w:rPr>
              <w:t>Para:</w:t>
            </w:r>
          </w:p>
        </w:tc>
        <w:tc>
          <w:tcPr>
            <w:tcW w:w="4256" w:type="pct"/>
            <w:tcBorders>
              <w:top w:val="nil"/>
              <w:left w:val="nil"/>
              <w:bottom w:val="nil"/>
              <w:right w:val="nil"/>
            </w:tcBorders>
            <w:tcMar>
              <w:top w:w="0" w:type="dxa"/>
              <w:left w:w="0" w:type="dxa"/>
              <w:bottom w:w="0" w:type="dxa"/>
              <w:right w:w="0" w:type="dxa"/>
            </w:tcMar>
            <w:hideMark/>
          </w:tcPr>
          <w:p w14:paraId="0E17D155" w14:textId="77777777" w:rsidR="003E2D1E" w:rsidRPr="003E2D1E" w:rsidRDefault="003E2D1E" w:rsidP="003E2D1E">
            <w:pPr>
              <w:jc w:val="both"/>
              <w:rPr>
                <w:rFonts w:ascii="Verdana" w:hAnsi="Verdana"/>
                <w:sz w:val="22"/>
                <w:szCs w:val="22"/>
              </w:rPr>
            </w:pPr>
            <w:r w:rsidRPr="003E2D1E">
              <w:rPr>
                <w:rFonts w:ascii="Verdana" w:hAnsi="Verdana"/>
                <w:sz w:val="22"/>
                <w:szCs w:val="22"/>
              </w:rPr>
              <w:t>Director Regional ICBF Chocó</w:t>
            </w:r>
          </w:p>
        </w:tc>
      </w:tr>
      <w:tr w:rsidR="003E2D1E" w:rsidRPr="003E2D1E" w14:paraId="77B997D9" w14:textId="77777777" w:rsidTr="003E2D1E">
        <w:trPr>
          <w:tblCellSpacing w:w="15" w:type="dxa"/>
        </w:trPr>
        <w:tc>
          <w:tcPr>
            <w:tcW w:w="693" w:type="pct"/>
            <w:tcBorders>
              <w:top w:val="nil"/>
              <w:left w:val="nil"/>
              <w:bottom w:val="nil"/>
              <w:right w:val="nil"/>
            </w:tcBorders>
            <w:tcMar>
              <w:top w:w="0" w:type="dxa"/>
              <w:left w:w="0" w:type="dxa"/>
              <w:bottom w:w="0" w:type="dxa"/>
              <w:right w:w="0" w:type="dxa"/>
            </w:tcMar>
            <w:hideMark/>
          </w:tcPr>
          <w:p w14:paraId="51B59E2D" w14:textId="77777777" w:rsidR="003E2D1E" w:rsidRPr="003E2D1E" w:rsidRDefault="003E2D1E" w:rsidP="003E2D1E">
            <w:pPr>
              <w:jc w:val="both"/>
              <w:rPr>
                <w:rFonts w:ascii="Verdana" w:hAnsi="Verdana"/>
                <w:sz w:val="22"/>
                <w:szCs w:val="22"/>
              </w:rPr>
            </w:pPr>
            <w:r w:rsidRPr="003E2D1E">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3F81F5A5" w14:textId="77777777" w:rsidR="003E2D1E" w:rsidRPr="003E2D1E" w:rsidRDefault="003E2D1E" w:rsidP="003E2D1E">
            <w:pPr>
              <w:jc w:val="both"/>
              <w:rPr>
                <w:rFonts w:ascii="Verdana" w:hAnsi="Verdana"/>
                <w:sz w:val="22"/>
                <w:szCs w:val="22"/>
              </w:rPr>
            </w:pPr>
            <w:r w:rsidRPr="003E2D1E">
              <w:rPr>
                <w:rFonts w:ascii="Verdana" w:hAnsi="Verdana"/>
                <w:sz w:val="22"/>
                <w:szCs w:val="22"/>
              </w:rPr>
              <w:t>Solicitud de concepto de acuerdo ha radicado No. 444818 del 6 de septiembre de 2017.</w:t>
            </w:r>
          </w:p>
        </w:tc>
      </w:tr>
    </w:tbl>
    <w:p w14:paraId="26036907" w14:textId="7EA83AA4" w:rsidR="003E2D1E" w:rsidRPr="003E2D1E" w:rsidRDefault="003E2D1E" w:rsidP="003E2D1E">
      <w:pPr>
        <w:jc w:val="both"/>
        <w:rPr>
          <w:rFonts w:ascii="Verdana" w:hAnsi="Verdana"/>
          <w:sz w:val="22"/>
          <w:szCs w:val="22"/>
        </w:rPr>
      </w:pPr>
      <w:r w:rsidRPr="003E2D1E">
        <w:rPr>
          <w:rFonts w:ascii="Verdana" w:hAnsi="Verdana"/>
          <w:sz w:val="22"/>
          <w:szCs w:val="22"/>
        </w:rPr>
        <w:t>De manera atenta, en relación con el asunto de la referencia, en los términos previstos en los artículos 26 del Código Civil, Ley 1755 de 2015, y el artículo 6, numeral 4, del Decreto 987 de 2012, se responde la consulta, sobre el caso en cuestión, en los términos que siguen:</w:t>
      </w:r>
    </w:p>
    <w:p w14:paraId="6BE0FB7F" w14:textId="77777777" w:rsidR="003E2D1E" w:rsidRPr="003E2D1E" w:rsidRDefault="003E2D1E" w:rsidP="003E2D1E">
      <w:pPr>
        <w:jc w:val="both"/>
        <w:rPr>
          <w:rFonts w:ascii="Verdana" w:hAnsi="Verdana"/>
          <w:sz w:val="22"/>
          <w:szCs w:val="22"/>
        </w:rPr>
      </w:pPr>
      <w:r w:rsidRPr="003E2D1E">
        <w:rPr>
          <w:rFonts w:ascii="Verdana" w:hAnsi="Verdana"/>
          <w:b/>
          <w:bCs/>
          <w:sz w:val="22"/>
          <w:szCs w:val="22"/>
          <w:u w:val="single"/>
        </w:rPr>
        <w:t>1. PROBLEMA JURÍDICO</w:t>
      </w:r>
    </w:p>
    <w:p w14:paraId="311D1BB1" w14:textId="77777777" w:rsidR="003E2D1E" w:rsidRPr="003E2D1E" w:rsidRDefault="003E2D1E" w:rsidP="003E2D1E">
      <w:pPr>
        <w:jc w:val="both"/>
        <w:rPr>
          <w:rFonts w:ascii="Verdana" w:hAnsi="Verdana"/>
          <w:sz w:val="22"/>
          <w:szCs w:val="22"/>
        </w:rPr>
      </w:pPr>
      <w:r w:rsidRPr="003E2D1E">
        <w:rPr>
          <w:rFonts w:ascii="Verdana" w:hAnsi="Verdana"/>
          <w:sz w:val="22"/>
          <w:szCs w:val="22"/>
        </w:rPr>
        <w:t>¿La personería jurídica expedida por el ICBF sirve para contratar modalidades en cualquier Regional?</w:t>
      </w:r>
    </w:p>
    <w:p w14:paraId="44BC2626" w14:textId="77777777" w:rsidR="003E2D1E" w:rsidRPr="003E2D1E" w:rsidRDefault="003E2D1E" w:rsidP="003E2D1E">
      <w:pPr>
        <w:jc w:val="both"/>
        <w:rPr>
          <w:rFonts w:ascii="Verdana" w:hAnsi="Verdana"/>
          <w:sz w:val="22"/>
          <w:szCs w:val="22"/>
        </w:rPr>
      </w:pPr>
      <w:r w:rsidRPr="003E2D1E">
        <w:rPr>
          <w:rFonts w:ascii="Verdana" w:hAnsi="Verdana"/>
          <w:b/>
          <w:bCs/>
          <w:sz w:val="22"/>
          <w:szCs w:val="22"/>
          <w:u w:val="single"/>
        </w:rPr>
        <w:t>2. ANÁLISIS DEL PROBLEMA JURÍDICO</w:t>
      </w:r>
    </w:p>
    <w:p w14:paraId="01105946" w14:textId="77777777" w:rsidR="003E2D1E" w:rsidRPr="003E2D1E" w:rsidRDefault="003E2D1E" w:rsidP="003E2D1E">
      <w:pPr>
        <w:jc w:val="both"/>
        <w:rPr>
          <w:rFonts w:ascii="Verdana" w:hAnsi="Verdana"/>
          <w:sz w:val="22"/>
          <w:szCs w:val="22"/>
        </w:rPr>
      </w:pPr>
      <w:r w:rsidRPr="003E2D1E">
        <w:rPr>
          <w:rFonts w:ascii="Verdana" w:hAnsi="Verdana"/>
          <w:sz w:val="22"/>
          <w:szCs w:val="22"/>
        </w:rPr>
        <w:t>Se abordará el tema analizando: (2.1) Generalidades de las Personas Jurídicas y (2.2) Competencia del ICBF en et otorgamiento de personerías jurídicas.</w:t>
      </w:r>
    </w:p>
    <w:p w14:paraId="6B3D8142" w14:textId="77777777" w:rsidR="003E2D1E" w:rsidRPr="003E2D1E" w:rsidRDefault="003E2D1E" w:rsidP="003E2D1E">
      <w:pPr>
        <w:jc w:val="both"/>
        <w:rPr>
          <w:rFonts w:ascii="Verdana" w:hAnsi="Verdana"/>
          <w:sz w:val="22"/>
          <w:szCs w:val="22"/>
        </w:rPr>
      </w:pPr>
      <w:r w:rsidRPr="003E2D1E">
        <w:rPr>
          <w:rFonts w:ascii="Verdana" w:hAnsi="Verdana"/>
          <w:b/>
          <w:bCs/>
          <w:sz w:val="22"/>
          <w:szCs w:val="22"/>
          <w:u w:val="single"/>
        </w:rPr>
        <w:t>(2.1.) Generalidades de las Personas Jurídicas</w:t>
      </w:r>
    </w:p>
    <w:p w14:paraId="3194AEF9" w14:textId="21E12ABE" w:rsidR="003E2D1E" w:rsidRPr="003E2D1E" w:rsidRDefault="003E2D1E" w:rsidP="003E2D1E">
      <w:pPr>
        <w:jc w:val="both"/>
        <w:rPr>
          <w:rFonts w:ascii="Verdana" w:hAnsi="Verdana"/>
          <w:sz w:val="22"/>
          <w:szCs w:val="22"/>
        </w:rPr>
      </w:pPr>
      <w:r w:rsidRPr="003E2D1E">
        <w:rPr>
          <w:rFonts w:ascii="Verdana" w:hAnsi="Verdana"/>
          <w:sz w:val="22"/>
          <w:szCs w:val="22"/>
        </w:rPr>
        <w:t>De acuerdo con lo estableado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30095E59" w14:textId="4603B07C" w:rsidR="003E2D1E" w:rsidRPr="003E2D1E" w:rsidRDefault="003E2D1E" w:rsidP="003E2D1E">
      <w:pPr>
        <w:jc w:val="both"/>
        <w:rPr>
          <w:rFonts w:ascii="Verdana" w:hAnsi="Verdana"/>
          <w:sz w:val="22"/>
          <w:szCs w:val="22"/>
        </w:rPr>
      </w:pPr>
      <w:r w:rsidRPr="003E2D1E">
        <w:rPr>
          <w:rFonts w:ascii="Verdana" w:hAnsi="Verdana"/>
          <w:sz w:val="22"/>
          <w:szCs w:val="22"/>
        </w:rPr>
        <w:t>En este sentido es preciso mencionar que se llaman personas jurídicas</w:t>
      </w:r>
      <w:r w:rsidRPr="003E2D1E">
        <w:rPr>
          <w:rFonts w:ascii="Verdana" w:hAnsi="Verdana"/>
          <w:b/>
          <w:bCs/>
          <w:sz w:val="22"/>
          <w:szCs w:val="22"/>
          <w:vertAlign w:val="superscript"/>
        </w:rPr>
        <w:t>[1]</w:t>
      </w:r>
      <w:r w:rsidRPr="003E2D1E">
        <w:rPr>
          <w:rFonts w:ascii="Verdana" w:hAnsi="Verdana"/>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727558A4" w14:textId="77777777" w:rsidR="003E2D1E" w:rsidRPr="003E2D1E" w:rsidRDefault="003E2D1E" w:rsidP="003E2D1E">
      <w:pPr>
        <w:jc w:val="both"/>
        <w:rPr>
          <w:rFonts w:ascii="Verdana" w:hAnsi="Verdana"/>
          <w:sz w:val="22"/>
          <w:szCs w:val="22"/>
        </w:rPr>
      </w:pPr>
      <w:r w:rsidRPr="003E2D1E">
        <w:rPr>
          <w:rFonts w:ascii="Verdana" w:hAnsi="Verdana"/>
          <w:sz w:val="22"/>
          <w:szCs w:val="22"/>
        </w:rPr>
        <w:t xml:space="preserve">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fundones específicas desempeñan cada uno, quienes ejerce representación extrajudicial y judicial y hasta donde se extiende e! derecho de representación es indispensable conocer sus estatutos, </w:t>
      </w:r>
      <w:r w:rsidRPr="003E2D1E">
        <w:rPr>
          <w:rFonts w:ascii="Verdana" w:hAnsi="Verdana"/>
          <w:sz w:val="22"/>
          <w:szCs w:val="22"/>
        </w:rPr>
        <w:lastRenderedPageBreak/>
        <w:t>es decir las reglas de su constitución toda vez que es allí donde aparece su estructura y su modo de actuar en el campo civil.</w:t>
      </w:r>
    </w:p>
    <w:p w14:paraId="1AD68364" w14:textId="77777777" w:rsidR="003E2D1E" w:rsidRPr="003E2D1E" w:rsidRDefault="003E2D1E" w:rsidP="003E2D1E">
      <w:pPr>
        <w:jc w:val="both"/>
        <w:rPr>
          <w:rFonts w:ascii="Verdana" w:hAnsi="Verdana"/>
          <w:sz w:val="22"/>
          <w:szCs w:val="22"/>
        </w:rPr>
      </w:pPr>
      <w:r w:rsidRPr="003E2D1E">
        <w:rPr>
          <w:rFonts w:ascii="Verdana" w:hAnsi="Verdana"/>
          <w:sz w:val="22"/>
          <w:szCs w:val="22"/>
        </w:rPr>
        <w:t>Así las cosas se hace necesario precisar que el objeto y la capacidad contractual se limitan a lo establecido en los estatutos y demás disposiciones que regulan la forma de actuar de la persona jurídica.</w:t>
      </w:r>
    </w:p>
    <w:p w14:paraId="327B57E3" w14:textId="77777777" w:rsidR="003E2D1E" w:rsidRPr="003E2D1E" w:rsidRDefault="003E2D1E" w:rsidP="003E2D1E">
      <w:pPr>
        <w:jc w:val="both"/>
        <w:rPr>
          <w:rFonts w:ascii="Verdana" w:hAnsi="Verdana"/>
          <w:sz w:val="22"/>
          <w:szCs w:val="22"/>
        </w:rPr>
      </w:pPr>
      <w:r w:rsidRPr="003E2D1E">
        <w:rPr>
          <w:rFonts w:ascii="Verdana" w:hAnsi="Verdana"/>
          <w:b/>
          <w:bCs/>
          <w:sz w:val="22"/>
          <w:szCs w:val="22"/>
          <w:u w:val="single"/>
        </w:rPr>
        <w:t>(2.21) Competencia del ICBF en el otorgamiento de personerías jurídicas</w:t>
      </w:r>
    </w:p>
    <w:p w14:paraId="40E78106" w14:textId="019E4648" w:rsidR="003E2D1E" w:rsidRPr="003E2D1E" w:rsidRDefault="003E2D1E" w:rsidP="003E2D1E">
      <w:pPr>
        <w:jc w:val="both"/>
        <w:rPr>
          <w:rFonts w:ascii="Verdana" w:hAnsi="Verdana"/>
          <w:sz w:val="22"/>
          <w:szCs w:val="22"/>
        </w:rPr>
      </w:pPr>
      <w:r w:rsidRPr="003E2D1E">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0C4D89B1" w14:textId="44A6A78B" w:rsidR="003E2D1E" w:rsidRPr="003E2D1E" w:rsidRDefault="003E2D1E" w:rsidP="003E2D1E">
      <w:pPr>
        <w:jc w:val="both"/>
        <w:rPr>
          <w:rFonts w:ascii="Verdana" w:hAnsi="Verdana"/>
          <w:sz w:val="22"/>
          <w:szCs w:val="22"/>
        </w:rPr>
      </w:pPr>
      <w:r w:rsidRPr="003E2D1E">
        <w:rPr>
          <w:rFonts w:ascii="Verdana" w:hAnsi="Verdana"/>
          <w:sz w:val="22"/>
          <w:szCs w:val="22"/>
        </w:rPr>
        <w:t>En cumplimiento de lo anterior el numeral 8 del artículo 21 de la Ley 7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15A7FBDB" w14:textId="18A4BA8F" w:rsidR="003E2D1E" w:rsidRPr="003E2D1E" w:rsidRDefault="003E2D1E" w:rsidP="003E2D1E">
      <w:pPr>
        <w:jc w:val="both"/>
        <w:rPr>
          <w:rFonts w:ascii="Verdana" w:hAnsi="Verdana"/>
          <w:sz w:val="22"/>
          <w:szCs w:val="22"/>
        </w:rPr>
      </w:pPr>
      <w:r w:rsidRPr="003E2D1E">
        <w:rPr>
          <w:rFonts w:ascii="Verdana" w:hAnsi="Verdana"/>
          <w:sz w:val="22"/>
          <w:szCs w:val="22"/>
        </w:rPr>
        <w:t>Igualmente el Decreto 276</w:t>
      </w:r>
      <w:r w:rsidRPr="003E2D1E">
        <w:rPr>
          <w:rFonts w:ascii="Verdana" w:hAnsi="Verdana"/>
          <w:b/>
          <w:bCs/>
          <w:sz w:val="22"/>
          <w:szCs w:val="22"/>
          <w:vertAlign w:val="superscript"/>
        </w:rPr>
        <w:t>[2]</w:t>
      </w:r>
      <w:r w:rsidRPr="003E2D1E">
        <w:rPr>
          <w:rFonts w:ascii="Verdana" w:hAnsi="Verdana"/>
          <w:sz w:val="22"/>
          <w:szCs w:val="22"/>
        </w:rPr>
        <w:t> de 1988, estableció en su artículo 2 como una de las funciones del ICBF </w:t>
      </w:r>
      <w:r w:rsidRPr="003E2D1E">
        <w:rPr>
          <w:rFonts w:ascii="Verdana" w:hAnsi="Verdana"/>
          <w:i/>
          <w:iCs/>
          <w:sz w:val="22"/>
          <w:szCs w:val="22"/>
        </w:rPr>
        <w:t>(...) n) Otorgar, conceder y suspender personerías jurídicas y licencias de funcionamiento a las Instituciones de utilidad común, que presten el servicio de Bienestar Familiar.</w:t>
      </w:r>
    </w:p>
    <w:p w14:paraId="6875CF02" w14:textId="0B0DF901" w:rsidR="003E2D1E" w:rsidRPr="003E2D1E" w:rsidRDefault="003E2D1E" w:rsidP="003E2D1E">
      <w:pPr>
        <w:jc w:val="both"/>
        <w:rPr>
          <w:rFonts w:ascii="Verdana" w:hAnsi="Verdana"/>
          <w:sz w:val="22"/>
          <w:szCs w:val="22"/>
        </w:rPr>
      </w:pPr>
      <w:r w:rsidRPr="003E2D1E">
        <w:rPr>
          <w:rFonts w:ascii="Verdana" w:hAnsi="Verdana"/>
          <w:sz w:val="22"/>
          <w:szCs w:val="22"/>
        </w:rPr>
        <w:t>El inciso 2 del artículo 16 del Código de la Infancia y la Adolescencia señala: </w:t>
      </w:r>
      <w:r w:rsidRPr="003E2D1E">
        <w:rPr>
          <w:rFonts w:ascii="Verdana" w:hAnsi="Verdana"/>
          <w:i/>
          <w:iCs/>
          <w:sz w:val="22"/>
          <w:szCs w:val="22"/>
        </w:rPr>
        <w:t>“(…)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desarropen el programa de adopción”.</w:t>
      </w:r>
    </w:p>
    <w:p w14:paraId="0A936063" w14:textId="7591EBED" w:rsidR="003E2D1E" w:rsidRPr="003E2D1E" w:rsidRDefault="003E2D1E" w:rsidP="003E2D1E">
      <w:pPr>
        <w:jc w:val="both"/>
        <w:rPr>
          <w:rFonts w:ascii="Verdana" w:hAnsi="Verdana"/>
          <w:sz w:val="22"/>
          <w:szCs w:val="22"/>
        </w:rPr>
      </w:pPr>
      <w:r w:rsidRPr="003E2D1E">
        <w:rPr>
          <w:rFonts w:ascii="Verdana" w:hAnsi="Verdana"/>
          <w:sz w:val="22"/>
          <w:szCs w:val="22"/>
        </w:rPr>
        <w:t>En este sentido mediante Resolución No. 3899 del 8 de septiembre de 2010, modificada por las resoluciones Nos. 3435 y 9555 de 2016,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tos organismos acreditados para desarrollar el Programa de adopción internacional.</w:t>
      </w:r>
    </w:p>
    <w:p w14:paraId="52E57594" w14:textId="51C67B6F" w:rsidR="003E2D1E" w:rsidRPr="003E2D1E" w:rsidRDefault="003E2D1E" w:rsidP="003E2D1E">
      <w:pPr>
        <w:jc w:val="both"/>
        <w:rPr>
          <w:rFonts w:ascii="Verdana" w:hAnsi="Verdana"/>
          <w:sz w:val="22"/>
          <w:szCs w:val="22"/>
        </w:rPr>
      </w:pPr>
      <w:r w:rsidRPr="003E2D1E">
        <w:rPr>
          <w:rFonts w:ascii="Verdana" w:hAnsi="Verdana"/>
          <w:sz w:val="22"/>
          <w:szCs w:val="22"/>
        </w:rPr>
        <w:lastRenderedPageBreak/>
        <w:t>En virtud de lo establecido en el artículo 2 de la citada resolución, sus disposiciones se aplican a</w:t>
      </w:r>
      <w:r w:rsidRPr="003E2D1E">
        <w:rPr>
          <w:rFonts w:ascii="Verdana" w:hAnsi="Verdana"/>
          <w:i/>
          <w:iCs/>
          <w:sz w:val="22"/>
          <w:szCs w:val="22"/>
        </w:rPr>
        <w:t> “(...) las personas jurídicas nacionales o internacionales que presten servicios de protección integral dirigidos a niños</w:t>
      </w:r>
      <w:r w:rsidRPr="003E2D1E">
        <w:rPr>
          <w:rFonts w:ascii="Verdana" w:hAnsi="Verdana"/>
          <w:b/>
          <w:bCs/>
          <w:i/>
          <w:iCs/>
          <w:sz w:val="22"/>
          <w:szCs w:val="22"/>
        </w:rPr>
        <w:t>, </w:t>
      </w:r>
      <w:r w:rsidRPr="003E2D1E">
        <w:rPr>
          <w:rFonts w:ascii="Verdana" w:hAnsi="Verdana"/>
          <w:i/>
          <w:iCs/>
          <w:sz w:val="22"/>
          <w:szCs w:val="22"/>
        </w:rPr>
        <w:t>niñas o adolescentes y a sus familias en el territorio nacional</w:t>
      </w:r>
      <w:r w:rsidRPr="003E2D1E">
        <w:rPr>
          <w:rFonts w:ascii="Verdana" w:hAnsi="Verdana"/>
          <w:b/>
          <w:bCs/>
          <w:i/>
          <w:iCs/>
          <w:sz w:val="22"/>
          <w:szCs w:val="22"/>
        </w:rPr>
        <w:t>, </w:t>
      </w:r>
      <w:r w:rsidRPr="003E2D1E">
        <w:rPr>
          <w:rFonts w:ascii="Verdana" w:hAnsi="Verdana"/>
          <w:i/>
          <w:iCs/>
          <w:sz w:val="22"/>
          <w:szCs w:val="22"/>
        </w:rPr>
        <w:t>bien sea que cuenten con personería jurídica expedida por el ICBF o por autoridades diferentes, sin perjuicio de los regímenes especiales o excepcionales que rijan a poblaciones especiales tales como afro-colombianas, indígenas, raizales y ROM.</w:t>
      </w:r>
    </w:p>
    <w:p w14:paraId="47DC90C6" w14:textId="072F07AF" w:rsidR="003E2D1E" w:rsidRPr="003E2D1E" w:rsidRDefault="003E2D1E" w:rsidP="003E2D1E">
      <w:pPr>
        <w:jc w:val="both"/>
        <w:rPr>
          <w:rFonts w:ascii="Verdana" w:hAnsi="Verdana"/>
          <w:sz w:val="22"/>
          <w:szCs w:val="22"/>
        </w:rPr>
      </w:pPr>
      <w:r w:rsidRPr="003E2D1E">
        <w:rPr>
          <w:rFonts w:ascii="Verdana" w:hAnsi="Verdana"/>
          <w:sz w:val="22"/>
          <w:szCs w:val="22"/>
        </w:rPr>
        <w:t>El artículo 7 y 8 de la Resolución 3899 de 2010 modificado por la Resolución No. 3435 y 9555 de 2016, establecen los requisitos y trámite que se deben tener en cuenta por parte de los interesados para el obtener el reconocimiento u otorgamiento de personería jurídica por el ICBF y pertenecer al Sistema Nacional de Bienestar Familiar.</w:t>
      </w:r>
    </w:p>
    <w:p w14:paraId="73AAC5E2" w14:textId="77777777" w:rsidR="003E2D1E" w:rsidRPr="003E2D1E" w:rsidRDefault="003E2D1E" w:rsidP="003E2D1E">
      <w:pPr>
        <w:jc w:val="both"/>
        <w:rPr>
          <w:rFonts w:ascii="Verdana" w:hAnsi="Verdana"/>
          <w:sz w:val="22"/>
          <w:szCs w:val="22"/>
        </w:rPr>
      </w:pPr>
      <w:r w:rsidRPr="003E2D1E">
        <w:rPr>
          <w:rFonts w:ascii="Verdana" w:hAnsi="Verdana"/>
          <w:b/>
          <w:bCs/>
          <w:sz w:val="22"/>
          <w:szCs w:val="22"/>
        </w:rPr>
        <w:t>3. CONCLUSIÓN</w:t>
      </w:r>
    </w:p>
    <w:p w14:paraId="797653A7" w14:textId="5138F4AC" w:rsidR="003E2D1E" w:rsidRPr="003E2D1E" w:rsidRDefault="003E2D1E" w:rsidP="003E2D1E">
      <w:pPr>
        <w:jc w:val="both"/>
        <w:rPr>
          <w:rFonts w:ascii="Verdana" w:hAnsi="Verdana"/>
          <w:sz w:val="22"/>
          <w:szCs w:val="22"/>
        </w:rPr>
      </w:pPr>
      <w:r w:rsidRPr="003E2D1E">
        <w:rPr>
          <w:rFonts w:ascii="Verdana" w:hAnsi="Verdana"/>
          <w:b/>
          <w:bCs/>
          <w:sz w:val="22"/>
          <w:szCs w:val="22"/>
        </w:rPr>
        <w:t>Primera</w:t>
      </w:r>
      <w:r w:rsidRPr="003E2D1E">
        <w:rPr>
          <w:rFonts w:ascii="Verdana" w:hAnsi="Verdana"/>
          <w:sz w:val="22"/>
          <w:szCs w:val="22"/>
        </w:rPr>
        <w:t>: La personería jurídica otorgada o reconocida por el ICBF, sirve para que un operador desarrolle modalidades en cualquiera de las regionales del ICBF, una vez se cumpla con los demás requisitos exigidos en la Resolución 3899 de 2010, modificada por las Resoluciones 3435 y 955 de 2016.</w:t>
      </w:r>
    </w:p>
    <w:p w14:paraId="4B7424E1" w14:textId="0C34B7EB" w:rsidR="003E2D1E" w:rsidRPr="003E2D1E" w:rsidRDefault="003E2D1E" w:rsidP="003E2D1E">
      <w:pPr>
        <w:jc w:val="both"/>
        <w:rPr>
          <w:rFonts w:ascii="Verdana" w:hAnsi="Verdana"/>
          <w:sz w:val="22"/>
          <w:szCs w:val="22"/>
        </w:rPr>
      </w:pPr>
      <w:r w:rsidRPr="003E2D1E">
        <w:rPr>
          <w:rFonts w:ascii="Verdana" w:hAnsi="Verdana"/>
          <w:sz w:val="22"/>
          <w:szCs w:val="22"/>
        </w:rPr>
        <w:t>Es importante precisar que. para futuras solicitudes de concepto ante esta Oficina, las mismas debe cumplirse con lo establecido en la Circular N° 002 del enero de 2012, en el sentido de indicar: i) la exposición suscita del asunto y sus antecedentes más sobresalientes; ii) motivación de la dificultad que ofrezca la interpretación o aplicación de la norma o (a necesidad de fijar su alcance y; iii) cuando la solicitud de concepto provenga de una Dirección Regional, debe ser suscrita por el Director Regional o por el Coordinador Jurídico, con el pronunciamiento del Coordinador.</w:t>
      </w:r>
    </w:p>
    <w:p w14:paraId="41B7A547" w14:textId="0D170E9B" w:rsidR="003E2D1E" w:rsidRPr="003E2D1E" w:rsidRDefault="003E2D1E" w:rsidP="003E2D1E">
      <w:pPr>
        <w:jc w:val="both"/>
        <w:rPr>
          <w:rFonts w:ascii="Verdana" w:hAnsi="Verdana"/>
          <w:sz w:val="22"/>
          <w:szCs w:val="22"/>
        </w:rPr>
      </w:pPr>
      <w:r w:rsidRPr="003E2D1E">
        <w:rPr>
          <w:rFonts w:ascii="Verdana" w:hAnsi="Verdana"/>
          <w:sz w:val="22"/>
          <w:szCs w:val="22"/>
        </w:rPr>
        <w:t>Por último, es preciso indicar que el presente concepto</w:t>
      </w:r>
      <w:r w:rsidRPr="003E2D1E">
        <w:rPr>
          <w:rFonts w:ascii="Verdana" w:hAnsi="Verdana"/>
          <w:b/>
          <w:bCs/>
          <w:sz w:val="22"/>
          <w:szCs w:val="22"/>
          <w:vertAlign w:val="superscript"/>
        </w:rPr>
        <w:t>[3]</w:t>
      </w:r>
      <w:r w:rsidRPr="003E2D1E">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fundones del Instituto, de conformidad con los numerales 8 y 15 del artículo 6 del Decreto 987 de 2012.</w:t>
      </w:r>
    </w:p>
    <w:p w14:paraId="3D4C70F5" w14:textId="77777777" w:rsidR="003E2D1E" w:rsidRPr="003E2D1E" w:rsidRDefault="003E2D1E" w:rsidP="003E2D1E">
      <w:pPr>
        <w:jc w:val="both"/>
        <w:rPr>
          <w:rFonts w:ascii="Verdana" w:hAnsi="Verdana"/>
          <w:sz w:val="22"/>
          <w:szCs w:val="22"/>
        </w:rPr>
      </w:pPr>
      <w:r w:rsidRPr="003E2D1E">
        <w:rPr>
          <w:rFonts w:ascii="Verdana" w:hAnsi="Verdana"/>
          <w:sz w:val="22"/>
          <w:szCs w:val="22"/>
        </w:rPr>
        <w:t>Cordialmente</w:t>
      </w:r>
    </w:p>
    <w:p w14:paraId="38962A84" w14:textId="77777777" w:rsidR="003E2D1E" w:rsidRPr="003E2D1E" w:rsidRDefault="003E2D1E" w:rsidP="003E2D1E">
      <w:pPr>
        <w:jc w:val="both"/>
        <w:rPr>
          <w:rFonts w:ascii="Verdana" w:hAnsi="Verdana"/>
          <w:sz w:val="22"/>
          <w:szCs w:val="22"/>
        </w:rPr>
      </w:pPr>
      <w:r w:rsidRPr="003E2D1E">
        <w:rPr>
          <w:rFonts w:ascii="Verdana" w:hAnsi="Verdana"/>
          <w:b/>
          <w:bCs/>
          <w:sz w:val="22"/>
          <w:szCs w:val="22"/>
        </w:rPr>
        <w:t>LUZ KARIME FERNANDEZ CASTILLO</w:t>
      </w:r>
    </w:p>
    <w:p w14:paraId="73E9D6AD" w14:textId="77777777" w:rsidR="003E2D1E" w:rsidRDefault="003E2D1E" w:rsidP="003E2D1E">
      <w:pPr>
        <w:jc w:val="both"/>
        <w:rPr>
          <w:rFonts w:ascii="Verdana" w:hAnsi="Verdana"/>
          <w:sz w:val="22"/>
          <w:szCs w:val="22"/>
        </w:rPr>
      </w:pPr>
      <w:r w:rsidRPr="003E2D1E">
        <w:rPr>
          <w:rFonts w:ascii="Verdana" w:hAnsi="Verdana"/>
          <w:sz w:val="22"/>
          <w:szCs w:val="22"/>
        </w:rPr>
        <w:t>Jefe Oficina Asesora Jurídica</w:t>
      </w:r>
    </w:p>
    <w:p w14:paraId="7337E1AE" w14:textId="77777777" w:rsidR="003E2D1E" w:rsidRPr="003E2D1E" w:rsidRDefault="003E2D1E" w:rsidP="003E2D1E">
      <w:pPr>
        <w:jc w:val="both"/>
        <w:rPr>
          <w:rFonts w:ascii="Verdana" w:hAnsi="Verdana"/>
          <w:sz w:val="22"/>
          <w:szCs w:val="22"/>
        </w:rPr>
      </w:pPr>
    </w:p>
    <w:p w14:paraId="6CDDAB0C" w14:textId="5C81437A" w:rsidR="003E2D1E" w:rsidRPr="003E2D1E" w:rsidRDefault="003E2D1E" w:rsidP="003E2D1E">
      <w:pPr>
        <w:jc w:val="both"/>
        <w:rPr>
          <w:rFonts w:ascii="Verdana" w:hAnsi="Verdana"/>
          <w:sz w:val="22"/>
          <w:szCs w:val="22"/>
          <w:lang w:val="pt-PT"/>
        </w:rPr>
      </w:pPr>
      <w:r w:rsidRPr="003E2D1E">
        <w:rPr>
          <w:rFonts w:ascii="Verdana" w:hAnsi="Verdana"/>
          <w:b/>
          <w:bCs/>
          <w:sz w:val="22"/>
          <w:szCs w:val="22"/>
          <w:lang w:val="pt-PT"/>
        </w:rPr>
        <w:t>Notas p</w:t>
      </w:r>
      <w:r>
        <w:rPr>
          <w:rFonts w:ascii="Verdana" w:hAnsi="Verdana"/>
          <w:b/>
          <w:bCs/>
          <w:sz w:val="22"/>
          <w:szCs w:val="22"/>
          <w:lang w:val="pt-PT"/>
        </w:rPr>
        <w:t>ie de página:</w:t>
      </w:r>
    </w:p>
    <w:p w14:paraId="0EF7E379" w14:textId="555EA386" w:rsidR="003E2D1E" w:rsidRPr="003E2D1E" w:rsidRDefault="003E2D1E" w:rsidP="003E2D1E">
      <w:pPr>
        <w:jc w:val="both"/>
        <w:rPr>
          <w:rFonts w:ascii="Verdana" w:hAnsi="Verdana"/>
          <w:sz w:val="22"/>
          <w:szCs w:val="22"/>
          <w:lang w:val="pt-PT"/>
        </w:rPr>
      </w:pPr>
      <w:bookmarkStart w:id="0" w:name="NF1"/>
      <w:r w:rsidRPr="003E2D1E">
        <w:rPr>
          <w:rFonts w:ascii="Verdana" w:hAnsi="Verdana"/>
          <w:sz w:val="22"/>
          <w:szCs w:val="22"/>
          <w:lang w:val="pt-PT"/>
        </w:rPr>
        <w:t>1.</w:t>
      </w:r>
      <w:bookmarkEnd w:id="0"/>
      <w:r w:rsidRPr="003E2D1E">
        <w:rPr>
          <w:rFonts w:ascii="Verdana" w:hAnsi="Verdana"/>
          <w:sz w:val="22"/>
          <w:szCs w:val="22"/>
          <w:lang w:val="pt-PT"/>
        </w:rPr>
        <w:t> Artículo 633 Código Civil.</w:t>
      </w:r>
    </w:p>
    <w:p w14:paraId="56DE5307" w14:textId="77777777" w:rsidR="003E2D1E" w:rsidRPr="003E2D1E" w:rsidRDefault="003E2D1E" w:rsidP="003E2D1E">
      <w:pPr>
        <w:jc w:val="both"/>
        <w:rPr>
          <w:rFonts w:ascii="Verdana" w:hAnsi="Verdana"/>
          <w:sz w:val="22"/>
          <w:szCs w:val="22"/>
        </w:rPr>
      </w:pPr>
      <w:bookmarkStart w:id="1" w:name="NF2"/>
      <w:r w:rsidRPr="003E2D1E">
        <w:rPr>
          <w:rFonts w:ascii="Verdana" w:hAnsi="Verdana"/>
          <w:sz w:val="22"/>
          <w:szCs w:val="22"/>
        </w:rPr>
        <w:t>2.</w:t>
      </w:r>
      <w:bookmarkEnd w:id="1"/>
      <w:r w:rsidRPr="003E2D1E">
        <w:rPr>
          <w:rFonts w:ascii="Verdana" w:hAnsi="Verdana"/>
          <w:sz w:val="22"/>
          <w:szCs w:val="22"/>
        </w:rPr>
        <w:t> Por el cual se modifica parcialmente los estatutos del Instituto Colombiano de Bienestar Familiar.</w:t>
      </w:r>
    </w:p>
    <w:p w14:paraId="2A24049E" w14:textId="36569FBD" w:rsidR="003E2D1E" w:rsidRPr="003E2D1E" w:rsidRDefault="003E2D1E" w:rsidP="003E2D1E">
      <w:pPr>
        <w:jc w:val="both"/>
        <w:rPr>
          <w:rFonts w:ascii="Verdana" w:hAnsi="Verdana"/>
          <w:sz w:val="22"/>
          <w:szCs w:val="22"/>
        </w:rPr>
      </w:pPr>
      <w:r w:rsidRPr="003E2D1E">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tas decisiones administrativas e igualmente, te unidad en el desarrollo de las políticas y directrices generales trazadas por tos órganos superiores de la Administración, con lo cual se cumple el mandato del Constituyente contenido en el art 208 de la Constitución, en el sentido de que la función administrativa se desaíro Re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401CF64" w14:textId="77777777" w:rsidR="003E2D1E" w:rsidRPr="003E2D1E" w:rsidRDefault="003E2D1E" w:rsidP="003E2D1E">
      <w:pPr>
        <w:jc w:val="both"/>
        <w:rPr>
          <w:rFonts w:ascii="Verdana" w:hAnsi="Verdana"/>
          <w:sz w:val="22"/>
          <w:szCs w:val="22"/>
        </w:rPr>
      </w:pPr>
    </w:p>
    <w:sectPr w:rsidR="003E2D1E" w:rsidRPr="003E2D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1E"/>
    <w:rsid w:val="003E2D1E"/>
    <w:rsid w:val="008A38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5679"/>
  <w15:chartTrackingRefBased/>
  <w15:docId w15:val="{86D7F7F8-3C22-4959-82E3-BC6C1C13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2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2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2D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2D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2D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2D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2D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2D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2D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2D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2D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2D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2D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2D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2D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2D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2D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2D1E"/>
    <w:rPr>
      <w:rFonts w:eastAsiaTheme="majorEastAsia" w:cstheme="majorBidi"/>
      <w:color w:val="272727" w:themeColor="text1" w:themeTint="D8"/>
    </w:rPr>
  </w:style>
  <w:style w:type="paragraph" w:styleId="Ttulo">
    <w:name w:val="Title"/>
    <w:basedOn w:val="Normal"/>
    <w:next w:val="Normal"/>
    <w:link w:val="TtuloCar"/>
    <w:uiPriority w:val="10"/>
    <w:qFormat/>
    <w:rsid w:val="003E2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2D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2D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2D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2D1E"/>
    <w:pPr>
      <w:spacing w:before="160"/>
      <w:jc w:val="center"/>
    </w:pPr>
    <w:rPr>
      <w:i/>
      <w:iCs/>
      <w:color w:val="404040" w:themeColor="text1" w:themeTint="BF"/>
    </w:rPr>
  </w:style>
  <w:style w:type="character" w:customStyle="1" w:styleId="CitaCar">
    <w:name w:val="Cita Car"/>
    <w:basedOn w:val="Fuentedeprrafopredeter"/>
    <w:link w:val="Cita"/>
    <w:uiPriority w:val="29"/>
    <w:rsid w:val="003E2D1E"/>
    <w:rPr>
      <w:i/>
      <w:iCs/>
      <w:color w:val="404040" w:themeColor="text1" w:themeTint="BF"/>
    </w:rPr>
  </w:style>
  <w:style w:type="paragraph" w:styleId="Prrafodelista">
    <w:name w:val="List Paragraph"/>
    <w:basedOn w:val="Normal"/>
    <w:uiPriority w:val="34"/>
    <w:qFormat/>
    <w:rsid w:val="003E2D1E"/>
    <w:pPr>
      <w:ind w:left="720"/>
      <w:contextualSpacing/>
    </w:pPr>
  </w:style>
  <w:style w:type="character" w:styleId="nfasisintenso">
    <w:name w:val="Intense Emphasis"/>
    <w:basedOn w:val="Fuentedeprrafopredeter"/>
    <w:uiPriority w:val="21"/>
    <w:qFormat/>
    <w:rsid w:val="003E2D1E"/>
    <w:rPr>
      <w:i/>
      <w:iCs/>
      <w:color w:val="0F4761" w:themeColor="accent1" w:themeShade="BF"/>
    </w:rPr>
  </w:style>
  <w:style w:type="paragraph" w:styleId="Citadestacada">
    <w:name w:val="Intense Quote"/>
    <w:basedOn w:val="Normal"/>
    <w:next w:val="Normal"/>
    <w:link w:val="CitadestacadaCar"/>
    <w:uiPriority w:val="30"/>
    <w:qFormat/>
    <w:rsid w:val="003E2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2D1E"/>
    <w:rPr>
      <w:i/>
      <w:iCs/>
      <w:color w:val="0F4761" w:themeColor="accent1" w:themeShade="BF"/>
    </w:rPr>
  </w:style>
  <w:style w:type="character" w:styleId="Referenciaintensa">
    <w:name w:val="Intense Reference"/>
    <w:basedOn w:val="Fuentedeprrafopredeter"/>
    <w:uiPriority w:val="32"/>
    <w:qFormat/>
    <w:rsid w:val="003E2D1E"/>
    <w:rPr>
      <w:b/>
      <w:bCs/>
      <w:smallCaps/>
      <w:color w:val="0F4761" w:themeColor="accent1" w:themeShade="BF"/>
      <w:spacing w:val="5"/>
    </w:rPr>
  </w:style>
  <w:style w:type="character" w:styleId="Hipervnculo">
    <w:name w:val="Hyperlink"/>
    <w:basedOn w:val="Fuentedeprrafopredeter"/>
    <w:uiPriority w:val="99"/>
    <w:unhideWhenUsed/>
    <w:rsid w:val="003E2D1E"/>
    <w:rPr>
      <w:color w:val="467886" w:themeColor="hyperlink"/>
      <w:u w:val="single"/>
    </w:rPr>
  </w:style>
  <w:style w:type="character" w:styleId="Mencinsinresolver">
    <w:name w:val="Unresolved Mention"/>
    <w:basedOn w:val="Fuentedeprrafopredeter"/>
    <w:uiPriority w:val="99"/>
    <w:semiHidden/>
    <w:unhideWhenUsed/>
    <w:rsid w:val="003E2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6503B-CFB3-43D2-9713-08AF8318FB09}"/>
</file>

<file path=customXml/itemProps2.xml><?xml version="1.0" encoding="utf-8"?>
<ds:datastoreItem xmlns:ds="http://schemas.openxmlformats.org/officeDocument/2006/customXml" ds:itemID="{E59A1B29-AD4B-4DA4-80E1-EE4146870175}"/>
</file>

<file path=customXml/itemProps3.xml><?xml version="1.0" encoding="utf-8"?>
<ds:datastoreItem xmlns:ds="http://schemas.openxmlformats.org/officeDocument/2006/customXml" ds:itemID="{CAD57DCE-06C0-4BDB-BD7E-5D0249025CF0}"/>
</file>

<file path=docProps/app.xml><?xml version="1.0" encoding="utf-8"?>
<Properties xmlns="http://schemas.openxmlformats.org/officeDocument/2006/extended-properties" xmlns:vt="http://schemas.openxmlformats.org/officeDocument/2006/docPropsVTypes">
  <Template>Normal</Template>
  <TotalTime>1</TotalTime>
  <Pages>1</Pages>
  <Words>1376</Words>
  <Characters>7571</Characters>
  <Application>Microsoft Office Word</Application>
  <DocSecurity>0</DocSecurity>
  <Lines>63</Lines>
  <Paragraphs>17</Paragraphs>
  <ScaleCrop>false</ScaleCrop>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2026-04-30T20:31:00Z</dcterms:created>
  <dcterms:modified xsi:type="dcterms:W3CDTF">2026-04-30T20:32:00Z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