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B7B3" w14:textId="77777777" w:rsidR="00CA5F5D" w:rsidRPr="00CA5F5D" w:rsidRDefault="00CA5F5D" w:rsidP="00CA5F5D">
      <w:pPr>
        <w:jc w:val="center"/>
        <w:rPr>
          <w:rFonts w:ascii="Verdana" w:hAnsi="Verdana"/>
          <w:sz w:val="22"/>
          <w:szCs w:val="22"/>
        </w:rPr>
      </w:pPr>
      <w:r w:rsidRPr="00CA5F5D">
        <w:rPr>
          <w:rFonts w:ascii="Verdana" w:hAnsi="Verdana"/>
          <w:b/>
          <w:bCs/>
          <w:sz w:val="22"/>
          <w:szCs w:val="22"/>
        </w:rPr>
        <w:t>CONCEPTO 110 DE 2016</w:t>
      </w:r>
    </w:p>
    <w:p w14:paraId="27A6343B" w14:textId="77777777" w:rsidR="00CA5F5D" w:rsidRPr="00CA5F5D" w:rsidRDefault="00CA5F5D" w:rsidP="00CA5F5D">
      <w:pPr>
        <w:jc w:val="center"/>
        <w:rPr>
          <w:rFonts w:ascii="Verdana" w:hAnsi="Verdana"/>
          <w:sz w:val="22"/>
          <w:szCs w:val="22"/>
        </w:rPr>
      </w:pPr>
      <w:r w:rsidRPr="00CA5F5D">
        <w:rPr>
          <w:rFonts w:ascii="Verdana" w:hAnsi="Verdana"/>
          <w:sz w:val="22"/>
          <w:szCs w:val="22"/>
        </w:rPr>
        <w:t>(septiembre 16)</w:t>
      </w:r>
    </w:p>
    <w:p w14:paraId="4ABD0023" w14:textId="77777777" w:rsidR="00CA5F5D" w:rsidRPr="00CA5F5D" w:rsidRDefault="00CA5F5D" w:rsidP="00CA5F5D">
      <w:pPr>
        <w:jc w:val="center"/>
        <w:rPr>
          <w:rFonts w:ascii="Verdana" w:hAnsi="Verdana"/>
          <w:sz w:val="22"/>
          <w:szCs w:val="22"/>
        </w:rPr>
      </w:pPr>
      <w:r w:rsidRPr="00CA5F5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CA5F5D" w:rsidRPr="00CA5F5D" w14:paraId="013B43C3" w14:textId="77777777" w:rsidTr="00CA5F5D">
        <w:trPr>
          <w:tblCellSpacing w:w="15" w:type="dxa"/>
        </w:trPr>
        <w:tc>
          <w:tcPr>
            <w:tcW w:w="792" w:type="pct"/>
            <w:tcBorders>
              <w:top w:val="nil"/>
              <w:left w:val="nil"/>
              <w:bottom w:val="nil"/>
              <w:right w:val="nil"/>
            </w:tcBorders>
            <w:tcMar>
              <w:top w:w="0" w:type="dxa"/>
              <w:left w:w="0" w:type="dxa"/>
              <w:bottom w:w="0" w:type="dxa"/>
              <w:right w:w="0" w:type="dxa"/>
            </w:tcMar>
            <w:hideMark/>
          </w:tcPr>
          <w:p w14:paraId="7E272668" w14:textId="77777777" w:rsidR="00CA5F5D" w:rsidRPr="00CA5F5D" w:rsidRDefault="00CA5F5D" w:rsidP="00CA5F5D">
            <w:pPr>
              <w:jc w:val="both"/>
              <w:rPr>
                <w:rFonts w:ascii="Verdana" w:hAnsi="Verdana"/>
                <w:sz w:val="22"/>
                <w:szCs w:val="22"/>
              </w:rPr>
            </w:pPr>
            <w:r w:rsidRPr="00CA5F5D">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3EF968EE" w14:textId="77777777" w:rsidR="00CA5F5D" w:rsidRPr="00CA5F5D" w:rsidRDefault="00CA5F5D" w:rsidP="00CA5F5D">
            <w:pPr>
              <w:jc w:val="both"/>
              <w:rPr>
                <w:rFonts w:ascii="Verdana" w:hAnsi="Verdana"/>
                <w:sz w:val="22"/>
                <w:szCs w:val="22"/>
              </w:rPr>
            </w:pPr>
            <w:r w:rsidRPr="00CA5F5D">
              <w:rPr>
                <w:rFonts w:ascii="Verdana" w:hAnsi="Verdana"/>
                <w:sz w:val="22"/>
                <w:szCs w:val="22"/>
              </w:rPr>
              <w:t>Defensora de Familia Centro Zonal Montería</w:t>
            </w:r>
          </w:p>
        </w:tc>
      </w:tr>
      <w:tr w:rsidR="00CA5F5D" w:rsidRPr="00CA5F5D" w14:paraId="67D026CB" w14:textId="77777777" w:rsidTr="00CA5F5D">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9A34663" w14:textId="77777777" w:rsidR="00CA5F5D" w:rsidRPr="00CA5F5D" w:rsidRDefault="00CA5F5D" w:rsidP="00CA5F5D">
            <w:pPr>
              <w:jc w:val="both"/>
              <w:rPr>
                <w:rFonts w:ascii="Verdana" w:hAnsi="Verdana"/>
                <w:sz w:val="22"/>
                <w:szCs w:val="22"/>
              </w:rPr>
            </w:pPr>
            <w:r w:rsidRPr="00CA5F5D">
              <w:rPr>
                <w:rFonts w:ascii="Verdana" w:hAnsi="Verdana"/>
                <w:sz w:val="22"/>
                <w:szCs w:val="22"/>
              </w:rPr>
              <w:t>Regional Córdoba</w:t>
            </w:r>
          </w:p>
        </w:tc>
      </w:tr>
      <w:tr w:rsidR="00CA5F5D" w:rsidRPr="00CA5F5D" w14:paraId="212BA23B" w14:textId="77777777" w:rsidTr="00CA5F5D">
        <w:trPr>
          <w:tblCellSpacing w:w="15" w:type="dxa"/>
        </w:trPr>
        <w:tc>
          <w:tcPr>
            <w:tcW w:w="792" w:type="pct"/>
            <w:tcBorders>
              <w:top w:val="nil"/>
              <w:left w:val="nil"/>
              <w:bottom w:val="nil"/>
              <w:right w:val="nil"/>
            </w:tcBorders>
            <w:tcMar>
              <w:top w:w="0" w:type="dxa"/>
              <w:left w:w="0" w:type="dxa"/>
              <w:bottom w:w="0" w:type="dxa"/>
              <w:right w:w="0" w:type="dxa"/>
            </w:tcMar>
            <w:hideMark/>
          </w:tcPr>
          <w:p w14:paraId="376D3574" w14:textId="77777777" w:rsidR="00CA5F5D" w:rsidRPr="00CA5F5D" w:rsidRDefault="00CA5F5D" w:rsidP="00CA5F5D">
            <w:pPr>
              <w:jc w:val="both"/>
              <w:rPr>
                <w:rFonts w:ascii="Verdana" w:hAnsi="Verdana"/>
                <w:sz w:val="22"/>
                <w:szCs w:val="22"/>
              </w:rPr>
            </w:pPr>
            <w:r w:rsidRPr="00CA5F5D">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73A878B5" w14:textId="77777777" w:rsidR="00CA5F5D" w:rsidRPr="00CA5F5D" w:rsidRDefault="00CA5F5D" w:rsidP="00CA5F5D">
            <w:pPr>
              <w:jc w:val="both"/>
              <w:rPr>
                <w:rFonts w:ascii="Verdana" w:hAnsi="Verdana"/>
                <w:sz w:val="22"/>
                <w:szCs w:val="22"/>
              </w:rPr>
            </w:pPr>
            <w:r w:rsidRPr="00CA5F5D">
              <w:rPr>
                <w:rFonts w:ascii="Verdana" w:hAnsi="Verdana"/>
                <w:sz w:val="22"/>
                <w:szCs w:val="22"/>
              </w:rPr>
              <w:t>Oficio radicado bajo el No 441128 del 08/09/2016</w:t>
            </w:r>
          </w:p>
        </w:tc>
      </w:tr>
    </w:tbl>
    <w:p w14:paraId="21FB6942" w14:textId="77777777" w:rsidR="00CA5F5D" w:rsidRPr="00CA5F5D" w:rsidRDefault="00CA5F5D" w:rsidP="00CA5F5D">
      <w:pPr>
        <w:jc w:val="both"/>
        <w:rPr>
          <w:rFonts w:ascii="Verdana" w:hAnsi="Verdana"/>
          <w:sz w:val="22"/>
          <w:szCs w:val="22"/>
        </w:rPr>
      </w:pPr>
      <w:r w:rsidRPr="00CA5F5D">
        <w:rPr>
          <w:rFonts w:ascii="Verdana" w:hAnsi="Verdana"/>
          <w:sz w:val="22"/>
          <w:szCs w:val="22"/>
        </w:rPr>
        <w:t>Cordial Saludo:</w:t>
      </w:r>
    </w:p>
    <w:p w14:paraId="4501C8D1" w14:textId="78C8E8FB" w:rsidR="00CA5F5D" w:rsidRPr="00CA5F5D" w:rsidRDefault="00CA5F5D" w:rsidP="00CA5F5D">
      <w:pPr>
        <w:jc w:val="both"/>
        <w:rPr>
          <w:rFonts w:ascii="Verdana" w:hAnsi="Verdana"/>
          <w:sz w:val="22"/>
          <w:szCs w:val="22"/>
        </w:rPr>
      </w:pPr>
      <w:r w:rsidRPr="00CA5F5D">
        <w:rPr>
          <w:rFonts w:ascii="Verdana" w:hAnsi="Verdana"/>
          <w:sz w:val="22"/>
          <w:szCs w:val="22"/>
        </w:rPr>
        <w:t>De manera atenta, en relación con el asunto de la referencia, en los términos previstos en los artículos 26 del Código Civil, Ley 1755 de 2015, y el artículo 6</w:t>
      </w:r>
      <w:r w:rsidRPr="00CA5F5D">
        <w:rPr>
          <w:rFonts w:ascii="Verdana" w:hAnsi="Verdana"/>
          <w:sz w:val="22"/>
          <w:szCs w:val="22"/>
          <w:vertAlign w:val="superscript"/>
        </w:rPr>
        <w:t>o</w:t>
      </w:r>
      <w:r w:rsidRPr="00CA5F5D">
        <w:rPr>
          <w:rFonts w:ascii="Verdana" w:hAnsi="Verdana"/>
          <w:sz w:val="22"/>
          <w:szCs w:val="22"/>
        </w:rPr>
        <w:t>, numeral 4, del Decreto 987 de 2012, se responde la consulta, sobre el caso en cuestión, en los términos que siguen:</w:t>
      </w:r>
    </w:p>
    <w:p w14:paraId="7081CA79"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t>1. PROBLEMA JURÍDICO</w:t>
      </w:r>
    </w:p>
    <w:p w14:paraId="3E4167E9" w14:textId="77777777" w:rsidR="00CA5F5D" w:rsidRPr="00CA5F5D" w:rsidRDefault="00CA5F5D" w:rsidP="00CA5F5D">
      <w:pPr>
        <w:jc w:val="both"/>
        <w:rPr>
          <w:rFonts w:ascii="Verdana" w:hAnsi="Verdana"/>
          <w:sz w:val="22"/>
          <w:szCs w:val="22"/>
        </w:rPr>
      </w:pPr>
      <w:r w:rsidRPr="00CA5F5D">
        <w:rPr>
          <w:rFonts w:ascii="Verdana" w:hAnsi="Verdana"/>
          <w:sz w:val="22"/>
          <w:szCs w:val="22"/>
        </w:rPr>
        <w:t>¿Qué profesional del Equipo Interdisciplinario de la Defensoría de Familia está obligado a hacer el seguimiento a la medida de Hogar Gestor?</w:t>
      </w:r>
    </w:p>
    <w:p w14:paraId="6E3C3B78"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t>2. ANÁLISIS DEL PROBLEMA JURÍDICO</w:t>
      </w:r>
    </w:p>
    <w:p w14:paraId="17C26508"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Se </w:t>
      </w:r>
      <w:proofErr w:type="gramStart"/>
      <w:r w:rsidRPr="00CA5F5D">
        <w:rPr>
          <w:rFonts w:ascii="Verdana" w:hAnsi="Verdana"/>
          <w:sz w:val="22"/>
          <w:szCs w:val="22"/>
        </w:rPr>
        <w:t>abordara</w:t>
      </w:r>
      <w:proofErr w:type="gramEnd"/>
      <w:r w:rsidRPr="00CA5F5D">
        <w:rPr>
          <w:rFonts w:ascii="Verdana" w:hAnsi="Verdana"/>
          <w:sz w:val="22"/>
          <w:szCs w:val="22"/>
        </w:rPr>
        <w:t xml:space="preserve"> el tema analizando: 2.1. La función de las Autoridades Administrativas en el restablecimiento de los derechos de los niños, niñas y adolescentes; 2.2. El Proceso de Restablecimiento de Derechos; 2.3. El Hogar Gestor como medida de restablecimiento de derechos; 2.4. El Caso Concreto.</w:t>
      </w:r>
    </w:p>
    <w:p w14:paraId="17AA8FE4"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t>2.1. La función de las Autoridades Administrativas en el restablecimiento de los derechos de los niños, niñas y adolescentes</w:t>
      </w:r>
    </w:p>
    <w:p w14:paraId="055EE936" w14:textId="77777777" w:rsidR="00CA5F5D" w:rsidRPr="00CA5F5D" w:rsidRDefault="00CA5F5D" w:rsidP="00CA5F5D">
      <w:pPr>
        <w:jc w:val="both"/>
        <w:rPr>
          <w:rFonts w:ascii="Verdana" w:hAnsi="Verdana"/>
          <w:sz w:val="22"/>
          <w:szCs w:val="22"/>
        </w:rPr>
      </w:pPr>
      <w:r w:rsidRPr="00CA5F5D">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252565C1" w14:textId="77777777" w:rsidR="00CA5F5D" w:rsidRPr="00CA5F5D" w:rsidRDefault="00CA5F5D" w:rsidP="00CA5F5D">
      <w:pPr>
        <w:jc w:val="both"/>
        <w:rPr>
          <w:rFonts w:ascii="Verdana" w:hAnsi="Verdana"/>
          <w:sz w:val="22"/>
          <w:szCs w:val="22"/>
        </w:rPr>
      </w:pPr>
      <w:r w:rsidRPr="00CA5F5D">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26BD6C3D"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La normatividad establecida en el Código de la Infancia y la Adolescencia aplica para todos los niños, las niñas y los adolescentes nacionales o extranjeros que </w:t>
      </w:r>
      <w:r w:rsidRPr="00CA5F5D">
        <w:rPr>
          <w:rFonts w:ascii="Verdana" w:hAnsi="Verdana"/>
          <w:sz w:val="22"/>
          <w:szCs w:val="22"/>
        </w:rPr>
        <w:lastRenderedPageBreak/>
        <w:t>se encuentren en el país, a los nacionales que se encuentren fuera del país y a aquellos con doble nacionalidad cuando una de ellas sea colombiana.</w:t>
      </w:r>
      <w:r w:rsidRPr="00CA5F5D">
        <w:rPr>
          <w:rFonts w:ascii="Verdana" w:hAnsi="Verdana"/>
          <w:sz w:val="22"/>
          <w:szCs w:val="22"/>
          <w:vertAlign w:val="superscript"/>
        </w:rPr>
        <w:t>[1]</w:t>
      </w:r>
    </w:p>
    <w:p w14:paraId="4BEE32CE" w14:textId="77777777" w:rsidR="00CA5F5D" w:rsidRPr="00CA5F5D" w:rsidRDefault="00CA5F5D" w:rsidP="00CA5F5D">
      <w:pPr>
        <w:jc w:val="both"/>
        <w:rPr>
          <w:rFonts w:ascii="Verdana" w:hAnsi="Verdana"/>
          <w:sz w:val="22"/>
          <w:szCs w:val="22"/>
        </w:rPr>
      </w:pPr>
      <w:r w:rsidRPr="00CA5F5D">
        <w:rPr>
          <w:rFonts w:ascii="Verdana" w:hAnsi="Verdana"/>
          <w:sz w:val="22"/>
          <w:szCs w:val="22"/>
        </w:rPr>
        <w:t>Al respecto, la Corte Constitucional precisó respecto al Código de la Infancia y la Adolescencia que:</w:t>
      </w:r>
    </w:p>
    <w:p w14:paraId="0C1FF017" w14:textId="7698E854" w:rsidR="00CA5F5D" w:rsidRPr="00CA5F5D" w:rsidRDefault="00CA5F5D" w:rsidP="00CA5F5D">
      <w:pPr>
        <w:jc w:val="both"/>
        <w:rPr>
          <w:rFonts w:ascii="Verdana" w:hAnsi="Verdana"/>
          <w:sz w:val="22"/>
          <w:szCs w:val="22"/>
        </w:rPr>
      </w:pPr>
      <w:r w:rsidRPr="00CA5F5D">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r w:rsidRPr="00CA5F5D">
        <w:rPr>
          <w:rFonts w:ascii="Verdana" w:hAnsi="Verdana"/>
          <w:i/>
          <w:iCs/>
          <w:sz w:val="22"/>
          <w:szCs w:val="22"/>
          <w:vertAlign w:val="superscript"/>
        </w:rPr>
        <w:t>[2]</w:t>
      </w:r>
    </w:p>
    <w:p w14:paraId="404A615F" w14:textId="77777777" w:rsidR="00CA5F5D" w:rsidRPr="00CA5F5D" w:rsidRDefault="00CA5F5D" w:rsidP="00CA5F5D">
      <w:pPr>
        <w:jc w:val="both"/>
        <w:rPr>
          <w:rFonts w:ascii="Verdana" w:hAnsi="Verdana"/>
          <w:sz w:val="22"/>
          <w:szCs w:val="22"/>
        </w:rPr>
      </w:pPr>
      <w:r w:rsidRPr="00CA5F5D">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niños, niñas y adolescentes.</w:t>
      </w:r>
    </w:p>
    <w:p w14:paraId="00864A24" w14:textId="77777777" w:rsidR="00CA5F5D" w:rsidRPr="00CA5F5D" w:rsidRDefault="00CA5F5D" w:rsidP="00CA5F5D">
      <w:pPr>
        <w:jc w:val="both"/>
        <w:rPr>
          <w:rFonts w:ascii="Verdana" w:hAnsi="Verdana"/>
          <w:sz w:val="22"/>
          <w:szCs w:val="22"/>
        </w:rPr>
      </w:pPr>
      <w:r w:rsidRPr="00CA5F5D">
        <w:rPr>
          <w:rFonts w:ascii="Verdana" w:hAnsi="Verdana"/>
          <w:sz w:val="22"/>
          <w:szCs w:val="22"/>
        </w:rPr>
        <w:t>Al respecto, la Corte Constitucional indicó:</w:t>
      </w:r>
    </w:p>
    <w:p w14:paraId="3AD6E546" w14:textId="3008D21B" w:rsidR="00CA5F5D" w:rsidRPr="00CA5F5D" w:rsidRDefault="00CA5F5D" w:rsidP="00CA5F5D">
      <w:pPr>
        <w:jc w:val="both"/>
        <w:rPr>
          <w:rFonts w:ascii="Verdana" w:hAnsi="Verdana"/>
          <w:sz w:val="22"/>
          <w:szCs w:val="22"/>
        </w:rPr>
      </w:pPr>
      <w:r w:rsidRPr="00CA5F5D">
        <w:rPr>
          <w:rFonts w:ascii="Verdana" w:hAnsi="Verdana"/>
          <w:i/>
          <w:iCs/>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CA5F5D">
        <w:rPr>
          <w:rFonts w:ascii="Verdana" w:hAnsi="Verdana"/>
          <w:i/>
          <w:iCs/>
          <w:sz w:val="22"/>
          <w:szCs w:val="22"/>
          <w:vertAlign w:val="superscript"/>
        </w:rPr>
        <w:t>[3]</w:t>
      </w:r>
    </w:p>
    <w:p w14:paraId="61268FFC" w14:textId="6406239F" w:rsidR="00CA5F5D" w:rsidRPr="00CA5F5D" w:rsidRDefault="00CA5F5D" w:rsidP="00CA5F5D">
      <w:pPr>
        <w:jc w:val="both"/>
        <w:rPr>
          <w:rFonts w:ascii="Verdana" w:hAnsi="Verdana"/>
          <w:sz w:val="22"/>
          <w:szCs w:val="22"/>
        </w:rPr>
      </w:pPr>
      <w:r w:rsidRPr="00CA5F5D">
        <w:rPr>
          <w:rFonts w:ascii="Verdana" w:hAnsi="Verdana"/>
          <w:sz w:val="22"/>
          <w:szCs w:val="22"/>
        </w:rPr>
        <w:t>En efecto, en el artículo 96 de la Ley 1098 de 2006 dispone:</w:t>
      </w:r>
    </w:p>
    <w:p w14:paraId="1F6EAEE2"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7437E300" w14:textId="77777777" w:rsidR="00CA5F5D" w:rsidRPr="00CA5F5D" w:rsidRDefault="00CA5F5D" w:rsidP="00CA5F5D">
      <w:pPr>
        <w:jc w:val="both"/>
        <w:rPr>
          <w:rFonts w:ascii="Verdana" w:hAnsi="Verdana"/>
          <w:sz w:val="22"/>
          <w:szCs w:val="22"/>
        </w:rPr>
      </w:pPr>
      <w:r w:rsidRPr="00CA5F5D">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1F0C5B1B" w14:textId="77777777" w:rsidR="00CA5F5D" w:rsidRPr="00CA5F5D" w:rsidRDefault="00CA5F5D" w:rsidP="00CA5F5D">
      <w:pPr>
        <w:jc w:val="both"/>
        <w:rPr>
          <w:rFonts w:ascii="Verdana" w:hAnsi="Verdana"/>
          <w:sz w:val="22"/>
          <w:szCs w:val="22"/>
        </w:rPr>
      </w:pPr>
      <w:r w:rsidRPr="00CA5F5D">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380FE80F" w14:textId="77777777" w:rsidR="00CA5F5D" w:rsidRPr="00CA5F5D" w:rsidRDefault="00CA5F5D" w:rsidP="00CA5F5D">
      <w:pPr>
        <w:jc w:val="both"/>
        <w:rPr>
          <w:rFonts w:ascii="Verdana" w:hAnsi="Verdana"/>
          <w:sz w:val="22"/>
          <w:szCs w:val="22"/>
        </w:rPr>
      </w:pPr>
      <w:r w:rsidRPr="00CA5F5D">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55466BB4"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t>2.2. El Proceso Administrativo de Restablecimiento de Derechos</w:t>
      </w:r>
    </w:p>
    <w:p w14:paraId="099EB395" w14:textId="31148D60" w:rsidR="00CA5F5D" w:rsidRPr="00CA5F5D" w:rsidRDefault="00CA5F5D" w:rsidP="00CA5F5D">
      <w:pPr>
        <w:jc w:val="both"/>
        <w:rPr>
          <w:rFonts w:ascii="Verdana" w:hAnsi="Verdana"/>
          <w:sz w:val="22"/>
          <w:szCs w:val="22"/>
        </w:rPr>
      </w:pPr>
      <w:r w:rsidRPr="00CA5F5D">
        <w:rPr>
          <w:rFonts w:ascii="Verdana" w:hAnsi="Verdana"/>
          <w:sz w:val="22"/>
          <w:szCs w:val="22"/>
        </w:rPr>
        <w:lastRenderedPageBreak/>
        <w:t>El restablecimiento de los derechos de los niños, las niñas y los adolescentes, de acuerdo con el artículo 50 de la Ley 1098 de 2006, es la restauración de su dignidad e integridad como sujetos y de la capacidad para hacer un ejercicio efectivo de los derechos que le han sido vulnerados.</w:t>
      </w:r>
    </w:p>
    <w:p w14:paraId="285C10C8" w14:textId="77777777" w:rsidR="00CA5F5D" w:rsidRPr="00CA5F5D" w:rsidRDefault="00CA5F5D" w:rsidP="00CA5F5D">
      <w:pPr>
        <w:jc w:val="both"/>
        <w:rPr>
          <w:rFonts w:ascii="Verdana" w:hAnsi="Verdana"/>
          <w:sz w:val="22"/>
          <w:szCs w:val="22"/>
        </w:rPr>
      </w:pPr>
      <w:r w:rsidRPr="00CA5F5D">
        <w:rPr>
          <w:rFonts w:ascii="Verdana" w:hAnsi="Verdana"/>
          <w:sz w:val="22"/>
          <w:szCs w:val="22"/>
        </w:rPr>
        <w:t>La Corte Constitucional ha dicho que:</w:t>
      </w:r>
    </w:p>
    <w:p w14:paraId="6EFC7E3A"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67837266" w14:textId="15530ED9" w:rsidR="00CA5F5D" w:rsidRPr="00CA5F5D" w:rsidRDefault="00CA5F5D" w:rsidP="00CA5F5D">
      <w:pPr>
        <w:jc w:val="both"/>
        <w:rPr>
          <w:rFonts w:ascii="Verdana" w:hAnsi="Verdana"/>
          <w:sz w:val="22"/>
          <w:szCs w:val="22"/>
        </w:rPr>
      </w:pPr>
      <w:r w:rsidRPr="00CA5F5D">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52, 52, 53 del Código de la Infancia y la Adolescencia).</w:t>
      </w:r>
      <w:r w:rsidRPr="00CA5F5D">
        <w:rPr>
          <w:rFonts w:ascii="Verdana" w:hAnsi="Verdana"/>
          <w:i/>
          <w:iCs/>
          <w:sz w:val="22"/>
          <w:szCs w:val="22"/>
          <w:vertAlign w:val="superscript"/>
        </w:rPr>
        <w:t>[4]</w:t>
      </w:r>
    </w:p>
    <w:p w14:paraId="38C8B2A9"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CA5F5D">
        <w:rPr>
          <w:rFonts w:ascii="Verdana" w:hAnsi="Verdana"/>
          <w:sz w:val="22"/>
          <w:szCs w:val="22"/>
        </w:rPr>
        <w:t>Ley,</w:t>
      </w:r>
      <w:proofErr w:type="gramEnd"/>
      <w:r w:rsidRPr="00CA5F5D">
        <w:rPr>
          <w:rFonts w:ascii="Verdana" w:hAnsi="Verdana"/>
          <w:sz w:val="22"/>
          <w:szCs w:val="22"/>
        </w:rPr>
        <w:t xml:space="preserve"> restablezcan a los niños, las niñas y los adolescentes el ejercicio pleno y efectivo de sus derechos.</w:t>
      </w:r>
    </w:p>
    <w:p w14:paraId="067ABDB0"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t>2.3. El Hogar Gestor como medida de restablecimiento de derechos</w:t>
      </w:r>
    </w:p>
    <w:p w14:paraId="2DCBB692" w14:textId="0ACEB1EA" w:rsidR="00CA5F5D" w:rsidRPr="00CA5F5D" w:rsidRDefault="00CA5F5D" w:rsidP="00CA5F5D">
      <w:pPr>
        <w:jc w:val="both"/>
        <w:rPr>
          <w:rFonts w:ascii="Verdana" w:hAnsi="Verdana"/>
          <w:sz w:val="22"/>
          <w:szCs w:val="22"/>
        </w:rPr>
      </w:pPr>
      <w:r w:rsidRPr="00CA5F5D">
        <w:rPr>
          <w:rFonts w:ascii="Verdana" w:hAnsi="Verdana"/>
          <w:sz w:val="22"/>
          <w:szCs w:val="22"/>
        </w:rPr>
        <w:t>El Lineamiento Técnico de Modalidades para la Atención de Niños, Niñas y Adolescentes, con Derechos Inobservados, Amenazados o Vulnerados, aprobado mediante Resolución 1520 de febrero 23 de 2016 y modificado mediante las Resoluciones 5863 de junio 22 de 2016 y 7960 de agosto 10 de 2016, define la medida de Hogar Gestor como:</w:t>
      </w:r>
    </w:p>
    <w:p w14:paraId="7B27CA44"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“Modalidad para el restablecimiento de derechos de los niños, las niñas y adolescentes con discapacidad, enfermedad de cuidado especial, víctimas del conflicto armado y mayores de 18 años con discapacidad mental absoluta,</w:t>
      </w:r>
      <w:r w:rsidRPr="00CA5F5D">
        <w:rPr>
          <w:rFonts w:ascii="Verdana" w:hAnsi="Verdana"/>
          <w:i/>
          <w:iCs/>
          <w:sz w:val="22"/>
          <w:szCs w:val="22"/>
          <w:vertAlign w:val="superscript"/>
        </w:rPr>
        <w:t>[5]</w:t>
      </w:r>
      <w:r w:rsidRPr="00CA5F5D">
        <w:rPr>
          <w:rFonts w:ascii="Verdana" w:hAnsi="Verdana"/>
          <w:i/>
          <w:iCs/>
          <w:sz w:val="22"/>
          <w:szCs w:val="22"/>
        </w:rPr>
        <w:t> en situación de inobservancia, amenaza o vulneración de derechos. Esta modalidad se desarrolla a través de acompañamiento psicosocial y apoyo económico cuando se requiera,</w:t>
      </w:r>
      <w:r w:rsidRPr="00CA5F5D">
        <w:rPr>
          <w:rFonts w:ascii="Verdana" w:hAnsi="Verdana"/>
          <w:i/>
          <w:iCs/>
          <w:sz w:val="22"/>
          <w:szCs w:val="22"/>
          <w:vertAlign w:val="superscript"/>
        </w:rPr>
        <w:t>[6]</w:t>
      </w:r>
      <w:r w:rsidRPr="00CA5F5D">
        <w:rPr>
          <w:rFonts w:ascii="Verdana" w:hAnsi="Verdana"/>
          <w:i/>
          <w:iCs/>
          <w:sz w:val="22"/>
          <w:szCs w:val="22"/>
        </w:rPr>
        <w:t> dirigido al niño, niña o adolescente en su medio familiar, con el fin que la red familiar o vincular, asuma de manera corresponsable la protección integral y desde la garantía de el “derecho de los niños, niñas adolescentes de tener una familia y no ser separado de ella.”.</w:t>
      </w:r>
      <w:r w:rsidRPr="00CA5F5D">
        <w:rPr>
          <w:rFonts w:ascii="Verdana" w:hAnsi="Verdana"/>
          <w:i/>
          <w:iCs/>
          <w:sz w:val="22"/>
          <w:szCs w:val="22"/>
          <w:vertAlign w:val="superscript"/>
        </w:rPr>
        <w:t>[7]</w:t>
      </w:r>
    </w:p>
    <w:p w14:paraId="40877AA1" w14:textId="77777777" w:rsidR="00CA5F5D" w:rsidRPr="00CA5F5D" w:rsidRDefault="00CA5F5D" w:rsidP="00CA5F5D">
      <w:pPr>
        <w:jc w:val="both"/>
        <w:rPr>
          <w:rFonts w:ascii="Verdana" w:hAnsi="Verdana"/>
          <w:sz w:val="22"/>
          <w:szCs w:val="22"/>
        </w:rPr>
      </w:pPr>
      <w:r w:rsidRPr="00CA5F5D">
        <w:rPr>
          <w:rFonts w:ascii="Verdana" w:hAnsi="Verdana"/>
          <w:sz w:val="22"/>
          <w:szCs w:val="22"/>
        </w:rPr>
        <w:lastRenderedPageBreak/>
        <w:t>La Corte Constitucional ha definido el hogar gestor así:</w:t>
      </w:r>
    </w:p>
    <w:p w14:paraId="287849EE"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“Con este programa se busca restablecer los derechos de los niños en condición de amenaza o vulneración con discapacidad o enfermedad de cuidado especial que consiste en el acompañamiento, la asesoría y el apoyo económico para el fortalecimiento familiar y de esta manera, con el apoyo del Estado, la familia corresponsablemente asume la protección integral del niño. El programa va dirigido a brindar herramientas- a la familia para el mejoramiento de la atención a niños, para el empoderamiento en la utilización de redes de servicios para asumir su corresponsabilidad en la atención de las necesidades de sus hijos, y para promover la inclusión de los niños en los servicios institucionales, sociales y comunitarios de la localidad o municipio”.</w:t>
      </w:r>
      <w:r w:rsidRPr="00CA5F5D">
        <w:rPr>
          <w:rFonts w:ascii="Verdana" w:hAnsi="Verdana"/>
          <w:i/>
          <w:iCs/>
          <w:sz w:val="22"/>
          <w:szCs w:val="22"/>
          <w:vertAlign w:val="superscript"/>
        </w:rPr>
        <w:t>[8]</w:t>
      </w:r>
    </w:p>
    <w:p w14:paraId="29B90854"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El citado Lineamiento también manifiesta que </w:t>
      </w:r>
      <w:proofErr w:type="gramStart"/>
      <w:r w:rsidRPr="00CA5F5D">
        <w:rPr>
          <w:rFonts w:ascii="Verdana" w:hAnsi="Verdana"/>
          <w:sz w:val="22"/>
          <w:szCs w:val="22"/>
        </w:rPr>
        <w:t>ésta</w:t>
      </w:r>
      <w:proofErr w:type="gramEnd"/>
      <w:r w:rsidRPr="00CA5F5D">
        <w:rPr>
          <w:rFonts w:ascii="Verdana" w:hAnsi="Verdana"/>
          <w:sz w:val="22"/>
          <w:szCs w:val="22"/>
        </w:rPr>
        <w:t xml:space="preserve"> modalidad procede cuando la familia ofrece condiciones comprobadas para acoger, brindar cuidado, afecto y atención a los niños, niñas y adolescentes con discapacidad o persona mayor de 18 años con discapacidad mental absoluta, niños, y/o niñas y adolescentes víctimas del conflicto armado; y a su vez, la familia pueda asumir la gestión de su desarrollo integral, con el apoyo institucional y articulación de la red de servicios del Estado.</w:t>
      </w:r>
    </w:p>
    <w:p w14:paraId="3A814254" w14:textId="77777777" w:rsidR="00CA5F5D" w:rsidRPr="00CA5F5D" w:rsidRDefault="00CA5F5D" w:rsidP="00CA5F5D">
      <w:pPr>
        <w:jc w:val="both"/>
        <w:rPr>
          <w:rFonts w:ascii="Verdana" w:hAnsi="Verdana"/>
          <w:sz w:val="22"/>
          <w:szCs w:val="22"/>
        </w:rPr>
      </w:pPr>
      <w:r w:rsidRPr="00CA5F5D">
        <w:rPr>
          <w:rFonts w:ascii="Verdana" w:hAnsi="Verdana"/>
          <w:sz w:val="22"/>
          <w:szCs w:val="22"/>
        </w:rPr>
        <w:t>La modalidad de hogar gestor cuenta con equipos de apoyo como son las Unidades Regionales de Apoyo - para la atención a niños, niñas y adolescentes víctimas del conflicto armado y las Unidades de Apoyo y Fortalecimiento Familiar - UNAFA, para la atención a familias de niños, niñas y adolescentes con discapacidad.</w:t>
      </w:r>
    </w:p>
    <w:p w14:paraId="0BDA52C1" w14:textId="77777777" w:rsidR="00CA5F5D" w:rsidRPr="00CA5F5D" w:rsidRDefault="00CA5F5D" w:rsidP="00CA5F5D">
      <w:pPr>
        <w:jc w:val="both"/>
        <w:rPr>
          <w:rFonts w:ascii="Verdana" w:hAnsi="Verdana"/>
          <w:sz w:val="22"/>
          <w:szCs w:val="22"/>
        </w:rPr>
      </w:pPr>
      <w:r w:rsidRPr="00CA5F5D">
        <w:rPr>
          <w:rFonts w:ascii="Verdana" w:hAnsi="Verdana"/>
          <w:sz w:val="22"/>
          <w:szCs w:val="22"/>
        </w:rPr>
        <w:t>En las regionales que no cuenten con Unidades Regionales de Apoyo o con el Programa Unidades de Apoyo y Fortalecimiento Familiar -UNAFA, les corresponde a los profesionales de los equipos de las autoridades administrativas brindar acompañamiento psicosocial en sitio a los niños, las niñas y adolescentes con proceso administrativo de restablecimiento de derechos con ubicación en medio familiar - Hogar gestor.</w:t>
      </w:r>
      <w:r w:rsidRPr="00CA5F5D">
        <w:rPr>
          <w:rFonts w:ascii="Verdana" w:hAnsi="Verdana"/>
          <w:sz w:val="22"/>
          <w:szCs w:val="22"/>
          <w:vertAlign w:val="superscript"/>
        </w:rPr>
        <w:t>[9]</w:t>
      </w:r>
    </w:p>
    <w:p w14:paraId="51A57F78" w14:textId="77777777" w:rsidR="00CA5F5D" w:rsidRPr="00CA5F5D" w:rsidRDefault="00CA5F5D" w:rsidP="00CA5F5D">
      <w:pPr>
        <w:jc w:val="both"/>
        <w:rPr>
          <w:rFonts w:ascii="Verdana" w:hAnsi="Verdana"/>
          <w:sz w:val="22"/>
          <w:szCs w:val="22"/>
        </w:rPr>
      </w:pPr>
      <w:r w:rsidRPr="00CA5F5D">
        <w:rPr>
          <w:rFonts w:ascii="Verdana" w:hAnsi="Verdana"/>
          <w:sz w:val="22"/>
          <w:szCs w:val="22"/>
        </w:rPr>
        <w:t>Asimismo, el lineamiento establece:</w:t>
      </w:r>
    </w:p>
    <w:p w14:paraId="5517F1C3"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Población objetivo</w:t>
      </w:r>
    </w:p>
    <w:p w14:paraId="12A2B782" w14:textId="77777777" w:rsidR="00CA5F5D" w:rsidRPr="00CA5F5D" w:rsidRDefault="00CA5F5D" w:rsidP="00CA5F5D">
      <w:pPr>
        <w:jc w:val="both"/>
        <w:rPr>
          <w:rFonts w:ascii="Verdana" w:hAnsi="Verdana"/>
          <w:sz w:val="22"/>
          <w:szCs w:val="22"/>
        </w:rPr>
      </w:pPr>
      <w:r w:rsidRPr="00CA5F5D">
        <w:rPr>
          <w:rFonts w:ascii="Verdana" w:hAnsi="Verdana"/>
          <w:sz w:val="22"/>
          <w:szCs w:val="22"/>
        </w:rPr>
        <w:t>- </w:t>
      </w:r>
      <w:r w:rsidRPr="00CA5F5D">
        <w:rPr>
          <w:rFonts w:ascii="Verdana" w:hAnsi="Verdana"/>
          <w:i/>
          <w:iCs/>
          <w:sz w:val="22"/>
          <w:szCs w:val="22"/>
        </w:rPr>
        <w:t>Niños, niñas, adolescentes de 0 a 18 años, con derechos inobservados, amenazados o vulnerados, con discapacidad mental cognitiva y discapacidad mental psicosocial.</w:t>
      </w:r>
    </w:p>
    <w:p w14:paraId="0766BEC3"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Niños, niñas, adolescentes de 0 a 18 años, con derechos inobservados, amenazados o vulnerados, con discapacidad.</w:t>
      </w:r>
      <w:r w:rsidRPr="00CA5F5D">
        <w:rPr>
          <w:rFonts w:ascii="Verdana" w:hAnsi="Verdana"/>
          <w:i/>
          <w:iCs/>
          <w:sz w:val="22"/>
          <w:szCs w:val="22"/>
          <w:vertAlign w:val="superscript"/>
        </w:rPr>
        <w:t>[10]</w:t>
      </w:r>
    </w:p>
    <w:p w14:paraId="0BB0EBBA"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lastRenderedPageBreak/>
        <w:t>- Mayores de 18 años, con derechos inobservados, amenazados o vulnerados, con discapacidad mental cognitiva o discapacidad mental psicosocial, con limitación severa en su desempeño (discapacidad mental absoluta).</w:t>
      </w:r>
    </w:p>
    <w:p w14:paraId="1D4FEA7B"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Niños, niñas y adolescentes de 0 a 18 años, con derechos inobservados, amenazados o vulnerados, víctimas de conflicto armado.</w:t>
      </w:r>
    </w:p>
    <w:p w14:paraId="1DE33518"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Criterios de ubicación</w:t>
      </w:r>
    </w:p>
    <w:p w14:paraId="3078AD57"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xml:space="preserve">- Procede cuando la autoridad administrativa posterior a la verificación del estado de los </w:t>
      </w:r>
      <w:proofErr w:type="gramStart"/>
      <w:r w:rsidRPr="00CA5F5D">
        <w:rPr>
          <w:rFonts w:ascii="Verdana" w:hAnsi="Verdana"/>
          <w:i/>
          <w:iCs/>
          <w:sz w:val="22"/>
          <w:szCs w:val="22"/>
        </w:rPr>
        <w:t>derechos,</w:t>
      </w:r>
      <w:proofErr w:type="gramEnd"/>
      <w:r w:rsidRPr="00CA5F5D">
        <w:rPr>
          <w:rFonts w:ascii="Verdana" w:hAnsi="Verdana"/>
          <w:i/>
          <w:iCs/>
          <w:sz w:val="22"/>
          <w:szCs w:val="22"/>
        </w:rPr>
        <w:t xml:space="preserve"> establece que la familia ofrece condiciones comprobadas de protección, cuidado, afecto y de atención del niño, la niña, el adolescente con discapacidad, víctima del conflicto armado con o sin discapacidad, pero requiere el apoyo institucional y la articulación de la red de servicios del Estado para satisfacer necesidades básicas que favorezcan su desarrollo integral y nivel de vida adecuado.</w:t>
      </w:r>
    </w:p>
    <w:p w14:paraId="209EB15B"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En el caso de grupos étnicos, la constitución del Hogar gestor y la valoración a la familia se realiza entre el equipo técnico interdisciplinario defensorial en coordinación con la familia y la autoridad étnica, según sea el caso.</w:t>
      </w:r>
    </w:p>
    <w:p w14:paraId="0306C63B"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Para pueblos indígenas, la autoridad tradicional es quien certifica si el niño, la niña o el adolescente puede o no estar en su comunidad dentro de las funciones que adquiere como autoridad.</w:t>
      </w:r>
    </w:p>
    <w:p w14:paraId="35EF7490"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xml:space="preserve">- </w:t>
      </w:r>
      <w:proofErr w:type="gramStart"/>
      <w:r w:rsidRPr="00CA5F5D">
        <w:rPr>
          <w:rFonts w:ascii="Verdana" w:hAnsi="Verdana"/>
          <w:i/>
          <w:iCs/>
          <w:sz w:val="22"/>
          <w:szCs w:val="22"/>
        </w:rPr>
        <w:t>En caso que</w:t>
      </w:r>
      <w:proofErr w:type="gramEnd"/>
      <w:r w:rsidRPr="00CA5F5D">
        <w:rPr>
          <w:rFonts w:ascii="Verdana" w:hAnsi="Verdana"/>
          <w:i/>
          <w:iCs/>
          <w:sz w:val="22"/>
          <w:szCs w:val="22"/>
        </w:rPr>
        <w:t xml:space="preserve"> no sea una opción posible la ubicación en la comunidad, deberá priorizarse y verificarse por la familia y la autoridad tradicional, si otra comunidad indígena puede y quiere acoger al niño, niña y/o adolescente antes de ubicarlo en modalidades que no apliquen atención con enfoque diferencial étnico.</w:t>
      </w:r>
    </w:p>
    <w:p w14:paraId="3E579BD2"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Para el caso de los demás grupos étnicos, las autoridades revisarán si el colectivo tiene la intención de acogida y el apoyo de este niño, niña o adolescente.</w:t>
      </w:r>
    </w:p>
    <w:p w14:paraId="42019A29" w14:textId="63997E2B" w:rsidR="00CA5F5D" w:rsidRPr="00CA5F5D" w:rsidRDefault="00CA5F5D" w:rsidP="00CA5F5D">
      <w:pPr>
        <w:jc w:val="both"/>
        <w:rPr>
          <w:rFonts w:ascii="Verdana" w:hAnsi="Verdana"/>
          <w:sz w:val="22"/>
          <w:szCs w:val="22"/>
        </w:rPr>
      </w:pPr>
      <w:r w:rsidRPr="00CA5F5D">
        <w:rPr>
          <w:rFonts w:ascii="Verdana" w:hAnsi="Verdana"/>
          <w:i/>
          <w:iCs/>
          <w:sz w:val="22"/>
          <w:szCs w:val="22"/>
        </w:rPr>
        <w:t xml:space="preserve">- En los casos en que los facilitadores UNAFA o unidades de apoyo identifiquen familias que requieren de la medida de hogar gestor para ejercer los derechos de los niños, las niñas y adolescentes, estos comunicarán a la autoridad administrativa, para que esta proceda a la verificación de garantía de derechos </w:t>
      </w:r>
      <w:proofErr w:type="gramStart"/>
      <w:r w:rsidRPr="00CA5F5D">
        <w:rPr>
          <w:rFonts w:ascii="Verdana" w:hAnsi="Verdana"/>
          <w:i/>
          <w:iCs/>
          <w:sz w:val="22"/>
          <w:szCs w:val="22"/>
        </w:rPr>
        <w:t>de acuerdo a</w:t>
      </w:r>
      <w:proofErr w:type="gramEnd"/>
      <w:r w:rsidRPr="00CA5F5D">
        <w:rPr>
          <w:rFonts w:ascii="Verdana" w:hAnsi="Verdana"/>
          <w:i/>
          <w:iCs/>
          <w:sz w:val="22"/>
          <w:szCs w:val="22"/>
        </w:rPr>
        <w:t xml:space="preserve"> lo establecido en la Ley 1098. Art 52.</w:t>
      </w:r>
    </w:p>
    <w:p w14:paraId="5283ECB0"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Para determinar esta modalidad, la autoridad administrativa con su equipo técnico interdisciplinario, deberán verificar que la familia cumpla adicionalmente con los </w:t>
      </w:r>
      <w:r w:rsidRPr="00CA5F5D">
        <w:rPr>
          <w:rFonts w:ascii="Verdana" w:hAnsi="Verdana"/>
          <w:b/>
          <w:bCs/>
          <w:i/>
          <w:iCs/>
          <w:sz w:val="22"/>
          <w:szCs w:val="22"/>
        </w:rPr>
        <w:t>criterios siguientes</w:t>
      </w:r>
      <w:r w:rsidRPr="00CA5F5D">
        <w:rPr>
          <w:rFonts w:ascii="Verdana" w:hAnsi="Verdana"/>
          <w:i/>
          <w:iCs/>
          <w:sz w:val="22"/>
          <w:szCs w:val="22"/>
        </w:rPr>
        <w:t>:</w:t>
      </w:r>
    </w:p>
    <w:p w14:paraId="2A1BF4F4"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lastRenderedPageBreak/>
        <w:t>a) Familias con nivel de SISBEN 1 y 2o familias con un puntaje SISBEN metodología III de acuerdo con los puntos de corte establecidos en la Resolución No. 0490 del 4 de febrero de 2013.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8"/>
        <w:gridCol w:w="2636"/>
        <w:gridCol w:w="2376"/>
        <w:gridCol w:w="2738"/>
      </w:tblGrid>
      <w:tr w:rsidR="00CA5F5D" w:rsidRPr="00CA5F5D" w14:paraId="5999C243"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0D910664"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Nivel</w:t>
            </w:r>
          </w:p>
        </w:tc>
        <w:tc>
          <w:tcPr>
            <w:tcW w:w="1500" w:type="pct"/>
            <w:tcBorders>
              <w:top w:val="nil"/>
              <w:left w:val="nil"/>
              <w:bottom w:val="nil"/>
              <w:right w:val="nil"/>
            </w:tcBorders>
            <w:tcMar>
              <w:top w:w="0" w:type="dxa"/>
              <w:left w:w="0" w:type="dxa"/>
              <w:bottom w:w="0" w:type="dxa"/>
              <w:right w:w="0" w:type="dxa"/>
            </w:tcMar>
            <w:hideMark/>
          </w:tcPr>
          <w:p w14:paraId="0FAEE453"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14 ciudades (*)</w:t>
            </w:r>
          </w:p>
        </w:tc>
        <w:tc>
          <w:tcPr>
            <w:tcW w:w="1350" w:type="pct"/>
            <w:tcBorders>
              <w:top w:val="nil"/>
              <w:left w:val="nil"/>
              <w:bottom w:val="nil"/>
              <w:right w:val="nil"/>
            </w:tcBorders>
            <w:tcMar>
              <w:top w:w="0" w:type="dxa"/>
              <w:left w:w="0" w:type="dxa"/>
              <w:bottom w:w="0" w:type="dxa"/>
              <w:right w:w="0" w:type="dxa"/>
            </w:tcMar>
            <w:hideMark/>
          </w:tcPr>
          <w:p w14:paraId="437A0E42"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Resto urbano</w:t>
            </w:r>
          </w:p>
        </w:tc>
        <w:tc>
          <w:tcPr>
            <w:tcW w:w="1550" w:type="pct"/>
            <w:tcBorders>
              <w:top w:val="nil"/>
              <w:left w:val="nil"/>
              <w:bottom w:val="nil"/>
              <w:right w:val="nil"/>
            </w:tcBorders>
            <w:tcMar>
              <w:top w:w="0" w:type="dxa"/>
              <w:left w:w="0" w:type="dxa"/>
              <w:bottom w:w="0" w:type="dxa"/>
              <w:right w:w="0" w:type="dxa"/>
            </w:tcMar>
            <w:hideMark/>
          </w:tcPr>
          <w:p w14:paraId="3C81C61B"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Rural disperso</w:t>
            </w:r>
          </w:p>
        </w:tc>
      </w:tr>
      <w:tr w:rsidR="00CA5F5D" w:rsidRPr="00CA5F5D" w14:paraId="1AA37528"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ABE76FA"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UNICO</w:t>
            </w:r>
          </w:p>
        </w:tc>
        <w:tc>
          <w:tcPr>
            <w:tcW w:w="1500" w:type="pct"/>
            <w:tcBorders>
              <w:top w:val="nil"/>
              <w:left w:val="nil"/>
              <w:bottom w:val="nil"/>
              <w:right w:val="nil"/>
            </w:tcBorders>
            <w:tcMar>
              <w:top w:w="0" w:type="dxa"/>
              <w:left w:w="0" w:type="dxa"/>
              <w:bottom w:w="0" w:type="dxa"/>
              <w:right w:w="0" w:type="dxa"/>
            </w:tcMar>
            <w:hideMark/>
          </w:tcPr>
          <w:p w14:paraId="77E75193"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57,21</w:t>
            </w:r>
          </w:p>
        </w:tc>
        <w:tc>
          <w:tcPr>
            <w:tcW w:w="1350" w:type="pct"/>
            <w:tcBorders>
              <w:top w:val="nil"/>
              <w:left w:val="nil"/>
              <w:bottom w:val="nil"/>
              <w:right w:val="nil"/>
            </w:tcBorders>
            <w:tcMar>
              <w:top w:w="0" w:type="dxa"/>
              <w:left w:w="0" w:type="dxa"/>
              <w:bottom w:w="0" w:type="dxa"/>
              <w:right w:w="0" w:type="dxa"/>
            </w:tcMar>
            <w:hideMark/>
          </w:tcPr>
          <w:p w14:paraId="00315EE1"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56,32</w:t>
            </w:r>
          </w:p>
        </w:tc>
        <w:tc>
          <w:tcPr>
            <w:tcW w:w="1550" w:type="pct"/>
            <w:tcBorders>
              <w:top w:val="nil"/>
              <w:left w:val="nil"/>
              <w:bottom w:val="nil"/>
              <w:right w:val="nil"/>
            </w:tcBorders>
            <w:tcMar>
              <w:top w:w="0" w:type="dxa"/>
              <w:left w:w="0" w:type="dxa"/>
              <w:bottom w:w="0" w:type="dxa"/>
              <w:right w:w="0" w:type="dxa"/>
            </w:tcMar>
            <w:hideMark/>
          </w:tcPr>
          <w:p w14:paraId="01119590"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40,75</w:t>
            </w:r>
          </w:p>
        </w:tc>
      </w:tr>
    </w:tbl>
    <w:p w14:paraId="0BD23818"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14 ciudades principales: Bogotá D.C., Medellín, Cali Barranquilla, Cartagena, Cúcuta, Bucaramanga, Ibagué, Pereira, Villavicencio, Pasto, Montería, Manizales y Santa Marta.</w:t>
      </w:r>
    </w:p>
    <w:p w14:paraId="1ABE9E21"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b) Familias con compromiso para dar cumplimiento a los requerimientos del hogar gestor.</w:t>
      </w:r>
    </w:p>
    <w:p w14:paraId="1DC50E50"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c) Familias con escasa o ninguna red de apoyo social o familiar que le brinden soporte para suplir las necesidades básicas del niño, la niña o el adolescente con discapacidad o víctima del conflicto armado con o sin discapacidad.</w:t>
      </w:r>
    </w:p>
    <w:p w14:paraId="2BC2E0FD"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d) Familias con niños, niñas, adolescentes con discapacidad y víctimas de conflicto armado.</w:t>
      </w:r>
    </w:p>
    <w:p w14:paraId="6E3E2026"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 xml:space="preserve">e) Familias que no están recibiendo </w:t>
      </w:r>
      <w:proofErr w:type="gramStart"/>
      <w:r w:rsidRPr="00CA5F5D">
        <w:rPr>
          <w:rFonts w:ascii="Verdana" w:hAnsi="Verdana"/>
          <w:i/>
          <w:iCs/>
          <w:sz w:val="22"/>
          <w:szCs w:val="22"/>
        </w:rPr>
        <w:t>apoyo económico o subsidios económicos</w:t>
      </w:r>
      <w:proofErr w:type="gramEnd"/>
      <w:r w:rsidRPr="00CA5F5D">
        <w:rPr>
          <w:rFonts w:ascii="Verdana" w:hAnsi="Verdana"/>
          <w:i/>
          <w:iCs/>
          <w:sz w:val="22"/>
          <w:szCs w:val="22"/>
        </w:rPr>
        <w:t xml:space="preserve"> con los mismos fines, por parte del Estado o de otra organización.</w:t>
      </w:r>
    </w:p>
    <w:p w14:paraId="606454A1" w14:textId="1A23A38B" w:rsidR="00CA5F5D" w:rsidRPr="00CA5F5D" w:rsidRDefault="00CA5F5D" w:rsidP="00CA5F5D">
      <w:pPr>
        <w:jc w:val="both"/>
        <w:rPr>
          <w:rFonts w:ascii="Verdana" w:hAnsi="Verdana"/>
          <w:sz w:val="22"/>
          <w:szCs w:val="22"/>
        </w:rPr>
      </w:pPr>
      <w:r w:rsidRPr="00CA5F5D">
        <w:rPr>
          <w:rFonts w:ascii="Verdana" w:hAnsi="Verdana"/>
          <w:i/>
          <w:iCs/>
          <w:sz w:val="22"/>
          <w:szCs w:val="22"/>
        </w:rPr>
        <w:t>A partir de la verificación de derechos y de los resultados de las evaluaciones realizadas por el equipo técnico interdisciplinario de la autoridad administrativa, ésta procederá a ordenar mediante resolución motivada la medida de restablecimiento de derechos, establecida en el Artículo 53 de la Ley 1098 de 2006 y suscribirá la respectiva acta de constitución, en donde se establecen las condiciones y compromisos de la familia, y se menciona, además, si se requiere o no el apoyo económico.</w:t>
      </w:r>
    </w:p>
    <w:p w14:paraId="040F8407"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Terminación de la medida de hogar gestor</w:t>
      </w:r>
    </w:p>
    <w:p w14:paraId="6248A45B"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La terminación de la medida de Hogar Gestor, independientemente del tiempo de constitución, se podrá dar siempre y cuando al niño, niña o adolescente se le hayan restablecido los derechos que motivaron la apertura de la medida. En tal sentido, la autoridad administrativa en coordinación con su equipo y los facilitadores de las Unidades de Apoyo y Fortalecimiento Familiar - UNAFA o Unidad de Apoyo y de la autoridad tradicional, evaluarán la pertinencia de la continuidad o el cierre del hogar gestor.</w:t>
      </w:r>
    </w:p>
    <w:p w14:paraId="17D63085"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Si a partir de los seguimientos que realiza el equipo de la autoridad administrativa, ésta determina que se han restablecido los derechos de los niños, niñas y adolescentes que motivaron la apertura del Hogar Gestor, la autoridad administrativa podrá cerrarlo anticipadamente.</w:t>
      </w:r>
    </w:p>
    <w:p w14:paraId="0F1022A8" w14:textId="3FC2A181" w:rsidR="00CA5F5D" w:rsidRPr="00CA5F5D" w:rsidRDefault="00CA5F5D" w:rsidP="00CA5F5D">
      <w:pPr>
        <w:jc w:val="both"/>
        <w:rPr>
          <w:rFonts w:ascii="Verdana" w:hAnsi="Verdana"/>
          <w:sz w:val="22"/>
          <w:szCs w:val="22"/>
        </w:rPr>
      </w:pPr>
      <w:r w:rsidRPr="00CA5F5D">
        <w:rPr>
          <w:rFonts w:ascii="Verdana" w:hAnsi="Verdana"/>
          <w:i/>
          <w:iCs/>
          <w:sz w:val="22"/>
          <w:szCs w:val="22"/>
        </w:rPr>
        <w:lastRenderedPageBreak/>
        <w:t>Es importante tener en cuenta que, de acuerdo con la sentencia T-075 / 2013, no debe limitarse o suspender la continuidad en la modalidad, mientras subsistan las circunstancias que dieron lugar al ingreso a la misma.</w:t>
      </w:r>
    </w:p>
    <w:p w14:paraId="790E2D51" w14:textId="77777777" w:rsidR="00CA5F5D" w:rsidRPr="00CA5F5D" w:rsidRDefault="00CA5F5D" w:rsidP="00CA5F5D">
      <w:pPr>
        <w:jc w:val="both"/>
        <w:rPr>
          <w:rFonts w:ascii="Verdana" w:hAnsi="Verdana"/>
          <w:sz w:val="22"/>
          <w:szCs w:val="22"/>
        </w:rPr>
      </w:pPr>
      <w:r w:rsidRPr="00CA5F5D">
        <w:rPr>
          <w:rFonts w:ascii="Verdana" w:hAnsi="Verdana"/>
          <w:i/>
          <w:iCs/>
          <w:sz w:val="22"/>
          <w:szCs w:val="22"/>
        </w:rPr>
        <w:t>La autoridad administrativa y su equipo determinarán la terminación o modificación de la medida cuando se dé incumplimiento a los compromisos establecidos, situación en la cual se debe tener en consideración la decisión más favorable a razón del interés superior del niño, niña o adolescente y prevalencia de sus derechos”.</w:t>
      </w:r>
      <w:r w:rsidRPr="00CA5F5D">
        <w:rPr>
          <w:rFonts w:ascii="Verdana" w:hAnsi="Verdana"/>
          <w:i/>
          <w:iCs/>
          <w:sz w:val="22"/>
          <w:szCs w:val="22"/>
          <w:vertAlign w:val="superscript"/>
        </w:rPr>
        <w:t>[11]</w:t>
      </w:r>
    </w:p>
    <w:p w14:paraId="2FED75A9"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t>2.4 El caso concreto.</w:t>
      </w:r>
    </w:p>
    <w:p w14:paraId="43C7AA56" w14:textId="77777777" w:rsidR="00CA5F5D" w:rsidRPr="00CA5F5D" w:rsidRDefault="00CA5F5D" w:rsidP="00CA5F5D">
      <w:pPr>
        <w:jc w:val="both"/>
        <w:rPr>
          <w:rFonts w:ascii="Verdana" w:hAnsi="Verdana"/>
          <w:sz w:val="22"/>
          <w:szCs w:val="22"/>
        </w:rPr>
      </w:pPr>
      <w:r w:rsidRPr="00CA5F5D">
        <w:rPr>
          <w:rFonts w:ascii="Verdana" w:hAnsi="Verdana"/>
          <w:b/>
          <w:bCs/>
          <w:i/>
          <w:iCs/>
          <w:sz w:val="22"/>
          <w:szCs w:val="22"/>
        </w:rPr>
        <w:t>Quisiera saber si como Defensora de Familia estoy obligada a realizar seguimientos a los hogares gestores o solo dichos seguimientos los debe hacer el equipo psicosocial y con base a los informes del equipo debo tomar las medidas.</w:t>
      </w:r>
    </w:p>
    <w:p w14:paraId="5DDE8C31" w14:textId="4B90F6B3" w:rsidR="00CA5F5D" w:rsidRPr="00CA5F5D" w:rsidRDefault="00CA5F5D" w:rsidP="00CA5F5D">
      <w:pPr>
        <w:jc w:val="both"/>
        <w:rPr>
          <w:rFonts w:ascii="Verdana" w:hAnsi="Verdana"/>
          <w:sz w:val="22"/>
          <w:szCs w:val="22"/>
        </w:rPr>
      </w:pPr>
      <w:r w:rsidRPr="00CA5F5D">
        <w:rPr>
          <w:rFonts w:ascii="Verdana" w:hAnsi="Verdana"/>
          <w:sz w:val="22"/>
          <w:szCs w:val="22"/>
        </w:rPr>
        <w:t>De acuerdo a lo mencionado en el Lineamiento Técnico de Modalidades para la Atención de Niños, Niñas y Adolescentes, con Derechos Inobservados, Amenazados o Vulnerados, aprobado mediante Resolución 1520 de febrero 23 de 2016 y modificado mediante las Resoluciones 5863 de junio 22 de 2016 y 7960 de agosto 10 de 2016, el seguimiento a la medida de hogar gestor deberá realizarse por parte de la autoridad administrativa en conjunto con su equipo interdisciplinario (trabajador social, psicólogo, nutricionista) o por los profesionales de las Unidades de Apoyo y Fortalecimiento Familiar - UNAFA o Unidad de Apoyo y de la autoridad tradicional, según sea el caso.</w:t>
      </w:r>
    </w:p>
    <w:p w14:paraId="3DB523AB"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Téngase en cuenta que el ICBF en </w:t>
      </w:r>
      <w:proofErr w:type="gramStart"/>
      <w:r w:rsidRPr="00CA5F5D">
        <w:rPr>
          <w:rFonts w:ascii="Verdana" w:hAnsi="Verdana"/>
          <w:sz w:val="22"/>
          <w:szCs w:val="22"/>
        </w:rPr>
        <w:t>Febrero</w:t>
      </w:r>
      <w:proofErr w:type="gramEnd"/>
      <w:r w:rsidRPr="00CA5F5D">
        <w:rPr>
          <w:rFonts w:ascii="Verdana" w:hAnsi="Verdana"/>
          <w:sz w:val="22"/>
          <w:szCs w:val="22"/>
        </w:rPr>
        <w:t xml:space="preserve"> de 2016 emitió nuevos lineamientos técnicos que sirven como herramienta de consulta para el quehacer diario de las autoridades administrativas, dichos lineamientos se encuentran publicados en la página www.icbf.gov.co.</w:t>
      </w:r>
    </w:p>
    <w:p w14:paraId="6926383A" w14:textId="29465ECF" w:rsidR="00CA5F5D" w:rsidRPr="00CA5F5D" w:rsidRDefault="00CA5F5D" w:rsidP="00CA5F5D">
      <w:pPr>
        <w:jc w:val="both"/>
        <w:rPr>
          <w:rFonts w:ascii="Verdana" w:hAnsi="Verdana"/>
          <w:sz w:val="22"/>
          <w:szCs w:val="22"/>
        </w:rPr>
      </w:pPr>
      <w:r w:rsidRPr="00CA5F5D">
        <w:rPr>
          <w:rFonts w:ascii="Verdana" w:hAnsi="Verdana"/>
          <w:sz w:val="22"/>
          <w:szCs w:val="22"/>
        </w:rPr>
        <w:t xml:space="preserve">El presente </w:t>
      </w:r>
      <w:proofErr w:type="gramStart"/>
      <w:r w:rsidRPr="00CA5F5D">
        <w:rPr>
          <w:rFonts w:ascii="Verdana" w:hAnsi="Verdana"/>
          <w:sz w:val="22"/>
          <w:szCs w:val="22"/>
        </w:rPr>
        <w:t>concepto</w:t>
      </w:r>
      <w:r w:rsidRPr="00CA5F5D">
        <w:rPr>
          <w:rFonts w:ascii="Verdana" w:hAnsi="Verdana"/>
          <w:sz w:val="22"/>
          <w:szCs w:val="22"/>
          <w:vertAlign w:val="superscript"/>
        </w:rPr>
        <w:t>[</w:t>
      </w:r>
      <w:proofErr w:type="gramEnd"/>
      <w:r w:rsidRPr="00CA5F5D">
        <w:rPr>
          <w:rFonts w:ascii="Verdana" w:hAnsi="Verdana"/>
          <w:sz w:val="22"/>
          <w:szCs w:val="22"/>
          <w:vertAlign w:val="superscript"/>
        </w:rPr>
        <w:t>12]</w:t>
      </w:r>
      <w:r w:rsidRPr="00CA5F5D">
        <w:rPr>
          <w:rFonts w:ascii="Verdana" w:hAnsi="Verdana"/>
          <w:sz w:val="22"/>
          <w:szCs w:val="22"/>
        </w:rPr>
        <w:t xml:space="preserve"> no es de obligatorio cumplimiento o ejecución para particulares o agentes externos, de conformidad con lo establecido en la Ley 1755 de 2015. No </w:t>
      </w:r>
      <w:proofErr w:type="gramStart"/>
      <w:r w:rsidRPr="00CA5F5D">
        <w:rPr>
          <w:rFonts w:ascii="Verdana" w:hAnsi="Verdana"/>
          <w:sz w:val="22"/>
          <w:szCs w:val="22"/>
        </w:rPr>
        <w:t>obstante</w:t>
      </w:r>
      <w:proofErr w:type="gramEnd"/>
      <w:r w:rsidRPr="00CA5F5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A47F27E" w14:textId="77777777" w:rsidR="00CA5F5D" w:rsidRDefault="00CA5F5D" w:rsidP="00CA5F5D">
      <w:pPr>
        <w:jc w:val="both"/>
        <w:rPr>
          <w:rFonts w:ascii="Verdana" w:hAnsi="Verdana"/>
          <w:sz w:val="22"/>
          <w:szCs w:val="22"/>
        </w:rPr>
      </w:pPr>
      <w:r w:rsidRPr="00CA5F5D">
        <w:rPr>
          <w:rFonts w:ascii="Verdana" w:hAnsi="Verdana"/>
          <w:sz w:val="22"/>
          <w:szCs w:val="22"/>
        </w:rPr>
        <w:t>Atentamente,</w:t>
      </w:r>
    </w:p>
    <w:p w14:paraId="4B80456D" w14:textId="77777777" w:rsidR="00CA5F5D" w:rsidRPr="00CA5F5D" w:rsidRDefault="00CA5F5D" w:rsidP="00CA5F5D">
      <w:pPr>
        <w:jc w:val="both"/>
        <w:rPr>
          <w:rFonts w:ascii="Verdana" w:hAnsi="Verdana"/>
          <w:sz w:val="22"/>
          <w:szCs w:val="22"/>
        </w:rPr>
      </w:pPr>
    </w:p>
    <w:p w14:paraId="352EBB6B" w14:textId="77777777" w:rsidR="00CA5F5D" w:rsidRPr="00CA5F5D" w:rsidRDefault="00CA5F5D" w:rsidP="00CA5F5D">
      <w:pPr>
        <w:jc w:val="both"/>
        <w:rPr>
          <w:rFonts w:ascii="Verdana" w:hAnsi="Verdana"/>
          <w:sz w:val="22"/>
          <w:szCs w:val="22"/>
        </w:rPr>
      </w:pPr>
      <w:r w:rsidRPr="00CA5F5D">
        <w:rPr>
          <w:rFonts w:ascii="Verdana" w:hAnsi="Verdana"/>
          <w:b/>
          <w:bCs/>
          <w:sz w:val="22"/>
          <w:szCs w:val="22"/>
        </w:rPr>
        <w:lastRenderedPageBreak/>
        <w:t>MARÍA TERESA SALAMANCA ACOSTA</w:t>
      </w:r>
    </w:p>
    <w:p w14:paraId="5CD8C439" w14:textId="77777777" w:rsidR="00CA5F5D" w:rsidRDefault="00CA5F5D" w:rsidP="00CA5F5D">
      <w:pPr>
        <w:jc w:val="both"/>
        <w:rPr>
          <w:rFonts w:ascii="Verdana" w:hAnsi="Verdana"/>
          <w:sz w:val="22"/>
          <w:szCs w:val="22"/>
        </w:rPr>
      </w:pPr>
      <w:r w:rsidRPr="00CA5F5D">
        <w:rPr>
          <w:rFonts w:ascii="Verdana" w:hAnsi="Verdana"/>
          <w:sz w:val="22"/>
          <w:szCs w:val="22"/>
        </w:rPr>
        <w:t>Jefe Oficina Asesora Jurídica (E)</w:t>
      </w:r>
    </w:p>
    <w:p w14:paraId="4434A0EC" w14:textId="77777777" w:rsidR="00CA5F5D" w:rsidRDefault="00CA5F5D" w:rsidP="00CA5F5D">
      <w:pPr>
        <w:jc w:val="both"/>
        <w:rPr>
          <w:rFonts w:ascii="Verdana" w:hAnsi="Verdana"/>
          <w:sz w:val="22"/>
          <w:szCs w:val="22"/>
        </w:rPr>
      </w:pPr>
    </w:p>
    <w:p w14:paraId="6AA73B0E" w14:textId="280171FD" w:rsidR="00CA5F5D" w:rsidRPr="00CA5F5D" w:rsidRDefault="00CA5F5D" w:rsidP="00CA5F5D">
      <w:pPr>
        <w:jc w:val="both"/>
        <w:rPr>
          <w:rFonts w:ascii="Verdana" w:hAnsi="Verdana"/>
          <w:b/>
          <w:bCs/>
          <w:sz w:val="22"/>
          <w:szCs w:val="22"/>
        </w:rPr>
      </w:pPr>
      <w:r w:rsidRPr="00CA5F5D">
        <w:rPr>
          <w:rFonts w:ascii="Verdana" w:hAnsi="Verdana"/>
          <w:b/>
          <w:bCs/>
          <w:sz w:val="22"/>
          <w:szCs w:val="22"/>
        </w:rPr>
        <w:t>Notas de pie de página:</w:t>
      </w:r>
    </w:p>
    <w:p w14:paraId="4A2C1E74" w14:textId="61F6212B" w:rsidR="00CA5F5D" w:rsidRPr="00CA5F5D" w:rsidRDefault="00CA5F5D" w:rsidP="00CA5F5D">
      <w:pPr>
        <w:jc w:val="both"/>
        <w:rPr>
          <w:rFonts w:ascii="Verdana" w:hAnsi="Verdana"/>
          <w:sz w:val="22"/>
          <w:szCs w:val="22"/>
        </w:rPr>
      </w:pPr>
      <w:r w:rsidRPr="00CA5F5D">
        <w:rPr>
          <w:rFonts w:ascii="Verdana" w:hAnsi="Verdana"/>
          <w:sz w:val="22"/>
          <w:szCs w:val="22"/>
        </w:rPr>
        <w:t xml:space="preserve">1 </w:t>
      </w:r>
      <w:proofErr w:type="gramStart"/>
      <w:r w:rsidRPr="00CA5F5D">
        <w:rPr>
          <w:rFonts w:ascii="Verdana" w:hAnsi="Verdana"/>
          <w:sz w:val="22"/>
          <w:szCs w:val="22"/>
        </w:rPr>
        <w:t>Artículo</w:t>
      </w:r>
      <w:proofErr w:type="gramEnd"/>
      <w:r w:rsidRPr="00CA5F5D">
        <w:rPr>
          <w:rFonts w:ascii="Verdana" w:hAnsi="Verdana"/>
          <w:sz w:val="22"/>
          <w:szCs w:val="22"/>
        </w:rPr>
        <w:t xml:space="preserve"> 4o de la Ley 1098 de 2005</w:t>
      </w:r>
    </w:p>
    <w:p w14:paraId="19991FA9" w14:textId="0D2DF7B4" w:rsidR="00CA5F5D" w:rsidRPr="00CA5F5D" w:rsidRDefault="00CA5F5D" w:rsidP="00CA5F5D">
      <w:pPr>
        <w:jc w:val="both"/>
        <w:rPr>
          <w:rFonts w:ascii="Verdana" w:hAnsi="Verdana"/>
          <w:sz w:val="22"/>
          <w:szCs w:val="22"/>
        </w:rPr>
      </w:pPr>
      <w:r w:rsidRPr="00CA5F5D">
        <w:rPr>
          <w:rFonts w:ascii="Verdana" w:hAnsi="Verdana"/>
          <w:sz w:val="22"/>
          <w:szCs w:val="22"/>
        </w:rPr>
        <w:t xml:space="preserve">2 </w:t>
      </w:r>
      <w:proofErr w:type="gramStart"/>
      <w:r w:rsidRPr="00CA5F5D">
        <w:rPr>
          <w:rFonts w:ascii="Verdana" w:hAnsi="Verdana"/>
          <w:sz w:val="22"/>
          <w:szCs w:val="22"/>
        </w:rPr>
        <w:t>Corte</w:t>
      </w:r>
      <w:proofErr w:type="gramEnd"/>
      <w:r w:rsidRPr="00CA5F5D">
        <w:rPr>
          <w:rFonts w:ascii="Verdana" w:hAnsi="Verdana"/>
          <w:sz w:val="22"/>
          <w:szCs w:val="22"/>
        </w:rPr>
        <w:t xml:space="preserve"> Constitucional C-149 del 11 de marzo de 2009 M. P. Dr. Gabriel Eduardo Mendoza Martelo.</w:t>
      </w:r>
    </w:p>
    <w:p w14:paraId="226066DF" w14:textId="4E720414" w:rsidR="00CA5F5D" w:rsidRPr="00CA5F5D" w:rsidRDefault="00CA5F5D" w:rsidP="00CA5F5D">
      <w:pPr>
        <w:jc w:val="both"/>
        <w:rPr>
          <w:rFonts w:ascii="Verdana" w:hAnsi="Verdana"/>
          <w:sz w:val="22"/>
          <w:szCs w:val="22"/>
        </w:rPr>
      </w:pPr>
      <w:r w:rsidRPr="00CA5F5D">
        <w:rPr>
          <w:rFonts w:ascii="Verdana" w:hAnsi="Verdana"/>
          <w:sz w:val="22"/>
          <w:szCs w:val="22"/>
        </w:rPr>
        <w:t xml:space="preserve">3 </w:t>
      </w:r>
      <w:proofErr w:type="gramStart"/>
      <w:r w:rsidRPr="00CA5F5D">
        <w:rPr>
          <w:rFonts w:ascii="Verdana" w:hAnsi="Verdana"/>
          <w:sz w:val="22"/>
          <w:szCs w:val="22"/>
        </w:rPr>
        <w:t>Corte</w:t>
      </w:r>
      <w:proofErr w:type="gramEnd"/>
      <w:r w:rsidRPr="00CA5F5D">
        <w:rPr>
          <w:rFonts w:ascii="Verdana" w:hAnsi="Verdana"/>
          <w:sz w:val="22"/>
          <w:szCs w:val="22"/>
        </w:rPr>
        <w:t xml:space="preserve"> Constitucional. Sentencia C-690/08 D. 6939 M. P. Nilson Pinilla </w:t>
      </w:r>
      <w:proofErr w:type="spellStart"/>
      <w:r w:rsidRPr="00CA5F5D">
        <w:rPr>
          <w:rFonts w:ascii="Verdana" w:hAnsi="Verdana"/>
          <w:sz w:val="22"/>
          <w:szCs w:val="22"/>
        </w:rPr>
        <w:t>Pinilla</w:t>
      </w:r>
      <w:proofErr w:type="spellEnd"/>
      <w:r w:rsidRPr="00CA5F5D">
        <w:rPr>
          <w:rFonts w:ascii="Verdana" w:hAnsi="Verdana"/>
          <w:sz w:val="22"/>
          <w:szCs w:val="22"/>
        </w:rPr>
        <w:t>.</w:t>
      </w:r>
    </w:p>
    <w:p w14:paraId="67572FA2" w14:textId="246D7217" w:rsidR="00CA5F5D" w:rsidRPr="00CA5F5D" w:rsidRDefault="00CA5F5D" w:rsidP="00CA5F5D">
      <w:pPr>
        <w:jc w:val="both"/>
        <w:rPr>
          <w:rFonts w:ascii="Verdana" w:hAnsi="Verdana"/>
          <w:sz w:val="22"/>
          <w:szCs w:val="22"/>
          <w:lang w:val="pt-PT"/>
        </w:rPr>
      </w:pPr>
      <w:r w:rsidRPr="00CA5F5D">
        <w:rPr>
          <w:rFonts w:ascii="Verdana" w:hAnsi="Verdana"/>
          <w:sz w:val="22"/>
          <w:szCs w:val="22"/>
          <w:lang w:val="pt-PT"/>
        </w:rPr>
        <w:t>4 T-671-10 M P. Dr. JORGE IGNACIO PRETELT CHALJUB</w:t>
      </w:r>
    </w:p>
    <w:p w14:paraId="16CB43A7" w14:textId="52C58B38" w:rsidR="00CA5F5D" w:rsidRPr="00CA5F5D" w:rsidRDefault="00CA5F5D" w:rsidP="00CA5F5D">
      <w:pPr>
        <w:jc w:val="both"/>
        <w:rPr>
          <w:rFonts w:ascii="Verdana" w:hAnsi="Verdana"/>
          <w:sz w:val="22"/>
          <w:szCs w:val="22"/>
        </w:rPr>
      </w:pPr>
      <w:r w:rsidRPr="00CA5F5D">
        <w:rPr>
          <w:rFonts w:ascii="Verdana" w:hAnsi="Verdana"/>
          <w:sz w:val="22"/>
          <w:szCs w:val="22"/>
        </w:rPr>
        <w:t xml:space="preserve">5 </w:t>
      </w:r>
      <w:proofErr w:type="gramStart"/>
      <w:r w:rsidRPr="00CA5F5D">
        <w:rPr>
          <w:rFonts w:ascii="Verdana" w:hAnsi="Verdana"/>
          <w:sz w:val="22"/>
          <w:szCs w:val="22"/>
        </w:rPr>
        <w:t>Se</w:t>
      </w:r>
      <w:proofErr w:type="gramEnd"/>
      <w:r w:rsidRPr="00CA5F5D">
        <w:rPr>
          <w:rFonts w:ascii="Verdana" w:hAnsi="Verdana"/>
          <w:sz w:val="22"/>
          <w:szCs w:val="22"/>
        </w:rPr>
        <w:t xml:space="preserve"> consideran con discapacidad mental absoluta quienes sufren una afección o patología severa o profunda de aprendizaje, de comportamiento o de deterioro mental. LEY 1306 DE 2009.</w:t>
      </w:r>
    </w:p>
    <w:p w14:paraId="0EEF236E"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6 </w:t>
      </w:r>
      <w:proofErr w:type="gramStart"/>
      <w:r w:rsidRPr="00CA5F5D">
        <w:rPr>
          <w:rFonts w:ascii="Verdana" w:hAnsi="Verdana"/>
          <w:sz w:val="22"/>
          <w:szCs w:val="22"/>
        </w:rPr>
        <w:t>El</w:t>
      </w:r>
      <w:proofErr w:type="gramEnd"/>
      <w:r w:rsidRPr="00CA5F5D">
        <w:rPr>
          <w:rFonts w:ascii="Verdana" w:hAnsi="Verdana"/>
          <w:sz w:val="22"/>
          <w:szCs w:val="22"/>
        </w:rPr>
        <w:t xml:space="preserve"> apoyo económico so entrega sólo cuando el equipo técnico interdisciplinario de la autoridad </w:t>
      </w:r>
      <w:proofErr w:type="gramStart"/>
      <w:r w:rsidRPr="00CA5F5D">
        <w:rPr>
          <w:rFonts w:ascii="Verdana" w:hAnsi="Verdana"/>
          <w:sz w:val="22"/>
          <w:szCs w:val="22"/>
        </w:rPr>
        <w:t>administrativa,</w:t>
      </w:r>
      <w:proofErr w:type="gramEnd"/>
      <w:r w:rsidRPr="00CA5F5D">
        <w:rPr>
          <w:rFonts w:ascii="Verdana" w:hAnsi="Verdana"/>
          <w:sz w:val="22"/>
          <w:szCs w:val="22"/>
        </w:rPr>
        <w:t xml:space="preserve"> establezca plenamente que la familia carece de los recursos económicos necesarios para garantizarle un nivel de vida adecuado. Artículo 56 ley 1098 de 2006.</w:t>
      </w:r>
    </w:p>
    <w:p w14:paraId="072EEA90" w14:textId="34B3FC63" w:rsidR="00CA5F5D" w:rsidRPr="00CA5F5D" w:rsidRDefault="00CA5F5D" w:rsidP="00CA5F5D">
      <w:pPr>
        <w:jc w:val="both"/>
        <w:rPr>
          <w:rFonts w:ascii="Verdana" w:hAnsi="Verdana"/>
          <w:sz w:val="22"/>
          <w:szCs w:val="22"/>
        </w:rPr>
      </w:pPr>
      <w:r w:rsidRPr="00CA5F5D">
        <w:rPr>
          <w:rFonts w:ascii="Verdana" w:hAnsi="Verdana"/>
          <w:sz w:val="22"/>
          <w:szCs w:val="22"/>
        </w:rPr>
        <w:t xml:space="preserve">7 </w:t>
      </w:r>
      <w:proofErr w:type="gramStart"/>
      <w:r w:rsidRPr="00CA5F5D">
        <w:rPr>
          <w:rFonts w:ascii="Verdana" w:hAnsi="Verdana"/>
          <w:sz w:val="22"/>
          <w:szCs w:val="22"/>
        </w:rPr>
        <w:t>Artículo</w:t>
      </w:r>
      <w:proofErr w:type="gramEnd"/>
      <w:r w:rsidRPr="00CA5F5D">
        <w:rPr>
          <w:rFonts w:ascii="Verdana" w:hAnsi="Verdana"/>
          <w:sz w:val="22"/>
          <w:szCs w:val="22"/>
        </w:rPr>
        <w:t> 22 ley 1098 del 2006.</w:t>
      </w:r>
    </w:p>
    <w:p w14:paraId="2DE9413F" w14:textId="0B8C5966" w:rsidR="00CA5F5D" w:rsidRPr="00CA5F5D" w:rsidRDefault="00CA5F5D" w:rsidP="00CA5F5D">
      <w:pPr>
        <w:jc w:val="both"/>
        <w:rPr>
          <w:rFonts w:ascii="Verdana" w:hAnsi="Verdana"/>
          <w:sz w:val="22"/>
          <w:szCs w:val="22"/>
        </w:rPr>
      </w:pPr>
      <w:r w:rsidRPr="00CA5F5D">
        <w:rPr>
          <w:rFonts w:ascii="Verdana" w:hAnsi="Verdana"/>
          <w:sz w:val="22"/>
          <w:szCs w:val="22"/>
        </w:rPr>
        <w:t xml:space="preserve">8 </w:t>
      </w:r>
      <w:proofErr w:type="gramStart"/>
      <w:r w:rsidRPr="00CA5F5D">
        <w:rPr>
          <w:rFonts w:ascii="Verdana" w:hAnsi="Verdana"/>
          <w:sz w:val="22"/>
          <w:szCs w:val="22"/>
        </w:rPr>
        <w:t>Sentencia</w:t>
      </w:r>
      <w:proofErr w:type="gramEnd"/>
      <w:r w:rsidRPr="00CA5F5D">
        <w:rPr>
          <w:rFonts w:ascii="Verdana" w:hAnsi="Verdana"/>
          <w:sz w:val="22"/>
          <w:szCs w:val="22"/>
        </w:rPr>
        <w:t xml:space="preserve"> T-301 de 2014</w:t>
      </w:r>
    </w:p>
    <w:p w14:paraId="6878EACC" w14:textId="5BC05600" w:rsidR="00CA5F5D" w:rsidRPr="00CA5F5D" w:rsidRDefault="00CA5F5D" w:rsidP="00CA5F5D">
      <w:pPr>
        <w:jc w:val="both"/>
        <w:rPr>
          <w:rFonts w:ascii="Verdana" w:hAnsi="Verdana"/>
          <w:sz w:val="22"/>
          <w:szCs w:val="22"/>
        </w:rPr>
      </w:pPr>
      <w:r w:rsidRPr="00CA5F5D">
        <w:rPr>
          <w:rFonts w:ascii="Verdana" w:hAnsi="Verdana"/>
          <w:sz w:val="22"/>
          <w:szCs w:val="22"/>
        </w:rPr>
        <w:t xml:space="preserve">9 </w:t>
      </w:r>
      <w:proofErr w:type="gramStart"/>
      <w:r w:rsidRPr="00CA5F5D">
        <w:rPr>
          <w:rFonts w:ascii="Verdana" w:hAnsi="Verdana"/>
          <w:sz w:val="22"/>
          <w:szCs w:val="22"/>
        </w:rPr>
        <w:t>El</w:t>
      </w:r>
      <w:proofErr w:type="gramEnd"/>
      <w:r w:rsidRPr="00CA5F5D">
        <w:rPr>
          <w:rFonts w:ascii="Verdana" w:hAnsi="Verdana"/>
          <w:sz w:val="22"/>
          <w:szCs w:val="22"/>
        </w:rPr>
        <w:t xml:space="preserve"> Lineamiento Técnico de Modalidades para la Atención de Niños, Niñas y Adolescentes, con Derechos Inobservados, Amenazados o Vulnerados, aprobado mediante Resolución 1520 de febrero 23 de 2016 y modificado mediante las Resoluciones 5863 de junio 22 de 2016 y 7960 de agosto 10 de 2016, pág. 27</w:t>
      </w:r>
    </w:p>
    <w:p w14:paraId="01D476F2" w14:textId="7D672BF8" w:rsidR="00CA5F5D" w:rsidRPr="00CA5F5D" w:rsidRDefault="00CA5F5D" w:rsidP="00CA5F5D">
      <w:pPr>
        <w:jc w:val="both"/>
        <w:rPr>
          <w:rFonts w:ascii="Verdana" w:hAnsi="Verdana"/>
          <w:sz w:val="22"/>
          <w:szCs w:val="22"/>
        </w:rPr>
      </w:pPr>
      <w:r w:rsidRPr="00CA5F5D">
        <w:rPr>
          <w:rFonts w:ascii="Verdana" w:hAnsi="Verdana"/>
          <w:sz w:val="22"/>
          <w:szCs w:val="22"/>
        </w:rPr>
        <w:t xml:space="preserve">10 </w:t>
      </w:r>
      <w:proofErr w:type="gramStart"/>
      <w:r w:rsidRPr="00CA5F5D">
        <w:rPr>
          <w:rFonts w:ascii="Verdana" w:hAnsi="Verdana"/>
          <w:sz w:val="22"/>
          <w:szCs w:val="22"/>
        </w:rPr>
        <w:t>Incluye</w:t>
      </w:r>
      <w:proofErr w:type="gramEnd"/>
      <w:r w:rsidRPr="00CA5F5D">
        <w:rPr>
          <w:rFonts w:ascii="Verdana" w:hAnsi="Verdana"/>
          <w:sz w:val="22"/>
          <w:szCs w:val="22"/>
        </w:rPr>
        <w:t xml:space="preserve"> la población de niños, niñas y adolescentes de 0 a 18 años, con derechos inobservados, amenazados o vulnerados, con discapacidad y situación de desplazamiento, el marco del auto 006 de 2009.</w:t>
      </w:r>
    </w:p>
    <w:p w14:paraId="4EE3C56E" w14:textId="77777777" w:rsidR="00CA5F5D" w:rsidRPr="00CA5F5D" w:rsidRDefault="00CA5F5D" w:rsidP="00CA5F5D">
      <w:pPr>
        <w:jc w:val="both"/>
        <w:rPr>
          <w:rFonts w:ascii="Verdana" w:hAnsi="Verdana"/>
          <w:sz w:val="22"/>
          <w:szCs w:val="22"/>
        </w:rPr>
      </w:pPr>
      <w:r w:rsidRPr="00CA5F5D">
        <w:rPr>
          <w:rFonts w:ascii="Verdana" w:hAnsi="Verdana"/>
          <w:sz w:val="22"/>
          <w:szCs w:val="22"/>
        </w:rPr>
        <w:t xml:space="preserve">11 </w:t>
      </w:r>
      <w:proofErr w:type="spellStart"/>
      <w:r w:rsidRPr="00CA5F5D">
        <w:rPr>
          <w:rFonts w:ascii="Verdana" w:hAnsi="Verdana"/>
          <w:sz w:val="22"/>
          <w:szCs w:val="22"/>
        </w:rPr>
        <w:t>Ibídem</w:t>
      </w:r>
      <w:proofErr w:type="spellEnd"/>
    </w:p>
    <w:p w14:paraId="1319EA8D" w14:textId="0B2C0561" w:rsidR="00CA5F5D" w:rsidRPr="00CA5F5D" w:rsidRDefault="00CA5F5D" w:rsidP="00CA5F5D">
      <w:pPr>
        <w:jc w:val="both"/>
        <w:rPr>
          <w:rFonts w:ascii="Verdana" w:hAnsi="Verdana"/>
          <w:sz w:val="22"/>
          <w:szCs w:val="22"/>
        </w:rPr>
      </w:pPr>
      <w:r w:rsidRPr="00CA5F5D">
        <w:rPr>
          <w:rFonts w:ascii="Verdana" w:hAnsi="Verdana"/>
          <w:sz w:val="22"/>
          <w:szCs w:val="22"/>
        </w:rPr>
        <w:t xml:space="preserve">12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w:t>
      </w:r>
      <w:r w:rsidRPr="00CA5F5D">
        <w:rPr>
          <w:rFonts w:ascii="Verdana" w:hAnsi="Verdana"/>
          <w:sz w:val="22"/>
          <w:szCs w:val="22"/>
        </w:rPr>
        <w:lastRenderedPageBreak/>
        <w:t>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3ED4E322" w14:textId="77777777" w:rsidR="00CA5F5D" w:rsidRPr="00CA5F5D" w:rsidRDefault="00CA5F5D" w:rsidP="00CA5F5D">
      <w:pPr>
        <w:jc w:val="both"/>
        <w:rPr>
          <w:rFonts w:ascii="Verdana" w:hAnsi="Verdana"/>
          <w:sz w:val="22"/>
          <w:szCs w:val="22"/>
        </w:rPr>
      </w:pPr>
    </w:p>
    <w:sectPr w:rsidR="00CA5F5D" w:rsidRPr="00CA5F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5D"/>
    <w:rsid w:val="003B5256"/>
    <w:rsid w:val="00CA5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7957"/>
  <w15:chartTrackingRefBased/>
  <w15:docId w15:val="{E4B15B66-9496-4FD5-ADA4-16A08105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5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5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5F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5F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5F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5F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5F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5F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5F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5F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5F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5F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5F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5F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5F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5F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5F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5F5D"/>
    <w:rPr>
      <w:rFonts w:eastAsiaTheme="majorEastAsia" w:cstheme="majorBidi"/>
      <w:color w:val="272727" w:themeColor="text1" w:themeTint="D8"/>
    </w:rPr>
  </w:style>
  <w:style w:type="paragraph" w:styleId="Ttulo">
    <w:name w:val="Title"/>
    <w:basedOn w:val="Normal"/>
    <w:next w:val="Normal"/>
    <w:link w:val="TtuloCar"/>
    <w:uiPriority w:val="10"/>
    <w:qFormat/>
    <w:rsid w:val="00CA5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5F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5F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5F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5F5D"/>
    <w:pPr>
      <w:spacing w:before="160"/>
      <w:jc w:val="center"/>
    </w:pPr>
    <w:rPr>
      <w:i/>
      <w:iCs/>
      <w:color w:val="404040" w:themeColor="text1" w:themeTint="BF"/>
    </w:rPr>
  </w:style>
  <w:style w:type="character" w:customStyle="1" w:styleId="CitaCar">
    <w:name w:val="Cita Car"/>
    <w:basedOn w:val="Fuentedeprrafopredeter"/>
    <w:link w:val="Cita"/>
    <w:uiPriority w:val="29"/>
    <w:rsid w:val="00CA5F5D"/>
    <w:rPr>
      <w:i/>
      <w:iCs/>
      <w:color w:val="404040" w:themeColor="text1" w:themeTint="BF"/>
    </w:rPr>
  </w:style>
  <w:style w:type="paragraph" w:styleId="Prrafodelista">
    <w:name w:val="List Paragraph"/>
    <w:basedOn w:val="Normal"/>
    <w:uiPriority w:val="34"/>
    <w:qFormat/>
    <w:rsid w:val="00CA5F5D"/>
    <w:pPr>
      <w:ind w:left="720"/>
      <w:contextualSpacing/>
    </w:pPr>
  </w:style>
  <w:style w:type="character" w:styleId="nfasisintenso">
    <w:name w:val="Intense Emphasis"/>
    <w:basedOn w:val="Fuentedeprrafopredeter"/>
    <w:uiPriority w:val="21"/>
    <w:qFormat/>
    <w:rsid w:val="00CA5F5D"/>
    <w:rPr>
      <w:i/>
      <w:iCs/>
      <w:color w:val="0F4761" w:themeColor="accent1" w:themeShade="BF"/>
    </w:rPr>
  </w:style>
  <w:style w:type="paragraph" w:styleId="Citadestacada">
    <w:name w:val="Intense Quote"/>
    <w:basedOn w:val="Normal"/>
    <w:next w:val="Normal"/>
    <w:link w:val="CitadestacadaCar"/>
    <w:uiPriority w:val="30"/>
    <w:qFormat/>
    <w:rsid w:val="00CA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5F5D"/>
    <w:rPr>
      <w:i/>
      <w:iCs/>
      <w:color w:val="0F4761" w:themeColor="accent1" w:themeShade="BF"/>
    </w:rPr>
  </w:style>
  <w:style w:type="character" w:styleId="Referenciaintensa">
    <w:name w:val="Intense Reference"/>
    <w:basedOn w:val="Fuentedeprrafopredeter"/>
    <w:uiPriority w:val="32"/>
    <w:qFormat/>
    <w:rsid w:val="00CA5F5D"/>
    <w:rPr>
      <w:b/>
      <w:bCs/>
      <w:smallCaps/>
      <w:color w:val="0F4761" w:themeColor="accent1" w:themeShade="BF"/>
      <w:spacing w:val="5"/>
    </w:rPr>
  </w:style>
  <w:style w:type="character" w:styleId="Hipervnculo">
    <w:name w:val="Hyperlink"/>
    <w:basedOn w:val="Fuentedeprrafopredeter"/>
    <w:uiPriority w:val="99"/>
    <w:unhideWhenUsed/>
    <w:rsid w:val="00CA5F5D"/>
    <w:rPr>
      <w:color w:val="467886" w:themeColor="hyperlink"/>
      <w:u w:val="single"/>
    </w:rPr>
  </w:style>
  <w:style w:type="character" w:styleId="Mencinsinresolver">
    <w:name w:val="Unresolved Mention"/>
    <w:basedOn w:val="Fuentedeprrafopredeter"/>
    <w:uiPriority w:val="99"/>
    <w:semiHidden/>
    <w:unhideWhenUsed/>
    <w:rsid w:val="00CA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E147C-DC93-4532-9366-33A4BFCEAE6D}"/>
</file>

<file path=customXml/itemProps2.xml><?xml version="1.0" encoding="utf-8"?>
<ds:datastoreItem xmlns:ds="http://schemas.openxmlformats.org/officeDocument/2006/customXml" ds:itemID="{54135426-19DA-42DA-B9A4-F5368EC85E66}"/>
</file>

<file path=customXml/itemProps3.xml><?xml version="1.0" encoding="utf-8"?>
<ds:datastoreItem xmlns:ds="http://schemas.openxmlformats.org/officeDocument/2006/customXml" ds:itemID="{C44F87A7-62D3-4956-AD7F-9E6D89ABD172}"/>
</file>

<file path=docProps/app.xml><?xml version="1.0" encoding="utf-8"?>
<Properties xmlns="http://schemas.openxmlformats.org/officeDocument/2006/extended-properties" xmlns:vt="http://schemas.openxmlformats.org/officeDocument/2006/docPropsVTypes">
  <Template>Normal</Template>
  <TotalTime>1</TotalTime>
  <Pages>1</Pages>
  <Words>2959</Words>
  <Characters>16278</Characters>
  <Application>Microsoft Office Word</Application>
  <DocSecurity>0</DocSecurity>
  <Lines>135</Lines>
  <Paragraphs>38</Paragraphs>
  <ScaleCrop>false</ScaleCrop>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2026-05-08T16:34:00Z</dcterms:created>
  <dcterms:modified xsi:type="dcterms:W3CDTF">2026-05-08T16:35:00Z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