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2A9D" w:rsidR="00142A9D" w:rsidP="00142A9D" w:rsidRDefault="00142A9D" w14:paraId="09B89D5C" w14:textId="7898D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eastAsia="Times New Roman" w:cs="Arial"/>
          <w:b/>
          <w:spacing w:val="-3"/>
          <w:lang w:eastAsia="es-ES"/>
        </w:rPr>
      </w:pPr>
      <w:r w:rsidRPr="00142A9D">
        <w:rPr>
          <w:rFonts w:ascii="Verdana" w:hAnsi="Verdana" w:eastAsia="Times New Roman" w:cs="Arial"/>
          <w:b/>
          <w:spacing w:val="-3"/>
          <w:lang w:eastAsia="es-ES"/>
        </w:rPr>
        <w:t xml:space="preserve">CONCEPTO No. </w:t>
      </w:r>
      <w:r w:rsidR="00DF615E">
        <w:rPr>
          <w:rFonts w:ascii="Verdana" w:hAnsi="Verdana" w:eastAsia="Times New Roman" w:cs="Arial"/>
          <w:b/>
          <w:spacing w:val="-3"/>
          <w:lang w:eastAsia="es-ES"/>
        </w:rPr>
        <w:t>11</w:t>
      </w:r>
      <w:r w:rsidRPr="00142A9D">
        <w:rPr>
          <w:rFonts w:ascii="Verdana" w:hAnsi="Verdana" w:eastAsia="Times New Roman" w:cs="Arial"/>
          <w:b/>
          <w:spacing w:val="-3"/>
          <w:lang w:eastAsia="es-ES"/>
        </w:rPr>
        <w:t xml:space="preserve"> DE 2024</w:t>
      </w:r>
    </w:p>
    <w:p w:rsidRPr="00142A9D" w:rsidR="00142A9D" w:rsidP="00142A9D" w:rsidRDefault="00142A9D" w14:paraId="5842F89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eastAsia="Times New Roman" w:cs="Arial"/>
          <w:b/>
          <w:spacing w:val="-3"/>
          <w:lang w:eastAsia="es-ES"/>
        </w:rPr>
      </w:pPr>
    </w:p>
    <w:p w:rsidRPr="00142A9D" w:rsidR="00142A9D" w:rsidP="00142A9D" w:rsidRDefault="00142A9D" w14:paraId="7371227D" w14:textId="509A4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eastAsia="Times New Roman" w:cs="Arial"/>
          <w:bCs/>
          <w:spacing w:val="-3"/>
          <w:lang w:eastAsia="es-ES"/>
        </w:rPr>
      </w:pPr>
      <w:r w:rsidRPr="00142A9D">
        <w:rPr>
          <w:rFonts w:ascii="Verdana" w:hAnsi="Verdana" w:eastAsia="Times New Roman" w:cs="Arial"/>
          <w:bCs/>
          <w:spacing w:val="-3"/>
          <w:lang w:eastAsia="es-ES"/>
        </w:rPr>
        <w:t>(</w:t>
      </w:r>
      <w:proofErr w:type="gramStart"/>
      <w:r w:rsidRPr="00142A9D">
        <w:rPr>
          <w:rFonts w:ascii="Verdana" w:hAnsi="Verdana" w:eastAsia="Times New Roman" w:cs="Arial"/>
          <w:bCs/>
          <w:spacing w:val="-3"/>
          <w:lang w:eastAsia="es-ES"/>
        </w:rPr>
        <w:t>30  de</w:t>
      </w:r>
      <w:proofErr w:type="gramEnd"/>
      <w:r w:rsidRPr="00142A9D">
        <w:rPr>
          <w:rFonts w:ascii="Verdana" w:hAnsi="Verdana" w:eastAsia="Times New Roman" w:cs="Arial"/>
          <w:bCs/>
          <w:spacing w:val="-3"/>
          <w:lang w:eastAsia="es-ES"/>
        </w:rPr>
        <w:t xml:space="preserve"> diciembre)</w:t>
      </w:r>
    </w:p>
    <w:p w:rsidRPr="00142A9D" w:rsidR="00142A9D" w:rsidP="00142A9D" w:rsidRDefault="00142A9D" w14:paraId="6222E76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eastAsia="Times New Roman" w:cs="Arial"/>
          <w:b/>
          <w:spacing w:val="-3"/>
          <w:lang w:eastAsia="es-ES"/>
        </w:rPr>
      </w:pPr>
    </w:p>
    <w:p w:rsidRPr="00142A9D" w:rsidR="00142A9D" w:rsidP="00142A9D" w:rsidRDefault="00142A9D" w14:paraId="2FCC7DD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eastAsia="Times New Roman" w:cs="Arial"/>
          <w:b/>
          <w:spacing w:val="-3"/>
          <w:lang w:eastAsia="es-ES"/>
        </w:rPr>
      </w:pPr>
    </w:p>
    <w:p w:rsidRPr="00142A9D" w:rsidR="00E914C0" w:rsidP="00050BE6" w:rsidRDefault="00E914C0" w14:paraId="13F29F68" w14:textId="56A16B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142A9D">
        <w:rPr>
          <w:rFonts w:ascii="Verdana" w:hAnsi="Verdana" w:eastAsia="Times New Roman" w:cs="Arial"/>
          <w:b/>
          <w:spacing w:val="-3"/>
          <w:lang w:eastAsia="es-ES"/>
        </w:rPr>
        <w:t xml:space="preserve">Para: </w:t>
      </w:r>
      <w:r w:rsidRPr="00142A9D" w:rsidR="004D28A8">
        <w:rPr>
          <w:rFonts w:ascii="Verdana" w:hAnsi="Verdana" w:eastAsia="Times New Roman" w:cs="Arial"/>
          <w:b/>
          <w:spacing w:val="-3"/>
          <w:lang w:eastAsia="es-ES"/>
        </w:rPr>
        <w:tab/>
      </w:r>
      <w:r w:rsidRPr="00142A9D" w:rsidR="00142A9D">
        <w:rPr>
          <w:rFonts w:ascii="Verdana" w:hAnsi="Verdana" w:eastAsia="Times New Roman" w:cs="Arial"/>
          <w:b/>
          <w:spacing w:val="-3"/>
          <w:lang w:eastAsia="es-ES"/>
        </w:rPr>
        <w:t>ADRIANA VELÁSQUEZ LASPRILLA</w:t>
      </w:r>
      <w:r w:rsidRPr="00142A9D" w:rsidR="0048706F">
        <w:rPr>
          <w:rFonts w:ascii="Verdana" w:hAnsi="Verdana" w:eastAsia="Times New Roman" w:cs="Arial"/>
          <w:b/>
          <w:spacing w:val="-3"/>
          <w:lang w:eastAsia="es-ES"/>
        </w:rPr>
        <w:t xml:space="preserve"> </w:t>
      </w:r>
    </w:p>
    <w:p w:rsidRPr="00142A9D" w:rsidR="00E914C0" w:rsidP="00050BE6" w:rsidRDefault="00E914C0" w14:paraId="5DDA12D9" w14:textId="61962BFD">
      <w:pPr>
        <w:keepNext/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Verdana" w:hAnsi="Verdana" w:cs="Arial"/>
        </w:rPr>
      </w:pPr>
      <w:r w:rsidRPr="00142A9D">
        <w:rPr>
          <w:rFonts w:ascii="Verdana" w:hAnsi="Verdana" w:eastAsia="Times New Roman" w:cs="Arial"/>
          <w:spacing w:val="-3"/>
          <w:lang w:eastAsia="es-ES"/>
        </w:rPr>
        <w:tab/>
      </w:r>
      <w:r w:rsidRPr="00142A9D">
        <w:rPr>
          <w:rFonts w:ascii="Verdana" w:hAnsi="Verdana" w:eastAsia="Times New Roman" w:cs="Arial"/>
          <w:spacing w:val="-3"/>
          <w:lang w:eastAsia="es-ES"/>
        </w:rPr>
        <w:tab/>
      </w:r>
      <w:r w:rsidRPr="00142A9D" w:rsidR="00142A9D">
        <w:rPr>
          <w:rFonts w:ascii="Verdana" w:hAnsi="Verdana" w:eastAsia="Times New Roman" w:cs="Arial"/>
          <w:spacing w:val="-3"/>
          <w:lang w:eastAsia="es-ES"/>
        </w:rPr>
        <w:t>Subdirectora General</w:t>
      </w:r>
      <w:r w:rsidRPr="00142A9D" w:rsidR="0048706F">
        <w:rPr>
          <w:rFonts w:ascii="Verdana" w:hAnsi="Verdana" w:eastAsia="Times New Roman" w:cs="Arial"/>
          <w:spacing w:val="-3"/>
          <w:lang w:eastAsia="es-ES"/>
        </w:rPr>
        <w:t xml:space="preserve"> </w:t>
      </w:r>
      <w:r w:rsidRPr="00142A9D">
        <w:rPr>
          <w:rFonts w:ascii="Verdana" w:hAnsi="Verdana" w:cs="Arial"/>
        </w:rPr>
        <w:t xml:space="preserve">                                </w:t>
      </w:r>
    </w:p>
    <w:p w:rsidRPr="00142A9D" w:rsidR="00E1373A" w:rsidP="00050BE6" w:rsidRDefault="00E1373A" w14:paraId="7547DDD2" w14:textId="77777777">
      <w:pPr>
        <w:spacing w:after="0" w:line="240" w:lineRule="auto"/>
        <w:jc w:val="both"/>
        <w:rPr>
          <w:rFonts w:ascii="Verdana" w:hAnsi="Verdana" w:cs="Arial"/>
        </w:rPr>
      </w:pPr>
    </w:p>
    <w:p w:rsidRPr="00142A9D" w:rsidR="00E914C0" w:rsidP="47D2AB1E" w:rsidRDefault="00E914C0" w14:paraId="58874D12" w14:textId="1BED5AFA">
      <w:pPr>
        <w:spacing w:after="0" w:line="240" w:lineRule="auto"/>
        <w:ind w:left="1416" w:hanging="1416"/>
        <w:jc w:val="both"/>
        <w:rPr>
          <w:rFonts w:ascii="Verdana" w:hAnsi="Verdana"/>
          <w:b w:val="1"/>
          <w:bCs w:val="1"/>
          <w:color w:val="000000"/>
        </w:rPr>
      </w:pPr>
      <w:r w:rsidRPr="47D2AB1E" w:rsidR="00E914C0">
        <w:rPr>
          <w:rFonts w:ascii="Verdana" w:hAnsi="Verdana" w:cs="Arial"/>
          <w:b w:val="1"/>
          <w:bCs w:val="1"/>
        </w:rPr>
        <w:t>Asunto:</w:t>
      </w:r>
      <w:r>
        <w:tab/>
      </w:r>
      <w:r w:rsidRPr="47D2AB1E" w:rsidR="008F6A70">
        <w:rPr>
          <w:rFonts w:ascii="Verdana" w:hAnsi="Verdana" w:cs="Arial"/>
          <w:b w:val="0"/>
          <w:bCs w:val="0"/>
        </w:rPr>
        <w:t>Respuesta a solicitud de c</w:t>
      </w:r>
      <w:r w:rsidRPr="47D2AB1E" w:rsidR="0048706F">
        <w:rPr>
          <w:rFonts w:ascii="Verdana" w:hAnsi="Verdana"/>
          <w:b w:val="0"/>
          <w:bCs w:val="0"/>
          <w:color w:val="000000" w:themeColor="text1" w:themeTint="FF" w:themeShade="FF"/>
        </w:rPr>
        <w:t>oncepto jurídico</w:t>
      </w:r>
      <w:r w:rsidRPr="47D2AB1E" w:rsidR="008F6A70">
        <w:rPr>
          <w:rFonts w:ascii="Verdana" w:hAnsi="Verdana"/>
          <w:b w:val="0"/>
          <w:bCs w:val="0"/>
          <w:color w:val="000000" w:themeColor="text1" w:themeTint="FF" w:themeShade="FF"/>
        </w:rPr>
        <w:t>. Memorando No.</w:t>
      </w:r>
      <w:r w:rsidRPr="47D2AB1E" w:rsidR="00205E21">
        <w:rPr>
          <w:rFonts w:ascii="Verdana" w:hAnsi="Verdana"/>
          <w:b w:val="0"/>
          <w:bCs w:val="0"/>
          <w:color w:val="000000" w:themeColor="text1" w:themeTint="FF" w:themeShade="FF"/>
        </w:rPr>
        <w:t xml:space="preserve"> 202520100000076683. </w:t>
      </w:r>
    </w:p>
    <w:p w:rsidRPr="00142A9D" w:rsidR="00E1373A" w:rsidP="00050BE6" w:rsidRDefault="00E1373A" w14:paraId="1B8FE662" w14:textId="77777777">
      <w:pPr>
        <w:spacing w:after="0" w:line="240" w:lineRule="auto"/>
        <w:rPr>
          <w:rFonts w:ascii="Verdana" w:hAnsi="Verdana" w:cs="Arial"/>
          <w:b/>
        </w:rPr>
      </w:pPr>
    </w:p>
    <w:p w:rsidRPr="00142A9D" w:rsidR="007E43B9" w:rsidP="00050BE6" w:rsidRDefault="007E43B9" w14:paraId="3F0F217D" w14:textId="0B31CA64">
      <w:pPr>
        <w:spacing w:after="0" w:line="240" w:lineRule="auto"/>
        <w:jc w:val="both"/>
        <w:rPr>
          <w:rFonts w:ascii="Verdana" w:hAnsi="Verdana" w:cs="Arial"/>
          <w:bCs/>
        </w:rPr>
      </w:pPr>
      <w:r w:rsidRPr="00142A9D">
        <w:rPr>
          <w:rFonts w:ascii="Verdana" w:hAnsi="Verdana" w:cs="Arial"/>
          <w:bCs/>
        </w:rPr>
        <w:t xml:space="preserve">Respetada </w:t>
      </w:r>
      <w:proofErr w:type="gramStart"/>
      <w:r w:rsidRPr="00142A9D" w:rsidR="00301CC9">
        <w:rPr>
          <w:rFonts w:ascii="Verdana" w:hAnsi="Verdana" w:cs="Arial"/>
          <w:bCs/>
        </w:rPr>
        <w:t>S</w:t>
      </w:r>
      <w:r w:rsidRPr="00142A9D">
        <w:rPr>
          <w:rFonts w:ascii="Verdana" w:hAnsi="Verdana" w:cs="Arial"/>
          <w:bCs/>
        </w:rPr>
        <w:t>ubdirectora</w:t>
      </w:r>
      <w:proofErr w:type="gramEnd"/>
      <w:r w:rsidRPr="00142A9D" w:rsidR="00142A9D">
        <w:rPr>
          <w:rFonts w:ascii="Verdana" w:hAnsi="Verdana" w:cs="Arial"/>
          <w:bCs/>
        </w:rPr>
        <w:t xml:space="preserve"> General</w:t>
      </w:r>
      <w:r w:rsidRPr="00142A9D" w:rsidR="008F6A70">
        <w:rPr>
          <w:rFonts w:ascii="Verdana" w:hAnsi="Verdana" w:cs="Arial"/>
          <w:bCs/>
        </w:rPr>
        <w:t xml:space="preserve">: </w:t>
      </w:r>
    </w:p>
    <w:p w:rsidRPr="00142A9D" w:rsidR="008F6A70" w:rsidP="00050BE6" w:rsidRDefault="008F6A70" w14:paraId="6A3AC874" w14:textId="77777777">
      <w:pPr>
        <w:spacing w:after="0" w:line="240" w:lineRule="auto"/>
        <w:jc w:val="both"/>
        <w:rPr>
          <w:rFonts w:ascii="Verdana" w:hAnsi="Verdana" w:cs="Arial"/>
          <w:bCs/>
        </w:rPr>
      </w:pPr>
    </w:p>
    <w:p w:rsidRPr="00142A9D" w:rsidR="00E1373A" w:rsidP="00050BE6" w:rsidRDefault="00E1373A" w14:paraId="1F0FD2F3" w14:textId="77777777">
      <w:pPr>
        <w:spacing w:after="0" w:line="240" w:lineRule="auto"/>
        <w:jc w:val="both"/>
        <w:rPr>
          <w:rFonts w:ascii="Verdana" w:hAnsi="Verdana" w:cs="Arial"/>
          <w:bCs/>
        </w:rPr>
      </w:pPr>
    </w:p>
    <w:p w:rsidRPr="00142A9D" w:rsidR="00142A9D" w:rsidP="00142A9D" w:rsidRDefault="00142A9D" w14:paraId="066AEF58" w14:textId="2B09988B">
      <w:pPr>
        <w:spacing w:after="0" w:line="240" w:lineRule="auto"/>
        <w:jc w:val="both"/>
        <w:rPr>
          <w:rFonts w:ascii="Verdana" w:hAnsi="Verdana" w:cs="Arial"/>
          <w:bCs/>
          <w:lang w:val="es-CO"/>
        </w:rPr>
      </w:pPr>
      <w:r w:rsidRPr="00142A9D">
        <w:rPr>
          <w:rFonts w:ascii="Verdana" w:hAnsi="Verdana" w:cs="Arial"/>
          <w:bCs/>
          <w:lang w:val="es-CO"/>
        </w:rPr>
        <w:t>La Oficina Asesora Jurídica, de conformidad con lo solicitado mediante memorando No.</w:t>
      </w:r>
      <w:r w:rsidRPr="00142A9D">
        <w:rPr>
          <w:rFonts w:ascii="Verdana" w:hAnsi="Verdana" w:cs="Arial"/>
          <w:bCs/>
          <w:lang w:val="es-CO"/>
        </w:rPr>
        <w:t xml:space="preserve"> </w:t>
      </w:r>
      <w:r w:rsidRPr="00142A9D">
        <w:rPr>
          <w:rFonts w:ascii="Verdana" w:hAnsi="Verdana" w:cs="Arial"/>
          <w:bCs/>
          <w:lang w:val="es-CO"/>
        </w:rPr>
        <w:t>202411000000158383 del 29 de noviembre de 2024, de manera atenta y de</w:t>
      </w:r>
      <w:r w:rsidRPr="00142A9D">
        <w:rPr>
          <w:rFonts w:ascii="Verdana" w:hAnsi="Verdana" w:cs="Arial"/>
          <w:bCs/>
          <w:lang w:val="es-CO"/>
        </w:rPr>
        <w:t xml:space="preserve"> </w:t>
      </w:r>
      <w:r w:rsidRPr="00142A9D">
        <w:rPr>
          <w:rFonts w:ascii="Verdana" w:hAnsi="Verdana" w:cs="Arial"/>
          <w:bCs/>
          <w:lang w:val="es-CO"/>
        </w:rPr>
        <w:t>conformidad con lo previsto en los artículos 26 del Código Civil, Ley 1755 de 2015, y el</w:t>
      </w:r>
      <w:r w:rsidRPr="00142A9D">
        <w:rPr>
          <w:rFonts w:ascii="Verdana" w:hAnsi="Verdana" w:cs="Arial"/>
          <w:bCs/>
          <w:lang w:val="es-CO"/>
        </w:rPr>
        <w:t xml:space="preserve"> </w:t>
      </w:r>
      <w:r w:rsidRPr="00142A9D">
        <w:rPr>
          <w:rFonts w:ascii="Verdana" w:hAnsi="Verdana" w:cs="Arial"/>
          <w:bCs/>
          <w:lang w:val="es-CO"/>
        </w:rPr>
        <w:t>artículo 6, numeral 4, del Decreto 987 de 2012 se permite emitir concepto en los</w:t>
      </w:r>
    </w:p>
    <w:p w:rsidRPr="00142A9D" w:rsidR="003E31A4" w:rsidP="00142A9D" w:rsidRDefault="00142A9D" w14:paraId="54786AFD" w14:textId="4F6CAA75">
      <w:pPr>
        <w:spacing w:after="0" w:line="240" w:lineRule="auto"/>
        <w:jc w:val="both"/>
        <w:rPr>
          <w:rFonts w:ascii="Verdana" w:hAnsi="Verdana" w:cs="Arial"/>
          <w:bCs/>
          <w:lang w:val="es-CO"/>
        </w:rPr>
      </w:pPr>
      <w:r w:rsidRPr="00142A9D">
        <w:rPr>
          <w:rFonts w:ascii="Verdana" w:hAnsi="Verdana" w:cs="Arial"/>
          <w:bCs/>
          <w:lang w:val="es-CO"/>
        </w:rPr>
        <w:t>siguientes términos:</w:t>
      </w:r>
    </w:p>
    <w:p w:rsidRPr="00142A9D" w:rsidR="00142A9D" w:rsidP="00142A9D" w:rsidRDefault="00142A9D" w14:paraId="3D7A27F5" w14:textId="77777777">
      <w:pPr>
        <w:spacing w:after="0" w:line="240" w:lineRule="auto"/>
        <w:jc w:val="both"/>
        <w:rPr>
          <w:rFonts w:ascii="Verdana" w:hAnsi="Verdana" w:cs="Arial"/>
          <w:bCs/>
        </w:rPr>
      </w:pPr>
    </w:p>
    <w:p w:rsidRPr="00142A9D" w:rsidR="00561525" w:rsidP="00050BE6" w:rsidRDefault="00205E21" w14:paraId="79321BAB" w14:textId="77777777">
      <w:pPr>
        <w:spacing w:after="0" w:line="240" w:lineRule="auto"/>
        <w:jc w:val="both"/>
        <w:rPr>
          <w:rFonts w:ascii="Verdana" w:hAnsi="Verdana" w:cs="Arial"/>
          <w:b/>
        </w:rPr>
      </w:pPr>
      <w:r w:rsidRPr="00142A9D">
        <w:rPr>
          <w:rFonts w:ascii="Verdana" w:hAnsi="Verdana" w:cs="Arial"/>
          <w:b/>
        </w:rPr>
        <w:t xml:space="preserve">Problema jurídico: </w:t>
      </w:r>
    </w:p>
    <w:p w:rsidRPr="00142A9D" w:rsidR="00561525" w:rsidP="00142A9D" w:rsidRDefault="00561525" w14:paraId="706CCFAC" w14:textId="77777777">
      <w:pPr>
        <w:spacing w:after="0" w:line="240" w:lineRule="auto"/>
        <w:jc w:val="both"/>
        <w:rPr>
          <w:rFonts w:ascii="Verdana" w:hAnsi="Verdana" w:cs="Arial"/>
          <w:b/>
          <w:i/>
          <w:iCs/>
        </w:rPr>
      </w:pPr>
    </w:p>
    <w:p w:rsidRPr="00142A9D" w:rsidR="00142A9D" w:rsidP="47D2AB1E" w:rsidRDefault="00142A9D" w14:paraId="6EE30386" w14:textId="7EA68DF8">
      <w:pPr>
        <w:spacing w:after="0" w:line="240" w:lineRule="auto"/>
        <w:jc w:val="both"/>
        <w:rPr>
          <w:rFonts w:ascii="Verdana" w:hAnsi="Verdana" w:cs="Arial"/>
          <w:b w:val="0"/>
          <w:bCs w:val="0"/>
          <w:i w:val="1"/>
          <w:iCs w:val="1"/>
          <w:lang w:val="es-CO"/>
        </w:rPr>
      </w:pPr>
      <w:bookmarkStart w:name="_Hlk205371439" w:id="0"/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Problema jurídico: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¿Es competencia del Instituto Colombiano de Bienestar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Familiar expedir conceptos técnicos para validar el cumplimiento de la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definición del programa de utilidad común de que trata el numeral 2.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3 del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artículo 1.3.1.9.6 del Decreto 1625 de 2016; aun cuando no es beneficiario de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los recursos, no moviliza los objetivos del proyecto y no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ejerce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una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supervisión o control para determinar su población objeto?</w:t>
      </w:r>
    </w:p>
    <w:p w:rsidRPr="00142A9D" w:rsidR="00142A9D" w:rsidP="47D2AB1E" w:rsidRDefault="00142A9D" w14:paraId="53B90B44" w14:textId="77777777">
      <w:pPr>
        <w:spacing w:after="0" w:line="240" w:lineRule="auto"/>
        <w:jc w:val="both"/>
        <w:rPr>
          <w:rFonts w:ascii="Verdana" w:hAnsi="Verdana" w:cs="Arial"/>
          <w:b w:val="0"/>
          <w:bCs w:val="0"/>
          <w:i w:val="1"/>
          <w:iCs w:val="1"/>
          <w:lang w:val="es-CO"/>
        </w:rPr>
      </w:pPr>
    </w:p>
    <w:p w:rsidRPr="00142A9D" w:rsidR="00766E91" w:rsidP="47D2AB1E" w:rsidRDefault="00142A9D" w14:paraId="1B96E0D8" w14:textId="6CE0859B">
      <w:pPr>
        <w:spacing w:after="0" w:line="240" w:lineRule="auto"/>
        <w:jc w:val="both"/>
        <w:rPr>
          <w:rFonts w:ascii="Verdana" w:hAnsi="Verdana" w:cs="Arial"/>
          <w:b w:val="0"/>
          <w:bCs w:val="0"/>
          <w:i w:val="1"/>
          <w:iCs w:val="1"/>
          <w:lang w:val="es-CO"/>
        </w:rPr>
      </w:pP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En caso de ser competentes ¿cuál sería la dependencia del ICBF para suscribir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 xml:space="preserve"> </w:t>
      </w:r>
      <w:r w:rsidRPr="47D2AB1E" w:rsidR="00142A9D">
        <w:rPr>
          <w:rFonts w:ascii="Verdana" w:hAnsi="Verdana" w:cs="Arial"/>
          <w:b w:val="0"/>
          <w:bCs w:val="0"/>
          <w:i w:val="1"/>
          <w:iCs w:val="1"/>
          <w:lang w:val="es-CO"/>
        </w:rPr>
        <w:t>dicho concepto?</w:t>
      </w:r>
    </w:p>
    <w:p w:rsidRPr="00142A9D" w:rsidR="00142A9D" w:rsidP="00142A9D" w:rsidRDefault="00142A9D" w14:paraId="7CAC31D5" w14:textId="77777777">
      <w:pPr>
        <w:spacing w:after="0" w:line="240" w:lineRule="auto"/>
        <w:jc w:val="both"/>
        <w:rPr>
          <w:rFonts w:ascii="Verdana" w:hAnsi="Verdana" w:cs="Arial"/>
          <w:b/>
          <w:i/>
          <w:iCs/>
        </w:rPr>
      </w:pPr>
    </w:p>
    <w:bookmarkEnd w:id="0"/>
    <w:p w:rsidR="00142A9D" w:rsidP="00142A9D" w:rsidRDefault="00142A9D" w14:paraId="7BFF7035" w14:textId="5156AB0A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El anterior problema jurídico, planteado en la consulta, deviene de la solicitud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presentada ante el Instituto Colombiano de Bienestar Familiar por la Agencia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Presidencial de Cooperación Internacional de Colombia el 20 de septiembre de 2024,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solicitud reiterada el 27 de noviembre de 2024 que corresponde al caso CUC-1567 de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la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APC, requerimientos a través de los cuales solicita concepto técnico para el proyecto de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cooperación internacional denominado “Programa Conjunto de Protección de la Niñez -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PFA – COL – 42061 – 228589-00".</w:t>
      </w:r>
    </w:p>
    <w:p w:rsidRPr="00142A9D" w:rsidR="00142A9D" w:rsidP="00142A9D" w:rsidRDefault="00142A9D" w14:paraId="7D891AA1" w14:textId="77777777">
      <w:pPr>
        <w:spacing w:after="0" w:line="240" w:lineRule="auto"/>
        <w:jc w:val="both"/>
        <w:rPr>
          <w:rFonts w:ascii="Verdana" w:hAnsi="Verdana" w:cs="Arial"/>
          <w:lang w:val="es-CO"/>
        </w:rPr>
      </w:pPr>
    </w:p>
    <w:p w:rsidRPr="00142A9D" w:rsidR="00142A9D" w:rsidP="00142A9D" w:rsidRDefault="00142A9D" w14:paraId="756D2FEF" w14:textId="6DCA29F9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lastRenderedPageBreak/>
        <w:t>En ese orden de ideas, para la emisión del concepto, se propone el siguiente plan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metodológico: (i) delimitación de la naturaleza, funciones y competencias del ICBF; (</w:t>
      </w:r>
      <w:proofErr w:type="spellStart"/>
      <w:r w:rsidRPr="00142A9D">
        <w:rPr>
          <w:rFonts w:ascii="Verdana" w:hAnsi="Verdana" w:cs="Arial"/>
          <w:lang w:val="es-CO"/>
        </w:rPr>
        <w:t>ii</w:t>
      </w:r>
      <w:proofErr w:type="spellEnd"/>
      <w:r w:rsidRPr="00142A9D">
        <w:rPr>
          <w:rFonts w:ascii="Verdana" w:hAnsi="Verdana" w:cs="Arial"/>
          <w:lang w:val="es-CO"/>
        </w:rPr>
        <w:t>)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marco normativo y definición de exención para las donaciones de gobiernos o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entidades extranjeras, programas de utilidad común, certificado de utilidad común y</w:t>
      </w:r>
    </w:p>
    <w:p w:rsidR="007E43B9" w:rsidP="00142A9D" w:rsidRDefault="00142A9D" w14:paraId="2F6B831C" w14:textId="7BE56D40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concepto técnico favorable; (</w:t>
      </w:r>
      <w:proofErr w:type="spellStart"/>
      <w:r w:rsidRPr="00142A9D">
        <w:rPr>
          <w:rFonts w:ascii="Verdana" w:hAnsi="Verdana" w:cs="Arial"/>
          <w:lang w:val="es-CO"/>
        </w:rPr>
        <w:t>iii</w:t>
      </w:r>
      <w:proofErr w:type="spellEnd"/>
      <w:r w:rsidRPr="00142A9D">
        <w:rPr>
          <w:rFonts w:ascii="Verdana" w:hAnsi="Verdana" w:cs="Arial"/>
          <w:lang w:val="es-CO"/>
        </w:rPr>
        <w:t>) relación del ICBF con el programa consultado; (</w:t>
      </w:r>
      <w:proofErr w:type="spellStart"/>
      <w:r w:rsidRPr="00142A9D">
        <w:rPr>
          <w:rFonts w:ascii="Verdana" w:hAnsi="Verdana" w:cs="Arial"/>
          <w:lang w:val="es-CO"/>
        </w:rPr>
        <w:t>iv</w:t>
      </w:r>
      <w:proofErr w:type="spellEnd"/>
      <w:r w:rsidRPr="00142A9D">
        <w:rPr>
          <w:rFonts w:ascii="Verdana" w:hAnsi="Verdana" w:cs="Arial"/>
          <w:lang w:val="es-CO"/>
        </w:rPr>
        <w:t>)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conclusiones.</w:t>
      </w:r>
    </w:p>
    <w:p w:rsidR="00142A9D" w:rsidP="00142A9D" w:rsidRDefault="00142A9D" w14:paraId="45B24269" w14:textId="77777777">
      <w:pPr>
        <w:spacing w:after="0" w:line="240" w:lineRule="auto"/>
        <w:jc w:val="both"/>
        <w:rPr>
          <w:rFonts w:ascii="Verdana" w:hAnsi="Verdana" w:cs="Arial"/>
          <w:lang w:val="es-CO"/>
        </w:rPr>
      </w:pPr>
    </w:p>
    <w:p w:rsidR="00142A9D" w:rsidP="00142A9D" w:rsidRDefault="00142A9D" w14:paraId="41A247E7" w14:textId="77777777">
      <w:pPr>
        <w:spacing w:after="0" w:line="240" w:lineRule="auto"/>
        <w:jc w:val="both"/>
        <w:rPr>
          <w:rFonts w:ascii="Verdana" w:hAnsi="Verdana" w:cs="Arial"/>
          <w:lang w:val="es-ES_tradnl"/>
        </w:rPr>
      </w:pPr>
    </w:p>
    <w:p w:rsidRPr="00142A9D" w:rsidR="00142A9D" w:rsidP="00050BE6" w:rsidRDefault="00142A9D" w14:paraId="70A3D2F9" w14:textId="77777777">
      <w:pPr>
        <w:spacing w:after="0" w:line="240" w:lineRule="auto"/>
        <w:jc w:val="both"/>
        <w:rPr>
          <w:rFonts w:ascii="Verdana" w:hAnsi="Verdana" w:cs="Arial"/>
          <w:b/>
        </w:rPr>
      </w:pPr>
    </w:p>
    <w:p w:rsidRPr="00142A9D" w:rsidR="00E914C0" w:rsidP="00050BE6" w:rsidRDefault="00DB7842" w14:paraId="438B9073" w14:textId="73B135C5">
      <w:pPr>
        <w:spacing w:after="0" w:line="240" w:lineRule="auto"/>
        <w:jc w:val="both"/>
        <w:rPr>
          <w:rFonts w:ascii="Verdana" w:hAnsi="Verdana" w:cs="Arial"/>
        </w:rPr>
      </w:pPr>
      <w:r w:rsidRPr="00142A9D">
        <w:rPr>
          <w:rFonts w:ascii="Verdana" w:hAnsi="Verdana" w:cs="Arial"/>
        </w:rPr>
        <w:t>En ese orden de ideas, para la emisión del concepto, se propone el siguiente plan metodológico: (i) Naturaleza del acto de apertura de un Hogar Sustituto; (</w:t>
      </w:r>
      <w:proofErr w:type="spellStart"/>
      <w:r w:rsidRPr="00142A9D">
        <w:rPr>
          <w:rFonts w:ascii="Verdana" w:hAnsi="Verdana" w:cs="Arial"/>
        </w:rPr>
        <w:t>ii</w:t>
      </w:r>
      <w:proofErr w:type="spellEnd"/>
      <w:r w:rsidRPr="00142A9D">
        <w:rPr>
          <w:rFonts w:ascii="Verdana" w:hAnsi="Verdana" w:cs="Arial"/>
        </w:rPr>
        <w:t xml:space="preserve">) Competencia de los </w:t>
      </w:r>
      <w:r w:rsidRPr="00142A9D" w:rsidR="006C3E86">
        <w:rPr>
          <w:rFonts w:ascii="Verdana" w:hAnsi="Verdana" w:cs="Arial"/>
        </w:rPr>
        <w:t>C</w:t>
      </w:r>
      <w:r w:rsidRPr="00142A9D">
        <w:rPr>
          <w:rFonts w:ascii="Verdana" w:hAnsi="Verdana" w:cs="Arial"/>
        </w:rPr>
        <w:t xml:space="preserve">oordinadores de los </w:t>
      </w:r>
      <w:r w:rsidRPr="00142A9D" w:rsidR="005A1CC2">
        <w:rPr>
          <w:rFonts w:ascii="Verdana" w:hAnsi="Verdana" w:cs="Arial"/>
        </w:rPr>
        <w:t>Centros</w:t>
      </w:r>
      <w:r w:rsidRPr="00142A9D" w:rsidR="00C77069">
        <w:rPr>
          <w:rFonts w:ascii="Verdana" w:hAnsi="Verdana" w:cs="Arial"/>
        </w:rPr>
        <w:t xml:space="preserve"> Zonales</w:t>
      </w:r>
      <w:r w:rsidRPr="00142A9D" w:rsidR="00AC0580">
        <w:rPr>
          <w:rFonts w:ascii="Verdana" w:hAnsi="Verdana" w:cs="Arial"/>
        </w:rPr>
        <w:t xml:space="preserve"> para expedir actos administrativos para la apertura y cierre de los hogares sustitutos</w:t>
      </w:r>
      <w:r w:rsidRPr="00142A9D" w:rsidR="005A1CC2">
        <w:rPr>
          <w:rFonts w:ascii="Verdana" w:hAnsi="Verdana" w:cs="Arial"/>
        </w:rPr>
        <w:t>;</w:t>
      </w:r>
      <w:r w:rsidRPr="00142A9D">
        <w:rPr>
          <w:rFonts w:ascii="Verdana" w:hAnsi="Verdana" w:cs="Arial"/>
        </w:rPr>
        <w:t xml:space="preserve"> (</w:t>
      </w:r>
      <w:proofErr w:type="spellStart"/>
      <w:r w:rsidRPr="00142A9D">
        <w:rPr>
          <w:rFonts w:ascii="Verdana" w:hAnsi="Verdana" w:cs="Arial"/>
        </w:rPr>
        <w:t>iii</w:t>
      </w:r>
      <w:proofErr w:type="spellEnd"/>
      <w:r w:rsidRPr="00142A9D">
        <w:rPr>
          <w:rFonts w:ascii="Verdana" w:hAnsi="Verdana" w:cs="Arial"/>
        </w:rPr>
        <w:t>)</w:t>
      </w:r>
      <w:r w:rsidRPr="00142A9D" w:rsidR="005A1CC2">
        <w:rPr>
          <w:rFonts w:ascii="Verdana" w:hAnsi="Verdana" w:cs="Arial"/>
        </w:rPr>
        <w:t xml:space="preserve"> </w:t>
      </w:r>
      <w:r w:rsidRPr="00142A9D" w:rsidR="006C3E86">
        <w:rPr>
          <w:rFonts w:ascii="Verdana" w:hAnsi="Verdana" w:cs="Arial"/>
        </w:rPr>
        <w:t>I</w:t>
      </w:r>
      <w:r w:rsidRPr="00142A9D" w:rsidR="005A1CC2">
        <w:rPr>
          <w:rFonts w:ascii="Verdana" w:hAnsi="Verdana" w:cs="Arial"/>
        </w:rPr>
        <w:t>mposibilidad de delegar actos administrativos a operadores privados</w:t>
      </w:r>
      <w:r w:rsidRPr="00142A9D">
        <w:rPr>
          <w:rFonts w:ascii="Verdana" w:hAnsi="Verdana" w:cs="Arial"/>
        </w:rPr>
        <w:t>;</w:t>
      </w:r>
      <w:r w:rsidRPr="00142A9D" w:rsidR="005A1CC2">
        <w:rPr>
          <w:rFonts w:ascii="Verdana" w:hAnsi="Verdana" w:cs="Arial"/>
        </w:rPr>
        <w:t xml:space="preserve"> </w:t>
      </w:r>
      <w:r w:rsidRPr="00142A9D" w:rsidR="00766E91">
        <w:rPr>
          <w:rFonts w:ascii="Verdana" w:hAnsi="Verdana" w:cs="Arial"/>
        </w:rPr>
        <w:t xml:space="preserve">y </w:t>
      </w:r>
      <w:r w:rsidRPr="00142A9D">
        <w:rPr>
          <w:rFonts w:ascii="Verdana" w:hAnsi="Verdana" w:cs="Arial"/>
        </w:rPr>
        <w:t>(</w:t>
      </w:r>
      <w:proofErr w:type="spellStart"/>
      <w:r w:rsidRPr="00142A9D">
        <w:rPr>
          <w:rFonts w:ascii="Verdana" w:hAnsi="Verdana" w:cs="Arial"/>
        </w:rPr>
        <w:t>iv</w:t>
      </w:r>
      <w:proofErr w:type="spellEnd"/>
      <w:r w:rsidRPr="00142A9D">
        <w:rPr>
          <w:rFonts w:ascii="Verdana" w:hAnsi="Verdana" w:cs="Arial"/>
        </w:rPr>
        <w:t xml:space="preserve">) </w:t>
      </w:r>
      <w:r w:rsidRPr="00142A9D" w:rsidR="006C3E86">
        <w:rPr>
          <w:rFonts w:ascii="Verdana" w:hAnsi="Verdana" w:cs="Arial"/>
        </w:rPr>
        <w:t>C</w:t>
      </w:r>
      <w:r w:rsidRPr="00142A9D">
        <w:rPr>
          <w:rFonts w:ascii="Verdana" w:hAnsi="Verdana" w:cs="Arial"/>
        </w:rPr>
        <w:t>onclusiones.   </w:t>
      </w:r>
    </w:p>
    <w:p w:rsidRPr="00142A9D" w:rsidR="005A1CC2" w:rsidP="00050BE6" w:rsidRDefault="005A1CC2" w14:paraId="51337F4D" w14:textId="77777777">
      <w:pPr>
        <w:spacing w:after="0" w:line="240" w:lineRule="auto"/>
        <w:jc w:val="both"/>
        <w:rPr>
          <w:rFonts w:ascii="Verdana" w:hAnsi="Verdana" w:cs="Arial"/>
        </w:rPr>
      </w:pPr>
    </w:p>
    <w:p w:rsidRPr="00142A9D" w:rsidR="00142A9D" w:rsidP="00142A9D" w:rsidRDefault="00142A9D" w14:paraId="570F0760" w14:textId="29AA75A7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b/>
          <w:bCs/>
          <w:lang w:val="es-CO"/>
        </w:rPr>
      </w:pPr>
      <w:r w:rsidRPr="00142A9D">
        <w:rPr>
          <w:rFonts w:ascii="Verdana" w:hAnsi="Verdana" w:cs="Arial"/>
          <w:b/>
          <w:bCs/>
          <w:lang w:val="es-CO"/>
        </w:rPr>
        <w:t>Delimitación de la naturaleza, funciones y competencias del ICBF</w:t>
      </w:r>
    </w:p>
    <w:p w:rsidRPr="00142A9D" w:rsidR="00142A9D" w:rsidP="00142A9D" w:rsidRDefault="00142A9D" w14:paraId="498C6278" w14:textId="77777777">
      <w:pPr>
        <w:pStyle w:val="Prrafodelista"/>
        <w:spacing w:after="0" w:line="240" w:lineRule="auto"/>
        <w:jc w:val="both"/>
        <w:rPr>
          <w:rFonts w:ascii="Verdana" w:hAnsi="Verdana" w:cs="Arial"/>
          <w:b/>
          <w:bCs/>
          <w:lang w:val="es-CO"/>
        </w:rPr>
      </w:pPr>
    </w:p>
    <w:p w:rsidR="00142A9D" w:rsidP="00142A9D" w:rsidRDefault="00142A9D" w14:paraId="43DCB491" w14:textId="56B90716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Sea lo primero señalar que el Instituto Colombiano de Bienestar Familiar (ICBF) es una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entidad pública descentralizada, con personería jurídica, autonomía administrativa y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patrimonio propio, creada mediante la Ley 75 de 19681, cuyas competencias se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encuentran señaladas en la enunciada Ley 75, la Ley 7 de 19792 y la Ley 1098 de 2006</w:t>
      </w:r>
      <w:r>
        <w:rPr>
          <w:rFonts w:ascii="Verdana" w:hAnsi="Verdana" w:cs="Arial"/>
          <w:lang w:val="es-CO"/>
        </w:rPr>
        <w:t>-</w:t>
      </w:r>
      <w:r w:rsidRPr="00142A9D">
        <w:rPr>
          <w:rFonts w:ascii="Verdana" w:hAnsi="Verdana" w:cs="Arial"/>
          <w:lang w:val="es-CO"/>
        </w:rPr>
        <w:t>3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y cuya estructura se encuentra definida en el Decreto 987 de 20124 modificado por los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Decretos 1927 de 20135 y 879 de 2020</w:t>
      </w:r>
      <w:r>
        <w:rPr>
          <w:rFonts w:ascii="Verdana" w:hAnsi="Verdana" w:cs="Arial"/>
          <w:lang w:val="es-CO"/>
        </w:rPr>
        <w:t>-</w:t>
      </w:r>
      <w:r w:rsidRPr="00142A9D">
        <w:rPr>
          <w:rFonts w:ascii="Verdana" w:hAnsi="Verdana" w:cs="Arial"/>
          <w:lang w:val="es-CO"/>
        </w:rPr>
        <w:t>6, así como el Decreto 1074 de 2023</w:t>
      </w:r>
      <w:r>
        <w:rPr>
          <w:rFonts w:ascii="Verdana" w:hAnsi="Verdana" w:cs="Arial"/>
          <w:lang w:val="es-CO"/>
        </w:rPr>
        <w:t>-</w:t>
      </w:r>
      <w:r w:rsidRPr="00142A9D">
        <w:rPr>
          <w:rFonts w:ascii="Verdana" w:hAnsi="Verdana" w:cs="Arial"/>
          <w:lang w:val="es-CO"/>
        </w:rPr>
        <w:t>7 a través del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cual se integró al Sector Administrativo de Igualdad y Equidad y quedó como entidad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adscrita del Ministerio de Igualdad y Equidad.</w:t>
      </w:r>
    </w:p>
    <w:p w:rsidRPr="00142A9D" w:rsidR="00142A9D" w:rsidP="00142A9D" w:rsidRDefault="00142A9D" w14:paraId="5D152677" w14:textId="77777777">
      <w:pPr>
        <w:spacing w:after="0" w:line="240" w:lineRule="auto"/>
        <w:jc w:val="both"/>
        <w:rPr>
          <w:rFonts w:ascii="Verdana" w:hAnsi="Verdana" w:cs="Arial"/>
          <w:lang w:val="es-CO"/>
        </w:rPr>
      </w:pPr>
    </w:p>
    <w:p w:rsidRPr="00142A9D" w:rsidR="00142A9D" w:rsidP="00142A9D" w:rsidRDefault="00142A9D" w14:paraId="638DDA13" w14:textId="22184000">
      <w:pPr>
        <w:spacing w:after="0" w:line="240" w:lineRule="auto"/>
        <w:jc w:val="both"/>
        <w:rPr>
          <w:rFonts w:ascii="Verdana" w:hAnsi="Verdana" w:cs="Arial"/>
          <w:i/>
          <w:iCs/>
          <w:lang w:val="es-CO"/>
        </w:rPr>
      </w:pPr>
      <w:r w:rsidRPr="00142A9D">
        <w:rPr>
          <w:rFonts w:ascii="Verdana" w:hAnsi="Verdana" w:cs="Arial"/>
          <w:lang w:val="es-CO"/>
        </w:rPr>
        <w:t>El Instituto Colombiano de Bienestar Familiar es la entidad del Estado Colombiano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que trabaja por la prevención y protección integral de la primera infancia, infancia,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adolescencia, el fortalecimiento de los jóvenes y las familias en Colombia, siendo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este un factor diferenciador con las demás entidades del Estado. Su misión se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 xml:space="preserve">encuentra enmarcada en </w:t>
      </w:r>
      <w:r w:rsidRPr="00142A9D">
        <w:rPr>
          <w:rFonts w:ascii="Verdana" w:hAnsi="Verdana" w:cs="Arial"/>
          <w:i/>
          <w:iCs/>
          <w:lang w:val="es-CO"/>
        </w:rPr>
        <w:t>liderar la protección integral de los derechos de la niñez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142A9D">
        <w:rPr>
          <w:rFonts w:ascii="Verdana" w:hAnsi="Verdana" w:cs="Arial"/>
          <w:i/>
          <w:iCs/>
          <w:lang w:val="es-CO"/>
        </w:rPr>
        <w:t>adolescencia y las familias, a través de la articulación e implementación de las políticas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142A9D">
        <w:rPr>
          <w:rFonts w:ascii="Verdana" w:hAnsi="Verdana" w:cs="Arial"/>
          <w:i/>
          <w:iCs/>
          <w:lang w:val="es-CO"/>
        </w:rPr>
        <w:t>públicas, el fortalecimiento de la oferta del servicio público de bienestar familiar para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142A9D">
        <w:rPr>
          <w:rFonts w:ascii="Verdana" w:hAnsi="Verdana" w:cs="Arial"/>
          <w:i/>
          <w:iCs/>
          <w:lang w:val="es-CO"/>
        </w:rPr>
        <w:t>promoción de su pleno desarrollo, la consolidación de proyectos de vida y 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142A9D">
        <w:rPr>
          <w:rFonts w:ascii="Verdana" w:hAnsi="Verdana" w:cs="Arial"/>
          <w:i/>
          <w:iCs/>
          <w:lang w:val="es-CO"/>
        </w:rPr>
        <w:t>fortalecimiento de las capacidades de las familias, comunidades y territorios,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142A9D">
        <w:rPr>
          <w:rFonts w:ascii="Verdana" w:hAnsi="Verdana" w:cs="Arial"/>
          <w:i/>
          <w:iCs/>
          <w:lang w:val="es-CO"/>
        </w:rPr>
        <w:t>promoviendo la equidad como expresión de justicia social y fundamento de la paz.</w:t>
      </w:r>
    </w:p>
    <w:p w:rsidR="00B92FB1" w:rsidP="00142A9D" w:rsidRDefault="00142A9D" w14:paraId="0A693F73" w14:textId="309D9E42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Actualmente para el ICBF, se encuentran definidos nueve objetivos estratégicos, los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cuales son aplicados a la ejecución de los procesos del Instituto y a la implementación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y sostenibilidad de los ejes del Sistema Integrado de Gestión en concordancia con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las Normas de Gestión (ISO 9001:2015 ISO 14001:2015 ISO 45001:2018 ISO /IEC</w:t>
      </w:r>
      <w:r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27001:2013)8, a saber:</w:t>
      </w:r>
    </w:p>
    <w:p w:rsidR="00142A9D" w:rsidP="00142A9D" w:rsidRDefault="00142A9D" w14:paraId="3BCD32A7" w14:textId="77777777">
      <w:pPr>
        <w:spacing w:after="0" w:line="240" w:lineRule="auto"/>
        <w:jc w:val="both"/>
        <w:rPr>
          <w:rFonts w:ascii="Verdana" w:hAnsi="Verdana" w:cs="Arial"/>
          <w:lang w:val="es-CO"/>
        </w:rPr>
      </w:pPr>
    </w:p>
    <w:p w:rsidRPr="00142A9D" w:rsidR="00142A9D" w:rsidP="00142A9D" w:rsidRDefault="00142A9D" w14:paraId="4642A21A" w14:textId="27813BA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lastRenderedPageBreak/>
        <w:t>Fortalecer el desarrollo integral de niñas, niños y adolescentes a partir de una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oferta que brinde oportunidades, experiencias y escenarios significativos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encaminados a profundizar sus capacidades, habilidades, intereses, talentos y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vocaciones, contribuya a la construcción de su identidad y de su liderazgo e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incidencia en la transformación de sus comunidades y territorios.</w:t>
      </w:r>
    </w:p>
    <w:p w:rsidRPr="00142A9D" w:rsidR="00142A9D" w:rsidP="00142A9D" w:rsidRDefault="00142A9D" w14:paraId="26766804" w14:textId="77777777">
      <w:pPr>
        <w:pStyle w:val="Prrafodelista"/>
        <w:spacing w:after="0" w:line="240" w:lineRule="auto"/>
        <w:jc w:val="both"/>
        <w:rPr>
          <w:rFonts w:ascii="Verdana" w:hAnsi="Verdana" w:cs="Arial"/>
          <w:lang w:val="es-CO"/>
        </w:rPr>
      </w:pPr>
    </w:p>
    <w:p w:rsidRPr="00142A9D" w:rsidR="00142A9D" w:rsidP="00142A9D" w:rsidRDefault="00142A9D" w14:paraId="1D424FB0" w14:textId="54E7E63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Fortalecer la atención integral a la primera infancia, con énfasis en el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mejoramiento de las condiciones de calidad, oportunidad y pertinencia de la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educación inicial, aportando a su universalización y a la consolidación de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transiciones armónicas en el sistema educativo bajo un enfoque territorial e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intercultural.</w:t>
      </w:r>
    </w:p>
    <w:p w:rsidRPr="00142A9D" w:rsidR="00142A9D" w:rsidP="00142A9D" w:rsidRDefault="00142A9D" w14:paraId="51D4BA23" w14:textId="77777777">
      <w:pPr>
        <w:pStyle w:val="Prrafodelista"/>
        <w:rPr>
          <w:rFonts w:ascii="Verdana" w:hAnsi="Verdana" w:cs="Arial"/>
          <w:lang w:val="es-CO"/>
        </w:rPr>
      </w:pPr>
    </w:p>
    <w:p w:rsidRPr="00142A9D" w:rsidR="00142A9D" w:rsidP="00142A9D" w:rsidRDefault="00142A9D" w14:paraId="4CCA4EF6" w14:textId="3A6149D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Afianzar desde una perspectiva intercultural e inclusiva, las capacidades de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cuidado y crianza de las familias, reconociéndolas como sujeto colectivo de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derechos que en ejercicio de su rol como corresponsables en la garantía de los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derechos de niñas, niños y adolescentes consolidan sus comunidades y territorios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como escenarios de protección integral.</w:t>
      </w:r>
    </w:p>
    <w:p w:rsidRPr="00142A9D" w:rsidR="00142A9D" w:rsidP="00142A9D" w:rsidRDefault="00142A9D" w14:paraId="79833A52" w14:textId="77777777">
      <w:pPr>
        <w:spacing w:after="0" w:line="240" w:lineRule="auto"/>
        <w:jc w:val="both"/>
        <w:rPr>
          <w:rFonts w:ascii="Verdana" w:hAnsi="Verdana" w:cs="Arial"/>
          <w:lang w:val="es-CO"/>
        </w:rPr>
      </w:pPr>
    </w:p>
    <w:p w:rsidRPr="00142A9D" w:rsidR="00142A9D" w:rsidP="00142A9D" w:rsidRDefault="00142A9D" w14:paraId="15FA95BA" w14:textId="1CF3734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Implementar acciones interinstitucionales que favorezcan un adecuado estado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nutricional en la niñez y aseguren a niñas, niños y adolescentes, de acuerdo con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 xml:space="preserve">su momento de vida, la disponibilidad de alimentos, el acceso y consumo de </w:t>
      </w:r>
      <w:proofErr w:type="gramStart"/>
      <w:r w:rsidRPr="00142A9D">
        <w:rPr>
          <w:rFonts w:ascii="Verdana" w:hAnsi="Verdana" w:cs="Arial"/>
          <w:lang w:val="es-CO"/>
        </w:rPr>
        <w:t>los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mismos</w:t>
      </w:r>
      <w:proofErr w:type="gramEnd"/>
      <w:r w:rsidRPr="00142A9D">
        <w:rPr>
          <w:rFonts w:ascii="Verdana" w:hAnsi="Verdana" w:cs="Arial"/>
          <w:lang w:val="es-CO"/>
        </w:rPr>
        <w:t xml:space="preserve"> en la cantidad y las condiciones de calidad e inocuidad necesarias, a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partir del reconocimiento de saberes y prácticas alimenticias de las familias,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comunidades y territorios.</w:t>
      </w:r>
    </w:p>
    <w:p w:rsidRPr="00142A9D" w:rsidR="00142A9D" w:rsidP="0085222A" w:rsidRDefault="00142A9D" w14:paraId="439096BC" w14:textId="77777777">
      <w:pPr>
        <w:pStyle w:val="Prrafodelista"/>
        <w:spacing w:after="0" w:line="240" w:lineRule="auto"/>
        <w:jc w:val="both"/>
        <w:rPr>
          <w:rFonts w:ascii="Verdana" w:hAnsi="Verdana" w:cs="Arial"/>
          <w:lang w:val="es-CO"/>
        </w:rPr>
      </w:pPr>
    </w:p>
    <w:p w:rsidRPr="00142A9D" w:rsidR="00142A9D" w:rsidP="00142A9D" w:rsidRDefault="00142A9D" w14:paraId="76631301" w14:textId="51E8560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142A9D">
        <w:rPr>
          <w:rFonts w:ascii="Verdana" w:hAnsi="Verdana" w:cs="Arial"/>
          <w:lang w:val="es-CO"/>
        </w:rPr>
        <w:t>Fortalecer la calidad de la gestión del proceso de restablecimiento de derechos y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su oferta para asegurar la humanización del servicio y la prevalencia de la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atención integral de niñas, niños y adolescentes, con base en el reconocimiento</w:t>
      </w:r>
      <w:r w:rsidRPr="00142A9D">
        <w:rPr>
          <w:rFonts w:ascii="Verdana" w:hAnsi="Verdana" w:cs="Arial"/>
          <w:lang w:val="es-CO"/>
        </w:rPr>
        <w:t xml:space="preserve"> </w:t>
      </w:r>
      <w:r w:rsidRPr="00142A9D">
        <w:rPr>
          <w:rFonts w:ascii="Verdana" w:hAnsi="Verdana" w:cs="Arial"/>
          <w:lang w:val="es-CO"/>
        </w:rPr>
        <w:t>de las características individuales, familiares, comunitarias, sociales y culturales.</w:t>
      </w:r>
    </w:p>
    <w:p w:rsidRPr="0085222A" w:rsidR="0085222A" w:rsidP="0085222A" w:rsidRDefault="00142A9D" w14:paraId="65F24ABF" w14:textId="4C5856A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85222A">
        <w:rPr>
          <w:rFonts w:ascii="Verdana" w:hAnsi="Verdana" w:cs="Arial"/>
          <w:lang w:val="es-CO"/>
        </w:rPr>
        <w:t>Posicionar el Sistema Nacional de Bienestar Familiar como articulador de la</w:t>
      </w:r>
      <w:r w:rsidRP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gestión en el orden nacional y territorial que, garantiza condiciones políticas,</w:t>
      </w:r>
      <w:r w:rsidRP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sociales, éticas, técnicas y financieras para el ejercicio pleno de los derechos de</w:t>
      </w:r>
      <w:r w:rsidRPr="0085222A" w:rsid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la niñez y las familias con enfoque territorial, inclusivo y diferencial al servicio de</w:t>
      </w:r>
      <w:r w:rsidRPr="0085222A" w:rsid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la equidad y la justicia social.</w:t>
      </w:r>
    </w:p>
    <w:p w:rsidRPr="00142A9D" w:rsidR="0085222A" w:rsidP="00142A9D" w:rsidRDefault="0085222A" w14:paraId="5AB277E8" w14:textId="77777777">
      <w:pPr>
        <w:spacing w:after="0" w:line="240" w:lineRule="auto"/>
        <w:jc w:val="both"/>
        <w:rPr>
          <w:rFonts w:ascii="Verdana" w:hAnsi="Verdana" w:cs="Arial"/>
          <w:lang w:val="es-CO"/>
        </w:rPr>
      </w:pPr>
    </w:p>
    <w:p w:rsidRPr="0085222A" w:rsidR="00142A9D" w:rsidP="0085222A" w:rsidRDefault="00142A9D" w14:paraId="7FF152FE" w14:textId="1818404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85222A">
        <w:rPr>
          <w:rFonts w:ascii="Verdana" w:hAnsi="Verdana" w:cs="Arial"/>
          <w:lang w:val="es-CO"/>
        </w:rPr>
        <w:t>Cualificar la capacidad institucional para identificar situaciones, condiciones o</w:t>
      </w:r>
      <w:r w:rsidRPr="0085222A" w:rsid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características particulares de las niñas, niños y adolescentes que demandan</w:t>
      </w:r>
      <w:r w:rsidRPr="0085222A" w:rsid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atenciones diferenciales garantizando los apoyos y ajustes para asegurar la</w:t>
      </w:r>
      <w:r w:rsidRPr="0085222A" w:rsid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inclusión, pertinencia y valoración del acervo cultural dentro del marco de la</w:t>
      </w:r>
      <w:r w:rsidRPr="0085222A" w:rsidR="0085222A">
        <w:rPr>
          <w:rFonts w:ascii="Verdana" w:hAnsi="Verdana" w:cs="Arial"/>
          <w:lang w:val="es-CO"/>
        </w:rPr>
        <w:t xml:space="preserve"> </w:t>
      </w:r>
      <w:r w:rsidRPr="0085222A">
        <w:rPr>
          <w:rFonts w:ascii="Verdana" w:hAnsi="Verdana" w:cs="Arial"/>
          <w:lang w:val="es-CO"/>
        </w:rPr>
        <w:t>atención integral.</w:t>
      </w:r>
    </w:p>
    <w:p w:rsidRPr="0085222A" w:rsidR="0085222A" w:rsidP="0085222A" w:rsidRDefault="0085222A" w14:paraId="1DD88FFB" w14:textId="77777777">
      <w:pPr>
        <w:pStyle w:val="Prrafodelista"/>
        <w:spacing w:after="0" w:line="240" w:lineRule="auto"/>
        <w:jc w:val="both"/>
        <w:rPr>
          <w:rFonts w:ascii="Verdana" w:hAnsi="Verdana" w:cs="Arial"/>
          <w:lang w:val="es-CO"/>
        </w:rPr>
      </w:pPr>
    </w:p>
    <w:p w:rsidR="00DE431B" w:rsidP="00DE431B" w:rsidRDefault="00142A9D" w14:paraId="0115404F" w14:textId="7777777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Consolidar una cultura organizacional basada en la calidad del servicio, el</w:t>
      </w:r>
      <w:r w:rsidRPr="00DE431B" w:rsidR="0085222A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conocimiento, la innovación, la toma de decisiones a partir de evidencia, el</w:t>
      </w:r>
      <w:r w:rsidRPr="00DE431B" w:rsidR="0085222A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lastRenderedPageBreak/>
        <w:t>autocuidado, la seguridad y privacidad de la información y la mitigación de los</w:t>
      </w:r>
      <w:r w:rsidRPr="00DE431B" w:rsidR="0085222A">
        <w:rPr>
          <w:rFonts w:ascii="Verdana" w:hAnsi="Verdana" w:cs="Arial"/>
          <w:lang w:val="es-CO"/>
        </w:rPr>
        <w:t xml:space="preserve"> </w:t>
      </w:r>
      <w:r w:rsidRPr="00DE431B" w:rsidR="0085222A">
        <w:rPr>
          <w:rFonts w:ascii="Verdana" w:hAnsi="Verdana" w:cs="Arial"/>
          <w:lang w:val="es-CO"/>
        </w:rPr>
        <w:t>impactos ambientales, fomentando el bienestar, la mejora continua y el trabajo</w:t>
      </w:r>
      <w:r w:rsidRPr="00DE431B" w:rsidR="0085222A">
        <w:rPr>
          <w:rFonts w:ascii="Verdana" w:hAnsi="Verdana" w:cs="Arial"/>
          <w:lang w:val="es-CO"/>
        </w:rPr>
        <w:t xml:space="preserve"> </w:t>
      </w:r>
      <w:r w:rsidRPr="00DE431B" w:rsidR="0085222A">
        <w:rPr>
          <w:rFonts w:ascii="Verdana" w:hAnsi="Verdana" w:cs="Arial"/>
          <w:lang w:val="es-CO"/>
        </w:rPr>
        <w:t>digno de su talento humano.</w:t>
      </w:r>
    </w:p>
    <w:p w:rsidRPr="00DE431B" w:rsidR="00DE431B" w:rsidP="00DE431B" w:rsidRDefault="00DE431B" w14:paraId="2750B978" w14:textId="77777777">
      <w:pPr>
        <w:pStyle w:val="Prrafodelista"/>
        <w:rPr>
          <w:rFonts w:ascii="DejaVuSans" w:hAnsi="DejaVuSans" w:cs="DejaVuSans"/>
          <w:sz w:val="21"/>
          <w:szCs w:val="21"/>
          <w:lang w:val="es-CO" w:eastAsia="es-CO"/>
        </w:rPr>
      </w:pPr>
    </w:p>
    <w:p w:rsidRPr="00DE431B" w:rsidR="00DE431B" w:rsidP="00DE431B" w:rsidRDefault="00DE431B" w14:paraId="22A9A5E3" w14:textId="6168807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sz w:val="24"/>
          <w:szCs w:val="24"/>
          <w:lang w:val="es-CO"/>
        </w:rPr>
      </w:pPr>
      <w:r w:rsidRPr="00DE431B">
        <w:rPr>
          <w:rFonts w:ascii="Verdana" w:hAnsi="Verdana" w:cs="DejaVuSans"/>
          <w:szCs w:val="23"/>
          <w:lang w:val="es-CO" w:eastAsia="es-CO"/>
        </w:rPr>
        <w:t>Modernizar la gestión de la entidad a través de la adecuación de la arquitectura</w:t>
      </w:r>
      <w:r w:rsidRPr="00DE431B">
        <w:rPr>
          <w:rFonts w:ascii="Verdana" w:hAnsi="Verdana" w:cs="DejaVuSans"/>
          <w:szCs w:val="23"/>
          <w:lang w:val="es-CO" w:eastAsia="es-CO"/>
        </w:rPr>
        <w:t xml:space="preserve"> </w:t>
      </w:r>
      <w:r w:rsidRPr="00DE431B">
        <w:rPr>
          <w:rFonts w:ascii="Verdana" w:hAnsi="Verdana" w:cs="DejaVuSans"/>
          <w:szCs w:val="23"/>
          <w:lang w:val="es-CO" w:eastAsia="es-CO"/>
        </w:rPr>
        <w:t>institucional, infraestructura tecnológica y el rediseño de sus programas desde</w:t>
      </w:r>
      <w:r w:rsidRPr="00DE431B">
        <w:rPr>
          <w:rFonts w:ascii="Verdana" w:hAnsi="Verdana" w:cs="DejaVuSans"/>
          <w:szCs w:val="23"/>
          <w:lang w:val="es-CO" w:eastAsia="es-CO"/>
        </w:rPr>
        <w:t xml:space="preserve"> </w:t>
      </w:r>
      <w:r w:rsidRPr="00DE431B">
        <w:rPr>
          <w:rFonts w:ascii="Verdana" w:hAnsi="Verdana" w:cs="DejaVuSans"/>
          <w:szCs w:val="23"/>
          <w:lang w:val="es-CO" w:eastAsia="es-CO"/>
        </w:rPr>
        <w:t>una perspectiva territorial, asegurando procesos técnicos y administrativos que</w:t>
      </w:r>
      <w:r w:rsidRPr="00DE431B">
        <w:rPr>
          <w:rFonts w:ascii="Verdana" w:hAnsi="Verdana" w:cs="DejaVuSans"/>
          <w:szCs w:val="23"/>
          <w:lang w:val="es-CO" w:eastAsia="es-CO"/>
        </w:rPr>
        <w:t xml:space="preserve"> </w:t>
      </w:r>
      <w:r w:rsidRPr="00DE431B">
        <w:rPr>
          <w:rFonts w:ascii="Verdana" w:hAnsi="Verdana" w:cs="DejaVuSans"/>
          <w:szCs w:val="23"/>
          <w:lang w:val="es-CO" w:eastAsia="es-CO"/>
        </w:rPr>
        <w:t>soporten su gestión misional y garantizando el uso eficiente y transparente de los</w:t>
      </w:r>
      <w:r w:rsidRPr="00DE431B">
        <w:rPr>
          <w:rFonts w:ascii="Verdana" w:hAnsi="Verdana" w:cs="DejaVuSans"/>
          <w:szCs w:val="23"/>
          <w:lang w:val="es-CO" w:eastAsia="es-CO"/>
        </w:rPr>
        <w:t xml:space="preserve"> </w:t>
      </w:r>
      <w:r w:rsidRPr="00DE431B">
        <w:rPr>
          <w:rFonts w:ascii="Verdana" w:hAnsi="Verdana" w:cs="DejaVuSans"/>
          <w:szCs w:val="23"/>
          <w:lang w:val="es-CO" w:eastAsia="es-CO"/>
        </w:rPr>
        <w:t>recursos.</w:t>
      </w:r>
    </w:p>
    <w:p w:rsidR="00DE431B" w:rsidP="00DE431B" w:rsidRDefault="00DE431B" w14:paraId="0AD0F479" w14:textId="77777777">
      <w:pPr>
        <w:ind w:left="360"/>
        <w:rPr>
          <w:rFonts w:ascii="Verdana" w:hAnsi="Verdana" w:cs="Arial"/>
        </w:rPr>
      </w:pPr>
    </w:p>
    <w:p w:rsidRPr="00DE431B" w:rsidR="00DE431B" w:rsidP="00DE431B" w:rsidRDefault="00DE431B" w14:paraId="50E73F56" w14:textId="0580FE5F">
      <w:pPr>
        <w:ind w:left="360"/>
        <w:jc w:val="both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En línea con lo planteado, el ICBF orienta su atención hacia la primera infancia, la</w:t>
      </w:r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niñez, los adolescentes, los jóvenes y las familias, priorizando la prevención y la</w:t>
      </w:r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protección integral de sus derechos.</w:t>
      </w:r>
    </w:p>
    <w:p w:rsidRPr="00DE431B" w:rsidR="00DE431B" w:rsidP="00DE431B" w:rsidRDefault="00DE431B" w14:paraId="225E591A" w14:textId="06617669">
      <w:pPr>
        <w:ind w:left="360"/>
        <w:jc w:val="both"/>
        <w:rPr>
          <w:rFonts w:ascii="Verdana" w:hAnsi="Verdana" w:cs="Arial"/>
          <w:b/>
          <w:bCs/>
          <w:lang w:val="es-CO"/>
        </w:rPr>
      </w:pPr>
      <w:r w:rsidRPr="00DE431B">
        <w:rPr>
          <w:rFonts w:ascii="Verdana" w:hAnsi="Verdana" w:cs="Arial"/>
          <w:b/>
          <w:bCs/>
          <w:lang w:val="es-CO"/>
        </w:rPr>
        <w:t>2) Marco normativo y definición de exención para las donaciones de gobiernos</w:t>
      </w:r>
      <w:r>
        <w:rPr>
          <w:rFonts w:ascii="Verdana" w:hAnsi="Verdana" w:cs="Arial"/>
          <w:b/>
          <w:bCs/>
          <w:lang w:val="es-CO"/>
        </w:rPr>
        <w:t xml:space="preserve"> </w:t>
      </w:r>
      <w:r w:rsidRPr="00DE431B">
        <w:rPr>
          <w:rFonts w:ascii="Verdana" w:hAnsi="Verdana" w:cs="Arial"/>
          <w:b/>
          <w:bCs/>
          <w:lang w:val="es-CO"/>
        </w:rPr>
        <w:t>o entidades extranjeras, programas de utilidad común, certificado de utilidad</w:t>
      </w:r>
      <w:r>
        <w:rPr>
          <w:rFonts w:ascii="Verdana" w:hAnsi="Verdana" w:cs="Arial"/>
          <w:b/>
          <w:bCs/>
          <w:lang w:val="es-CO"/>
        </w:rPr>
        <w:t xml:space="preserve"> </w:t>
      </w:r>
      <w:r w:rsidRPr="00DE431B">
        <w:rPr>
          <w:rFonts w:ascii="Verdana" w:hAnsi="Verdana" w:cs="Arial"/>
          <w:b/>
          <w:bCs/>
          <w:lang w:val="es-CO"/>
        </w:rPr>
        <w:t>común y concepto técnico favorable.</w:t>
      </w:r>
    </w:p>
    <w:p w:rsidRPr="00DE431B" w:rsidR="00DE431B" w:rsidP="00DE431B" w:rsidRDefault="00DE431B" w14:paraId="770A08B2" w14:textId="5F9754B0">
      <w:pPr>
        <w:ind w:left="360"/>
        <w:jc w:val="both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Ahora bien, en relación con la exención aplicable a las donaciones de gobiernos o</w:t>
      </w:r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 xml:space="preserve">entidades extranjeras, los programas de utilidad común, los certificados </w:t>
      </w:r>
      <w:proofErr w:type="gramStart"/>
      <w:r w:rsidRPr="00DE431B">
        <w:rPr>
          <w:rFonts w:ascii="Verdana" w:hAnsi="Verdana" w:cs="Arial"/>
          <w:lang w:val="es-CO"/>
        </w:rPr>
        <w:t xml:space="preserve">de </w:t>
      </w:r>
      <w:r>
        <w:rPr>
          <w:rFonts w:ascii="Verdana" w:hAnsi="Verdana" w:cs="Arial"/>
          <w:lang w:val="es-CO"/>
        </w:rPr>
        <w:t xml:space="preserve"> u</w:t>
      </w:r>
      <w:r w:rsidRPr="00DE431B">
        <w:rPr>
          <w:rFonts w:ascii="Verdana" w:hAnsi="Verdana" w:cs="Arial"/>
          <w:lang w:val="es-CO"/>
        </w:rPr>
        <w:t>tilidad</w:t>
      </w:r>
      <w:proofErr w:type="gramEnd"/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común y el concepto técnico favorable, en la solicitud recibida mediante el</w:t>
      </w:r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memorando No. 202411000000158383, se han identificado dudas sobre los</w:t>
      </w:r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conceptos y la normatividad aplicable. Por ello, resulta pertinente realizar las</w:t>
      </w:r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siguientes aclaraciones para abordar cada uno de estos aspectos:</w:t>
      </w:r>
    </w:p>
    <w:p w:rsidRPr="00DE431B" w:rsidR="00DE431B" w:rsidP="00DE431B" w:rsidRDefault="00DE431B" w14:paraId="56FC8C19" w14:textId="77777777">
      <w:pPr>
        <w:ind w:left="360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El artículo 96 de la Ley 788 de 20029, estable la exención para las donaciones de</w:t>
      </w:r>
    </w:p>
    <w:p w:rsidRPr="00DE431B" w:rsidR="00DE431B" w:rsidP="00DE431B" w:rsidRDefault="00DE431B" w14:paraId="1D86AFB7" w14:textId="4263F709">
      <w:pPr>
        <w:ind w:left="360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gobiernos o entidades extranjeras, este artículo fue inicialmente reglamentado por</w:t>
      </w:r>
      <w:r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el Decreto 540 de 2004, el cual fue incorporado en el Decreto 1625 de 201610.</w:t>
      </w:r>
    </w:p>
    <w:p w:rsidRPr="00DE431B" w:rsidR="00DE431B" w:rsidP="00DE431B" w:rsidRDefault="00DE431B" w14:paraId="530FBFFE" w14:textId="77777777">
      <w:pPr>
        <w:ind w:left="360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En un inicio el citado artículo establecía:</w:t>
      </w:r>
    </w:p>
    <w:p w:rsidRPr="00DE431B" w:rsidR="00DE431B" w:rsidP="00DE431B" w:rsidRDefault="00DE431B" w14:paraId="2CE16904" w14:textId="02E0441F">
      <w:pPr>
        <w:ind w:left="708"/>
        <w:jc w:val="both"/>
        <w:rPr>
          <w:rFonts w:ascii="Verdana" w:hAnsi="Verdana" w:cs="Arial"/>
          <w:i/>
          <w:iCs/>
          <w:sz w:val="20"/>
          <w:szCs w:val="20"/>
          <w:lang w:val="es-CO"/>
        </w:rPr>
      </w:pPr>
      <w:r w:rsidRPr="00DE431B">
        <w:rPr>
          <w:rFonts w:ascii="Verdana" w:hAnsi="Verdana" w:cs="Arial"/>
          <w:b/>
          <w:bCs/>
          <w:i/>
          <w:iCs/>
          <w:sz w:val="20"/>
          <w:szCs w:val="20"/>
          <w:lang w:val="es-CO"/>
        </w:rPr>
        <w:t>ARTÍCULO 96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. </w:t>
      </w:r>
      <w:r w:rsidRPr="00DE431B">
        <w:rPr>
          <w:rFonts w:ascii="Verdana" w:hAnsi="Verdana" w:cs="Arial"/>
          <w:b/>
          <w:bCs/>
          <w:i/>
          <w:iCs/>
          <w:sz w:val="20"/>
          <w:szCs w:val="20"/>
          <w:lang w:val="es-CO"/>
        </w:rPr>
        <w:t>Exención para las donaciones de gobiernos o entidades extranjeras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. Se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encuentran exentos de todo impuesto, tasa o contribución, los fondos provenientes de auxilios o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donaciones de entidades o gobiernos extranjeros convenidos con el Gobierno Colombiano, destinados a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realizar programas de utilidad común y amparados por acuerdos intergubernamentales. También gozarán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de este beneficio tributario las compras o importaciones de bienes y la adquisición de servicios realizados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con los fondos donados, siempre que se destinen exclusivamente al objeto de la donación. El Gobierno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Nacional reglamentará la aplicación de esta exención.</w:t>
      </w:r>
    </w:p>
    <w:p w:rsidRPr="00DE431B" w:rsidR="00DE431B" w:rsidP="00DE431B" w:rsidRDefault="00DE431B" w14:paraId="6DF8454F" w14:textId="0EF2B7C9">
      <w:pPr>
        <w:ind w:left="360"/>
        <w:jc w:val="both"/>
        <w:rPr>
          <w:rFonts w:ascii="Verdana" w:hAnsi="Verdana" w:cs="Arial"/>
          <w:sz w:val="24"/>
          <w:szCs w:val="24"/>
          <w:lang w:val="es-CO"/>
        </w:rPr>
      </w:pPr>
      <w:r w:rsidRPr="00DE431B">
        <w:rPr>
          <w:rFonts w:ascii="Verdana" w:hAnsi="Verdana" w:cs="Arial"/>
          <w:sz w:val="24"/>
          <w:szCs w:val="24"/>
          <w:lang w:val="es-CO"/>
        </w:rPr>
        <w:lastRenderedPageBreak/>
        <w:t>El artículo 96 fue posteriormente modificado por el artículo 138 de la Ley 2010 de</w:t>
      </w:r>
      <w:r w:rsidRPr="00DE431B">
        <w:rPr>
          <w:rFonts w:ascii="Verdana" w:hAnsi="Verdana" w:cs="Arial"/>
          <w:sz w:val="24"/>
          <w:szCs w:val="24"/>
          <w:lang w:val="es-CO"/>
        </w:rPr>
        <w:t xml:space="preserve"> </w:t>
      </w:r>
      <w:r w:rsidRPr="00DE431B">
        <w:rPr>
          <w:rFonts w:ascii="Verdana" w:hAnsi="Verdana" w:cs="Arial"/>
          <w:sz w:val="24"/>
          <w:szCs w:val="24"/>
          <w:lang w:val="es-CO"/>
        </w:rPr>
        <w:t>20191</w:t>
      </w:r>
      <w:r w:rsidRPr="00DE431B">
        <w:rPr>
          <w:rFonts w:ascii="Verdana" w:hAnsi="Verdana" w:cs="Arial"/>
          <w:sz w:val="24"/>
          <w:szCs w:val="24"/>
          <w:lang w:val="es-CO"/>
        </w:rPr>
        <w:t>-</w:t>
      </w:r>
      <w:r w:rsidRPr="00DE431B">
        <w:rPr>
          <w:rFonts w:ascii="Verdana" w:hAnsi="Verdana" w:cs="Arial"/>
          <w:sz w:val="24"/>
          <w:szCs w:val="24"/>
          <w:lang w:val="es-CO"/>
        </w:rPr>
        <w:t>1, actualmente el articulado versa:</w:t>
      </w:r>
    </w:p>
    <w:p w:rsidR="00DE431B" w:rsidP="00DE431B" w:rsidRDefault="00DE431B" w14:paraId="4B72B3B7" w14:textId="0A3D86DE">
      <w:pPr>
        <w:ind w:left="708"/>
        <w:jc w:val="both"/>
        <w:rPr>
          <w:rFonts w:ascii="Verdana" w:hAnsi="Verdana" w:cs="Arial"/>
          <w:sz w:val="20"/>
          <w:szCs w:val="20"/>
          <w:lang w:val="es-CO"/>
        </w:rPr>
      </w:pPr>
      <w:r w:rsidRPr="00DE431B">
        <w:rPr>
          <w:rFonts w:ascii="Verdana" w:hAnsi="Verdana" w:cs="Arial"/>
          <w:b/>
          <w:bCs/>
          <w:i/>
          <w:iCs/>
          <w:sz w:val="20"/>
          <w:szCs w:val="20"/>
          <w:lang w:val="es-CO"/>
        </w:rPr>
        <w:t>ARTÍCULO 96. Exención para las donaciones de gobiernos o entidades extranjeras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. Se encuentran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exentos de todo impuesto, tasa o contribución, los fondos provenientes de auxilios o donaciones de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entidades o gobiernos extranjeros convenidos con el Gobierno colombiano, destinados a realizar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programas de utilidad común y </w:t>
      </w:r>
      <w:r w:rsidRPr="00DE431B">
        <w:rPr>
          <w:rFonts w:ascii="Verdana" w:hAnsi="Verdana" w:cs="Arial"/>
          <w:i/>
          <w:iCs/>
          <w:sz w:val="20"/>
          <w:szCs w:val="20"/>
          <w:u w:val="single"/>
          <w:lang w:val="es-CO"/>
        </w:rPr>
        <w:t>registrados en la Agencia Presidencial de la Cooperación Internacional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.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También gozarán de este beneficio tributario las compras o importaciones de bienes y la adquisición de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servicios realizados con los fondos donados, siempre que se destinen exclusivamente al objeto de la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donación. El Gobierno nacional reglamentará la aplicación de esta exención. </w:t>
      </w:r>
      <w:r w:rsidRPr="00DE431B">
        <w:rPr>
          <w:rFonts w:ascii="Verdana" w:hAnsi="Verdana" w:cs="Arial"/>
          <w:sz w:val="20"/>
          <w:szCs w:val="20"/>
          <w:lang w:val="es-CO"/>
        </w:rPr>
        <w:t>(Subrayado fuera de texto y</w:t>
      </w:r>
      <w:r w:rsidRPr="00DE431B">
        <w:rPr>
          <w:rFonts w:ascii="Verdana" w:hAnsi="Verdana" w:cs="Arial"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sz w:val="20"/>
          <w:szCs w:val="20"/>
          <w:lang w:val="es-CO"/>
        </w:rPr>
        <w:t>que corresponde a la modificación del artículo 138 de la Ley 2010 de 2019)</w:t>
      </w:r>
    </w:p>
    <w:p w:rsidRPr="00DE431B" w:rsidR="00DE431B" w:rsidP="00DE431B" w:rsidRDefault="00DE431B" w14:paraId="1764208B" w14:textId="30AD5F35">
      <w:pPr>
        <w:jc w:val="both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Finalmente, de conformidad con la disposición de la reglamentación, el señalado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artículo 96 fue nuevamente reglamentado por el Decreto 1651 de 2021, el cual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expresamente sustituyó los artículos 1.3.1.9.2. al 1.3.1.9.5., renumeró el artículo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1.3.1.9.6. y adicionó los artículos 1.3.1.9.6. al 1.3.1.9.13., del Capítulo 9 del Título 1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de la Parte 3 del Libro 1, del Decreto 1625 de 2016.</w:t>
      </w:r>
    </w:p>
    <w:p w:rsidRPr="00DE431B" w:rsidR="00DE431B" w:rsidP="00DE431B" w:rsidRDefault="00DE431B" w14:paraId="49468BAB" w14:textId="3760C841">
      <w:pPr>
        <w:jc w:val="both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Ahora bien, sobre la validez y aplicación de las leyes, para el caso particular se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entiende vigente y aplicada la normatividad posterior. Ello, considerando lo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legalmente establecido en el artículo 3 de la Ley 153 de 1887, artículo en el cual se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 xml:space="preserve">estima </w:t>
      </w:r>
      <w:r w:rsidRPr="00DE431B">
        <w:rPr>
          <w:rFonts w:ascii="Verdana" w:hAnsi="Verdana" w:cs="Arial"/>
          <w:i/>
          <w:iCs/>
          <w:lang w:val="es-CO"/>
        </w:rPr>
        <w:t>insubsistente una disposición legal por declaración expresa del legislador, o</w:t>
      </w:r>
      <w:r w:rsidRPr="00DE431B">
        <w:rPr>
          <w:rFonts w:ascii="Verdana" w:hAnsi="Verdana" w:cs="Arial"/>
          <w:i/>
          <w:iCs/>
          <w:lang w:val="es-CO"/>
        </w:rPr>
        <w:t xml:space="preserve"> </w:t>
      </w:r>
      <w:r w:rsidRPr="00DE431B">
        <w:rPr>
          <w:rFonts w:ascii="Verdana" w:hAnsi="Verdana" w:cs="Arial"/>
          <w:i/>
          <w:iCs/>
          <w:lang w:val="es-CO"/>
        </w:rPr>
        <w:t>por incompatibilidad con disposiciones especiales posteriores, o por existir una ley</w:t>
      </w:r>
      <w:r w:rsidRPr="00DE431B">
        <w:rPr>
          <w:rFonts w:ascii="Verdana" w:hAnsi="Verdana" w:cs="Arial"/>
          <w:i/>
          <w:iCs/>
          <w:lang w:val="es-CO"/>
        </w:rPr>
        <w:t xml:space="preserve"> </w:t>
      </w:r>
      <w:r w:rsidRPr="00DE431B">
        <w:rPr>
          <w:rFonts w:ascii="Verdana" w:hAnsi="Verdana" w:cs="Arial"/>
          <w:i/>
          <w:iCs/>
          <w:lang w:val="es-CO"/>
        </w:rPr>
        <w:t xml:space="preserve">nueva que regula íntegramente la materia a que la anterior disposición se refería </w:t>
      </w:r>
      <w:r w:rsidRPr="00DE431B">
        <w:rPr>
          <w:rFonts w:ascii="Verdana" w:hAnsi="Verdana" w:cs="Arial"/>
          <w:lang w:val="es-CO"/>
        </w:rPr>
        <w:t>y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en concordancia con los señalamientos de la Corte Constitucional, la cual ha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anotado:</w:t>
      </w:r>
    </w:p>
    <w:p w:rsidRPr="00DE431B" w:rsidR="00DE431B" w:rsidP="00DE431B" w:rsidRDefault="00DE431B" w14:paraId="535AD261" w14:textId="425C6C49">
      <w:pPr>
        <w:ind w:left="708"/>
        <w:jc w:val="both"/>
        <w:rPr>
          <w:rFonts w:ascii="Verdana" w:hAnsi="Verdana" w:cs="Arial"/>
          <w:i/>
          <w:iCs/>
          <w:sz w:val="20"/>
          <w:szCs w:val="20"/>
          <w:lang w:val="es-CO"/>
        </w:rPr>
      </w:pP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El artículo 2º de la Ley 153 de 1887 dice que la ley posterior prevalece sobre la anterior y que en caso de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que una ley posterior sea contraria a otra anterior, se aplicará la ley posterior. Ese principio debe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entenderse en armonía con el plasmado en el artículo 3º </w:t>
      </w:r>
      <w:proofErr w:type="spellStart"/>
      <w:r w:rsidRPr="00DE431B">
        <w:rPr>
          <w:rFonts w:ascii="Verdana" w:hAnsi="Verdana" w:cs="Arial"/>
          <w:b/>
          <w:bCs/>
          <w:i/>
          <w:iCs/>
          <w:sz w:val="20"/>
          <w:szCs w:val="20"/>
          <w:lang w:val="es-CO"/>
        </w:rPr>
        <w:t>Ibídem</w:t>
      </w:r>
      <w:proofErr w:type="spellEnd"/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, a cuyo tenor se estima insubsistente una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disposición legal por declaración expresa del legislador o por incompatibilidad con disposiciones especiales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DE431B">
        <w:rPr>
          <w:rFonts w:ascii="Verdana" w:hAnsi="Verdana" w:cs="Arial"/>
          <w:i/>
          <w:iCs/>
          <w:sz w:val="20"/>
          <w:szCs w:val="20"/>
          <w:lang w:val="es-CO"/>
        </w:rPr>
        <w:t>posteriores, o por existir una ley nueva que regule íntegramente la materia a que la anterior se refería12.</w:t>
      </w:r>
    </w:p>
    <w:p w:rsidRPr="00DE431B" w:rsidR="00DE431B" w:rsidP="00DE431B" w:rsidRDefault="00DE431B" w14:paraId="42AEED9E" w14:textId="6E53E97F">
      <w:pPr>
        <w:jc w:val="both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t>En consideración, a la luz de la normativa vigente, respecto a la exención para las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donaciones de gobiernos o entidades extranjeras los programas de utilidad común,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los certificados de utilidad común y el concepto técnico favorable, es preciso hacer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las siguientes precisiones:</w:t>
      </w:r>
    </w:p>
    <w:p w:rsidRPr="00DE431B" w:rsidR="00DE431B" w:rsidP="00DE431B" w:rsidRDefault="00DE431B" w14:paraId="4BDEA448" w14:textId="77777777">
      <w:pPr>
        <w:jc w:val="both"/>
        <w:rPr>
          <w:rFonts w:ascii="Verdana" w:hAnsi="Verdana" w:cs="Arial"/>
          <w:b/>
          <w:bCs/>
          <w:lang w:val="es-CO"/>
        </w:rPr>
      </w:pPr>
      <w:r w:rsidRPr="00DE431B">
        <w:rPr>
          <w:rFonts w:ascii="Verdana" w:hAnsi="Verdana" w:cs="Arial"/>
          <w:lang w:val="es-CO"/>
        </w:rPr>
        <w:t xml:space="preserve">i) </w:t>
      </w:r>
      <w:r w:rsidRPr="00DE431B">
        <w:rPr>
          <w:rFonts w:ascii="Verdana" w:hAnsi="Verdana" w:cs="Arial"/>
          <w:b/>
          <w:bCs/>
          <w:lang w:val="es-CO"/>
        </w:rPr>
        <w:t>Exención para las donaciones de gobiernos o entidades extranjeras:</w:t>
      </w:r>
    </w:p>
    <w:p w:rsidR="00DE431B" w:rsidP="00DE431B" w:rsidRDefault="00DE431B" w14:paraId="3D720F91" w14:textId="68CD8DC8">
      <w:pPr>
        <w:jc w:val="both"/>
        <w:rPr>
          <w:rFonts w:ascii="Verdana" w:hAnsi="Verdana" w:cs="Arial"/>
          <w:lang w:val="es-CO"/>
        </w:rPr>
      </w:pPr>
      <w:r w:rsidRPr="00DE431B">
        <w:rPr>
          <w:rFonts w:ascii="Verdana" w:hAnsi="Verdana" w:cs="Arial"/>
          <w:lang w:val="es-CO"/>
        </w:rPr>
        <w:lastRenderedPageBreak/>
        <w:t>Con la expedición de la Ley 2010 de 2019 y la modificación que el artículo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138 trajo al artículo 96 de la Ley 788 de 2002, la exención tributaria para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ciertos recursos provenientes de donaciones o auxilios de entidades o</w:t>
      </w:r>
      <w:r w:rsidRPr="00DE431B">
        <w:rPr>
          <w:rFonts w:ascii="Verdana" w:hAnsi="Verdana" w:cs="Arial"/>
          <w:lang w:val="es-CO"/>
        </w:rPr>
        <w:t xml:space="preserve"> </w:t>
      </w:r>
      <w:r w:rsidRPr="00DE431B">
        <w:rPr>
          <w:rFonts w:ascii="Verdana" w:hAnsi="Verdana" w:cs="Arial"/>
          <w:lang w:val="es-CO"/>
        </w:rPr>
        <w:t>gobiernos extranjeros se da cuando se cumplen las siguientes condiciones:</w:t>
      </w:r>
    </w:p>
    <w:p w:rsidRPr="0089676D" w:rsidR="0089676D" w:rsidP="0089676D" w:rsidRDefault="0089676D" w14:paraId="52C637E3" w14:textId="765DE884">
      <w:pPr>
        <w:jc w:val="both"/>
        <w:rPr>
          <w:rFonts w:ascii="Verdana" w:hAnsi="Verdana" w:cs="Arial"/>
          <w:i/>
          <w:iCs/>
          <w:lang w:val="es-CO"/>
        </w:rPr>
      </w:pPr>
      <w:r w:rsidRPr="0089676D">
        <w:rPr>
          <w:rFonts w:ascii="Verdana" w:hAnsi="Verdana" w:cs="Arial"/>
          <w:lang w:val="es-CO"/>
        </w:rPr>
        <w:t xml:space="preserve">a. Se originan en el marco de una cooperación internacional, </w:t>
      </w:r>
      <w:r w:rsidRPr="0089676D">
        <w:rPr>
          <w:rFonts w:ascii="Verdana" w:hAnsi="Verdana" w:cs="Arial"/>
          <w:i/>
          <w:iCs/>
          <w:lang w:val="es-CO"/>
        </w:rPr>
        <w:t>acción conjunta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para apoyar el desarrollo económico y social del país, mediante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transferencia de tecnologías, conocimientos, experiencias o recursos por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parte de países con igual o mayor nivel de desarrollo, organismos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multilaterales, organizaciones no gubernamentales y de la sociedad civil.13</w:t>
      </w:r>
    </w:p>
    <w:p w:rsidRPr="0089676D" w:rsidR="0089676D" w:rsidP="0089676D" w:rsidRDefault="0089676D" w14:paraId="3513A37C" w14:textId="302A419E">
      <w:pPr>
        <w:jc w:val="both"/>
        <w:rPr>
          <w:rFonts w:ascii="Verdana" w:hAnsi="Verdana" w:cs="Arial"/>
          <w:i/>
          <w:iCs/>
          <w:lang w:val="es-CO"/>
        </w:rPr>
      </w:pPr>
      <w:r w:rsidRPr="0089676D">
        <w:rPr>
          <w:rFonts w:ascii="Verdana" w:hAnsi="Verdana" w:cs="Arial"/>
          <w:i/>
          <w:iCs/>
          <w:lang w:val="es-CO"/>
        </w:rPr>
        <w:t>b. Los programas financiados con estos fondos deben estar convenidos con 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Gobierno colombiano, es decir que las ayudas o donaciones deben ser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acordadas, aprobadas y formalizadas entre la entidad o gobierno extranjero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donante y el Gobierno de Colombia. Lo que implica que las donaciones deben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estar alineadas con las políticas públicas y prioridades del Gobierno,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asegurando que los recursos sean utilizados en proyectos legítimos y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interés común.</w:t>
      </w:r>
    </w:p>
    <w:p w:rsidRPr="0089676D" w:rsidR="0089676D" w:rsidP="0089676D" w:rsidRDefault="0089676D" w14:paraId="4D73A151" w14:textId="77777777">
      <w:pPr>
        <w:jc w:val="both"/>
        <w:rPr>
          <w:rFonts w:ascii="Verdana" w:hAnsi="Verdana" w:cs="Arial"/>
          <w:i/>
          <w:iCs/>
          <w:lang w:val="es-CO"/>
        </w:rPr>
      </w:pPr>
      <w:r w:rsidRPr="0089676D">
        <w:rPr>
          <w:rFonts w:ascii="Verdana" w:hAnsi="Verdana" w:cs="Arial"/>
          <w:i/>
          <w:iCs/>
          <w:lang w:val="es-CO"/>
        </w:rPr>
        <w:t>c. Los fondos deben estar destinados a programas de utilidad común.</w:t>
      </w:r>
    </w:p>
    <w:p w:rsidRPr="0089676D" w:rsidR="0089676D" w:rsidP="0089676D" w:rsidRDefault="0089676D" w14:paraId="51ADF1EB" w14:textId="39D279C5">
      <w:pPr>
        <w:jc w:val="both"/>
        <w:rPr>
          <w:rFonts w:ascii="Verdana" w:hAnsi="Verdana" w:cs="Arial"/>
          <w:i/>
          <w:iCs/>
          <w:lang w:val="es-CO"/>
        </w:rPr>
      </w:pPr>
      <w:r w:rsidRPr="0089676D">
        <w:rPr>
          <w:rFonts w:ascii="Verdana" w:hAnsi="Verdana" w:cs="Arial"/>
          <w:i/>
          <w:iCs/>
          <w:lang w:val="es-CO"/>
        </w:rPr>
        <w:t>d. Los recursos deben ser registrados en la Agencia Presidencial de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Cooperación Internacional (APC-Colombia), entidad encargada de gestionar,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orientar y coordinar técnicamente la cooperación internacional pública,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privada, técnica y financiera no reembolsable que reciba y otorgue el país; así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como de ejecutar, administrar y apoyar la canalización y ejecución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recursos, programas y proyectos de cooperación internacional, atendiendo los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objetivos de política exterior y el Plan Nacional de Desarrollo14.</w:t>
      </w:r>
    </w:p>
    <w:p w:rsidRPr="0089676D" w:rsidR="0089676D" w:rsidP="0089676D" w:rsidRDefault="0089676D" w14:paraId="4F2958B9" w14:textId="6B9C7852">
      <w:pPr>
        <w:jc w:val="both"/>
        <w:rPr>
          <w:rFonts w:ascii="Verdana" w:hAnsi="Verdana" w:cs="Arial"/>
          <w:i/>
          <w:iCs/>
          <w:lang w:val="es-CO"/>
        </w:rPr>
      </w:pPr>
      <w:r w:rsidRPr="0089676D">
        <w:rPr>
          <w:rFonts w:ascii="Verdana" w:hAnsi="Verdana" w:cs="Arial"/>
          <w:i/>
          <w:iCs/>
          <w:lang w:val="es-CO"/>
        </w:rPr>
        <w:t>e. Los bienes y servicios adquiridos o importados con los fondos donados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también estarán exentos de impuestos, siempre y cuando se utilicen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exclusivamente para cumplir con el objetivo de la donación.</w:t>
      </w:r>
    </w:p>
    <w:p w:rsidR="0089676D" w:rsidP="0089676D" w:rsidRDefault="0089676D" w14:paraId="0AEE3849" w14:textId="71C6CF80">
      <w:pPr>
        <w:jc w:val="both"/>
        <w:rPr>
          <w:rFonts w:ascii="Verdana" w:hAnsi="Verdana" w:cs="Arial"/>
          <w:i/>
          <w:iCs/>
          <w:lang w:val="es-CO"/>
        </w:rPr>
      </w:pPr>
      <w:proofErr w:type="spellStart"/>
      <w:r w:rsidRPr="0089676D">
        <w:rPr>
          <w:rFonts w:ascii="Verdana" w:hAnsi="Verdana" w:cs="Arial"/>
          <w:b/>
          <w:bCs/>
          <w:lang w:val="es-CO"/>
        </w:rPr>
        <w:t>ii</w:t>
      </w:r>
      <w:proofErr w:type="spellEnd"/>
      <w:r w:rsidRPr="0089676D">
        <w:rPr>
          <w:rFonts w:ascii="Verdana" w:hAnsi="Verdana" w:cs="Arial"/>
          <w:b/>
          <w:bCs/>
          <w:lang w:val="es-CO"/>
        </w:rPr>
        <w:t xml:space="preserve">) Programas de utilidad común: </w:t>
      </w:r>
      <w:r w:rsidRPr="0089676D">
        <w:rPr>
          <w:rFonts w:ascii="Verdana" w:hAnsi="Verdana" w:cs="Arial"/>
          <w:lang w:val="es-CO"/>
        </w:rPr>
        <w:t>De conformidad con las estipulaciones del</w:t>
      </w:r>
      <w:r w:rsidRPr="0089676D"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numeral 4 del artículo 1.3.1.9.3 del Decreto 1625 de 2016, sustituido por el</w:t>
      </w:r>
      <w:r w:rsidRPr="0089676D"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artículo 1 del Decreto 1651 de 2021,</w:t>
      </w:r>
      <w:r w:rsidRPr="0089676D">
        <w:rPr>
          <w:rFonts w:ascii="Verdana" w:hAnsi="Verdana" w:cs="Arial"/>
          <w:i/>
          <w:iCs/>
          <w:lang w:val="es-CO"/>
        </w:rPr>
        <w:t xml:space="preserve"> se entiende por programas de utilidad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común los orientados a beneficiar a uno o varios grupos o comunidades que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podrán estar alineados con el Plan Nacional de Desarrollo vigente y/o los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Planes Territoriales de Desarrollo vigentes y/o la Estrategia Nacional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Cooperación Internacional ENCI vigentes. Así mismo se consideran como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programas de utilidad común, las donaciones destinadas a asistencia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humanitaria, desastres naturales, emergencia sanitaria, y/o calamidad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 xml:space="preserve">pública y los demás de utilidad común en los términos previstos en el </w:t>
      </w:r>
      <w:r w:rsidRPr="0089676D">
        <w:rPr>
          <w:rFonts w:ascii="Verdana" w:hAnsi="Verdana" w:cs="Arial"/>
          <w:i/>
          <w:iCs/>
          <w:lang w:val="es-CO"/>
        </w:rPr>
        <w:lastRenderedPageBreak/>
        <w:t>artículo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96 de la Ley 788 de 2002, modificado por el artículo 138 de la Ley 2010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89676D">
        <w:rPr>
          <w:rFonts w:ascii="Verdana" w:hAnsi="Verdana" w:cs="Arial"/>
          <w:i/>
          <w:iCs/>
          <w:lang w:val="es-CO"/>
        </w:rPr>
        <w:t>2019.</w:t>
      </w:r>
    </w:p>
    <w:p w:rsidRPr="0089676D" w:rsidR="0089676D" w:rsidP="0089676D" w:rsidRDefault="0089676D" w14:paraId="66AE67CE" w14:textId="023CF2E9">
      <w:p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De la interpretación gramatical15 del articulado, se puede establecer que los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programas de utilidad común son aquellos programas orientados a beneficiar a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grupos o comunidades que generan un impacto social positivo buscando siempre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el bienestar colectivo.</w:t>
      </w:r>
    </w:p>
    <w:p w:rsidRPr="0089676D" w:rsidR="0089676D" w:rsidP="0089676D" w:rsidRDefault="0089676D" w14:paraId="33ED5784" w14:textId="5A224CC6">
      <w:p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Para que estos programas sean considerados de utilidad común, deben estar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alineados con al menos uno de los siguientes documentos o estrategias vigentes:</w:t>
      </w:r>
    </w:p>
    <w:p w:rsidRPr="0089676D" w:rsidR="0089676D" w:rsidP="0089676D" w:rsidRDefault="0089676D" w14:paraId="3150378B" w14:textId="00FBF4F8">
      <w:p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a. El Plan Nacional de Desarrollo: instrumento formal y legal por medio del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cual se trazan los objetivos del Gobierno permitiendo la subsecuente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evaluación de su gestión16.</w:t>
      </w:r>
    </w:p>
    <w:p w:rsidRPr="0089676D" w:rsidR="0089676D" w:rsidP="0089676D" w:rsidRDefault="0089676D" w14:paraId="01044D45" w14:textId="3E95F5A9">
      <w:p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b. Planes Territoriales de Desarrollo: instrumento de planeación mediante el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cual las alcaldías y gobernaciones concretan las decisiones, acciones,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medios y recursos que se ejecutarán durante un periodo de gobierno17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y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que responden a las necesidades locales.</w:t>
      </w:r>
    </w:p>
    <w:p w:rsidRPr="0089676D" w:rsidR="0089676D" w:rsidP="0089676D" w:rsidRDefault="0089676D" w14:paraId="710613B1" w14:textId="42C8D853">
      <w:p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c. La Estrategia Nacional de Cooperación Internacional (ENCI): Herramienta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de la política pública del sector de relaciones exteriores, que establece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directrices para la gestión y la acción de la Cooperación Internacional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como aporte al desarrollo del país18.</w:t>
      </w:r>
    </w:p>
    <w:p w:rsidRPr="0089676D" w:rsidR="0089676D" w:rsidP="0089676D" w:rsidRDefault="0089676D" w14:paraId="3A855E22" w14:textId="1125F8AF">
      <w:p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También se incluyen dentro de los programas de utilidad común aquellos</w:t>
      </w:r>
      <w:r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destinados a:</w:t>
      </w:r>
    </w:p>
    <w:p w:rsidRPr="0089676D" w:rsidR="0089676D" w:rsidP="0089676D" w:rsidRDefault="0089676D" w14:paraId="297905D6" w14:textId="4857F36D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Asistencia humanitaria: Apoyo a personas en situaciones de vulnerabilidad.</w:t>
      </w:r>
    </w:p>
    <w:p w:rsidRPr="0089676D" w:rsidR="0089676D" w:rsidP="0089676D" w:rsidRDefault="0089676D" w14:paraId="44F06122" w14:textId="22039FB0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Atención en desastres naturales: Respuesta ante eventos como terremotos,</w:t>
      </w:r>
      <w:r w:rsidRPr="0089676D"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inundaciones, entre otros.</w:t>
      </w:r>
    </w:p>
    <w:p w:rsidRPr="0089676D" w:rsidR="0089676D" w:rsidP="0089676D" w:rsidRDefault="0089676D" w14:paraId="54CB3AE1" w14:textId="22B388CF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Emergencias sanitarias: Gestión de crisis de salud pública, como pandemias.</w:t>
      </w:r>
    </w:p>
    <w:p w:rsidRPr="0089676D" w:rsidR="0089676D" w:rsidP="0089676D" w:rsidRDefault="0089676D" w14:paraId="48AB4E4A" w14:textId="20210283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lang w:val="es-CO"/>
        </w:rPr>
      </w:pPr>
      <w:r w:rsidRPr="0089676D">
        <w:rPr>
          <w:rFonts w:ascii="Verdana" w:hAnsi="Verdana" w:cs="Arial"/>
          <w:lang w:val="es-CO"/>
        </w:rPr>
        <w:t>Calamidades públicas: Situaciones excepcionales que afectan</w:t>
      </w:r>
      <w:r w:rsidRPr="0089676D"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significativamente a la población.</w:t>
      </w:r>
    </w:p>
    <w:p w:rsidRPr="00D54A1B" w:rsidR="00D54A1B" w:rsidP="00D54A1B" w:rsidRDefault="0089676D" w14:paraId="7084327F" w14:textId="77777777">
      <w:pPr>
        <w:jc w:val="both"/>
        <w:rPr>
          <w:rFonts w:ascii="Verdana" w:hAnsi="Verdana" w:cs="Arial"/>
          <w:lang w:val="es-CO"/>
        </w:rPr>
      </w:pPr>
      <w:proofErr w:type="spellStart"/>
      <w:r w:rsidRPr="0089676D">
        <w:rPr>
          <w:rFonts w:ascii="Verdana" w:hAnsi="Verdana" w:cs="Arial"/>
          <w:lang w:val="es-CO"/>
        </w:rPr>
        <w:t>iii</w:t>
      </w:r>
      <w:proofErr w:type="spellEnd"/>
      <w:r w:rsidRPr="0089676D">
        <w:rPr>
          <w:rFonts w:ascii="Verdana" w:hAnsi="Verdana" w:cs="Arial"/>
          <w:lang w:val="es-CO"/>
        </w:rPr>
        <w:t xml:space="preserve">) </w:t>
      </w:r>
      <w:r w:rsidRPr="0089676D">
        <w:rPr>
          <w:rFonts w:ascii="Verdana" w:hAnsi="Verdana" w:cs="Arial"/>
          <w:b/>
          <w:bCs/>
          <w:lang w:val="es-CO"/>
        </w:rPr>
        <w:t xml:space="preserve">Certificados de utilidad común -CUC-: </w:t>
      </w:r>
      <w:r w:rsidRPr="0089676D">
        <w:rPr>
          <w:rFonts w:ascii="Verdana" w:hAnsi="Verdana" w:cs="Arial"/>
          <w:lang w:val="es-CO"/>
        </w:rPr>
        <w:t>documento a través del cual se da</w:t>
      </w:r>
      <w:r w:rsidR="00D54A1B">
        <w:rPr>
          <w:rFonts w:ascii="Verdana" w:hAnsi="Verdana" w:cs="Arial"/>
          <w:lang w:val="es-CO"/>
        </w:rPr>
        <w:t xml:space="preserve"> </w:t>
      </w:r>
      <w:r w:rsidRPr="0089676D">
        <w:rPr>
          <w:rFonts w:ascii="Verdana" w:hAnsi="Verdana" w:cs="Arial"/>
          <w:lang w:val="es-CO"/>
        </w:rPr>
        <w:t>constancia que un proyecto o programa financiado con recursos de</w:t>
      </w:r>
      <w:r w:rsidR="00D54A1B">
        <w:rPr>
          <w:rFonts w:ascii="Verdana" w:hAnsi="Verdana" w:cs="Arial"/>
          <w:lang w:val="es-CO"/>
        </w:rPr>
        <w:t xml:space="preserve"> </w:t>
      </w:r>
      <w:r w:rsidRPr="00D54A1B" w:rsidR="00D54A1B">
        <w:rPr>
          <w:rFonts w:ascii="Verdana" w:hAnsi="Verdana" w:cs="Arial"/>
          <w:lang w:val="es-CO"/>
        </w:rPr>
        <w:t>utilidad común y puede ser exento del pago de impuestos nacionales19.</w:t>
      </w:r>
    </w:p>
    <w:p w:rsidRPr="00D54A1B" w:rsidR="00D54A1B" w:rsidP="00D54A1B" w:rsidRDefault="00D54A1B" w14:paraId="54BB47C1" w14:textId="72BFE680">
      <w:pPr>
        <w:jc w:val="both"/>
        <w:rPr>
          <w:rFonts w:ascii="Verdana" w:hAnsi="Verdana" w:cs="Arial"/>
          <w:lang w:val="es-CO"/>
        </w:rPr>
      </w:pPr>
      <w:r w:rsidRPr="00D54A1B">
        <w:rPr>
          <w:rFonts w:ascii="Verdana" w:hAnsi="Verdana" w:cs="Arial"/>
          <w:lang w:val="es-CO"/>
        </w:rPr>
        <w:t>De conformidad con las estipulaciones del artículo 1.3.1.9.420 del Decreto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1625 de 2016, sustituido por el artículo 1 del Decreto 1651 de 2021, se puede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establecer respecto del CUC lo siguiente:</w:t>
      </w:r>
    </w:p>
    <w:p w:rsidRPr="00D54A1B" w:rsidR="00D54A1B" w:rsidP="00D54A1B" w:rsidRDefault="00D54A1B" w14:paraId="795E9454" w14:textId="2D9B83BE">
      <w:pPr>
        <w:jc w:val="both"/>
        <w:rPr>
          <w:rFonts w:ascii="Verdana" w:hAnsi="Verdana" w:cs="Arial"/>
          <w:lang w:val="es-CO"/>
        </w:rPr>
      </w:pPr>
      <w:r w:rsidRPr="00D54A1B">
        <w:rPr>
          <w:rFonts w:hint="eastAsia" w:ascii="Verdana" w:hAnsi="Verdana" w:cs="Arial"/>
          <w:lang w:val="es-CO"/>
        </w:rPr>
        <w:lastRenderedPageBreak/>
        <w:t></w:t>
      </w:r>
      <w:r w:rsidRPr="00D54A1B">
        <w:rPr>
          <w:rFonts w:ascii="Verdana" w:hAnsi="Verdana" w:cs="Arial"/>
          <w:lang w:val="es-CO"/>
        </w:rPr>
        <w:t xml:space="preserve"> Finalidad del CUC: El Certificado de utilidad común tiene como propósito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validar el origen de los fondos confirmando que los auxilios o donaciones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provienen de entidades o gobiernos extranjeros y garantizando que dichos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recursos se emplearan de manera exclusiva a los programas clasificados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como de utilidad común, los cuales deben beneficiar a la sociedad y estar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alineados con las normas aplicables.</w:t>
      </w:r>
    </w:p>
    <w:p w:rsidRPr="00D54A1B" w:rsidR="00D54A1B" w:rsidP="00D54A1B" w:rsidRDefault="00D54A1B" w14:paraId="6D8CDD90" w14:textId="1FD26B1C">
      <w:pPr>
        <w:jc w:val="both"/>
        <w:rPr>
          <w:rFonts w:ascii="Verdana" w:hAnsi="Verdana" w:cs="Arial"/>
          <w:lang w:val="es-CO"/>
        </w:rPr>
      </w:pPr>
      <w:r w:rsidRPr="00D54A1B">
        <w:rPr>
          <w:rFonts w:hint="eastAsia" w:ascii="Verdana" w:hAnsi="Verdana" w:cs="Arial"/>
          <w:lang w:val="es-CO"/>
        </w:rPr>
        <w:t></w:t>
      </w:r>
      <w:r w:rsidRPr="00D54A1B">
        <w:rPr>
          <w:rFonts w:ascii="Verdana" w:hAnsi="Verdana" w:cs="Arial"/>
          <w:lang w:val="es-CO"/>
        </w:rPr>
        <w:t xml:space="preserve"> Responsables de solicitarlo: Son responsables de presentar la solicitud de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certificación ante la Agencia Presidencial de Cooperación Internacional de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Colombia (APC-Colombia) los donantes ejecutores o las entidades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ejecutoras, entendidos los primeros como las entidades y gobiernos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extranjeros que ejecutan y administran directamente los recursos en los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programas de utilidad común y las entidades ejecutoras como aquellos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organismos internacionales, entidades públicas, organizaciones no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gubernamentales, entidades sin ánimo de lucro o personas jurídicas con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ánimo de lucro debidamente acreditadas en Colombia, que estén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debidamente autorizadas por la entidad o gobierno extranjero donante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para la ejecución y administración de los recursos en los programas de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utilidad común.</w:t>
      </w:r>
    </w:p>
    <w:p w:rsidR="0089676D" w:rsidP="00D54A1B" w:rsidRDefault="00D54A1B" w14:paraId="48C631A7" w14:textId="0BAD4188">
      <w:pPr>
        <w:jc w:val="both"/>
        <w:rPr>
          <w:rFonts w:ascii="Verdana" w:hAnsi="Verdana" w:cs="Arial"/>
          <w:lang w:val="es-CO"/>
        </w:rPr>
      </w:pPr>
      <w:r w:rsidRPr="00D54A1B">
        <w:rPr>
          <w:rFonts w:hint="eastAsia" w:ascii="Verdana" w:hAnsi="Verdana" w:cs="Arial"/>
          <w:lang w:val="es-CO"/>
        </w:rPr>
        <w:t></w:t>
      </w:r>
      <w:r w:rsidRPr="00D54A1B">
        <w:rPr>
          <w:rFonts w:ascii="Verdana" w:hAnsi="Verdana" w:cs="Arial"/>
          <w:lang w:val="es-CO"/>
        </w:rPr>
        <w:t xml:space="preserve"> Entidad encargada de expedirlo: la Agencia Presidencial de Cooperación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Internacional de Colombia APC-Colombia tiene la responsabilidad de emitir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los Certificados de Utilidad Común siguiendo el procedimiento descrito en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el artículo 1.3.1.9.6 del Decreto 1625 de 2016.</w:t>
      </w:r>
    </w:p>
    <w:p w:rsidRPr="00D54A1B" w:rsidR="00D54A1B" w:rsidP="00D54A1B" w:rsidRDefault="00D54A1B" w14:paraId="21BA79BF" w14:textId="1B3C3023">
      <w:pPr>
        <w:jc w:val="both"/>
        <w:rPr>
          <w:rFonts w:ascii="Verdana" w:hAnsi="Verdana" w:cs="Arial"/>
          <w:lang w:val="es-CO"/>
        </w:rPr>
      </w:pPr>
      <w:r w:rsidRPr="00D54A1B">
        <w:rPr>
          <w:rFonts w:hint="eastAsia" w:ascii="Verdana" w:hAnsi="Verdana" w:cs="Arial"/>
          <w:lang w:val="es-CO"/>
        </w:rPr>
        <w:t></w:t>
      </w:r>
      <w:r w:rsidRPr="00D54A1B">
        <w:rPr>
          <w:rFonts w:ascii="Verdana" w:hAnsi="Verdana" w:cs="Arial"/>
          <w:lang w:val="es-CO"/>
        </w:rPr>
        <w:t xml:space="preserve"> Procedimiento para la presentación de la solicitud y expedición del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certificado de utilidad común: El artículo 1.3.1.9.6 del Decreto 1625 de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2016, adicionado por el artículo 3 del Decreto 1651 de 2021 establece el</w:t>
      </w:r>
      <w:r>
        <w:rPr>
          <w:rFonts w:ascii="Verdana" w:hAnsi="Verdana" w:cs="Arial"/>
          <w:lang w:val="es-CO"/>
        </w:rPr>
        <w:t xml:space="preserve"> </w:t>
      </w:r>
      <w:r w:rsidRPr="00D54A1B">
        <w:rPr>
          <w:rFonts w:ascii="Verdana" w:hAnsi="Verdana" w:cs="Arial"/>
          <w:lang w:val="es-CO"/>
        </w:rPr>
        <w:t>siguiente procedimiento:</w:t>
      </w:r>
    </w:p>
    <w:p w:rsidRPr="00D54A1B" w:rsidR="00D54A1B" w:rsidP="00D54A1B" w:rsidRDefault="00D54A1B" w14:paraId="509A3914" w14:textId="434D5904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t>1. Una vez registrado el proyecto de cooperación internacional, el donante ejecutor o la entidad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ejecutora podrá presentar la solicitud para la expedición del certificado de utilidad común a través del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 xml:space="preserve">sistema de información de la Agencia Presidencial de Cooperación Internacional de Colombia, </w:t>
      </w:r>
      <w:proofErr w:type="spellStart"/>
      <w:r w:rsidRPr="00D54A1B">
        <w:rPr>
          <w:rFonts w:ascii="Verdana" w:hAnsi="Verdana" w:cs="Arial"/>
          <w:i/>
          <w:iCs/>
          <w:lang w:val="es-CO"/>
        </w:rPr>
        <w:t>APCColombia</w:t>
      </w:r>
      <w:proofErr w:type="spellEnd"/>
      <w:r w:rsidRPr="00D54A1B">
        <w:rPr>
          <w:rFonts w:ascii="Verdana" w:hAnsi="Verdana" w:cs="Arial"/>
          <w:i/>
          <w:iCs/>
          <w:lang w:val="es-CO"/>
        </w:rPr>
        <w:t>,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la cual deberá incluir los datos de la entidad pública beneficiaria o cabeza del sector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nacional o territorial con la cual se socializó o formuló el proyecto, y los demás que disponga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respectiva aplicación.</w:t>
      </w:r>
    </w:p>
    <w:p w:rsidRPr="00D54A1B" w:rsidR="00D54A1B" w:rsidP="00D54A1B" w:rsidRDefault="00D54A1B" w14:paraId="775C8628" w14:textId="48AD6936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t>2. Una vez recibida la solicitud de que trata el numeral anterior, la Agencia Presidencial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Cooperación Internacional de Colombia, APC-Colombia deberá:</w:t>
      </w:r>
    </w:p>
    <w:p w:rsidRPr="00D54A1B" w:rsidR="00D54A1B" w:rsidP="00D54A1B" w:rsidRDefault="00D54A1B" w14:paraId="1AD7D6C0" w14:textId="53AA2A98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t>2.1. Verificar en el Registro Social y Empresarial-RUES, la información de los sujetos obligados a estar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inscritos en Cámara de Comercio. En caso de no estar obligado a la inscripción se verificará 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cumplimiento del requisito del numeral 1.2 del artículo 1.3.1.9.5 del presente Decreto.</w:t>
      </w:r>
    </w:p>
    <w:p w:rsidRPr="00D54A1B" w:rsidR="00D54A1B" w:rsidP="00D54A1B" w:rsidRDefault="00D54A1B" w14:paraId="2C20BDB4" w14:textId="3D752B36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lastRenderedPageBreak/>
        <w:t>2.2. Solicitar concepto favorable a la Dirección de Cooperación Internacional del Ministerio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Relaciones Exteriores, sobre lo convenido entre el Gobierno colombiano y la entidad o gobierno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extranjero, por medio de tratados u otros instrumentos que formalicen la cooperación internacional.</w:t>
      </w:r>
    </w:p>
    <w:p w:rsidRPr="00D54A1B" w:rsidR="00D54A1B" w:rsidP="00D54A1B" w:rsidRDefault="00D54A1B" w14:paraId="6A6405CD" w14:textId="76171DE7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t>2.3. Solicitar concepto técnico favorable de la entidad pública del orden nacional, territorial o entidad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cabeza de sector, beneficiaria de los fondos provenientes de auxilios o donaciones, en la que se valide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el cumplimiento de la definición del programa de utilidad común establecido en el numeral 4 del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artículo 1.3.1.9.3 del presente Decreto.</w:t>
      </w:r>
    </w:p>
    <w:p w:rsidRPr="00D54A1B" w:rsidR="00D54A1B" w:rsidP="00D54A1B" w:rsidRDefault="00D54A1B" w14:paraId="46B7F862" w14:textId="6DC1E70C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t xml:space="preserve">2.4. Verificar que la solicitud presentada por el </w:t>
      </w:r>
      <w:proofErr w:type="gramStart"/>
      <w:r w:rsidRPr="00D54A1B">
        <w:rPr>
          <w:rFonts w:ascii="Verdana" w:hAnsi="Verdana" w:cs="Arial"/>
          <w:i/>
          <w:iCs/>
          <w:lang w:val="es-CO"/>
        </w:rPr>
        <w:t>donante ejecutor o la entidad ejecutora</w:t>
      </w:r>
      <w:proofErr w:type="gramEnd"/>
      <w:r w:rsidRPr="00D54A1B">
        <w:rPr>
          <w:rFonts w:ascii="Verdana" w:hAnsi="Verdana" w:cs="Arial"/>
          <w:i/>
          <w:iCs/>
          <w:lang w:val="es-CO"/>
        </w:rPr>
        <w:t xml:space="preserve"> cumpla con los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requisitos establecidos en el artículo 96 de la Ley 788 de 2002, modificado por el artículo 138 de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Ley 2010 de 2019 y desarrollados en los artículos 1.3.1.9.2 al 1.3.1.9.6 del presente Decreto.</w:t>
      </w:r>
    </w:p>
    <w:p w:rsidRPr="00D54A1B" w:rsidR="00D54A1B" w:rsidP="00D54A1B" w:rsidRDefault="00D54A1B" w14:paraId="29CDDA92" w14:textId="6584915F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t>3. Una vez recibidos los conceptos favorables mencionados en los numerales 2.2 y 2.3. del presente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artículo y verificado el cumplimiento de los requisitos mencionados en el numeral 2 de este artículo,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Agencia Presidencial de Cooperación Internacional de Colombia, APC-Colombia expedirá y comunicará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 xml:space="preserve">el certificado de utilidad común solicitado por el </w:t>
      </w:r>
      <w:proofErr w:type="gramStart"/>
      <w:r w:rsidRPr="00D54A1B">
        <w:rPr>
          <w:rFonts w:ascii="Verdana" w:hAnsi="Verdana" w:cs="Arial"/>
          <w:i/>
          <w:iCs/>
          <w:lang w:val="es-CO"/>
        </w:rPr>
        <w:t>donante ejecutor o la entidad ejecutora</w:t>
      </w:r>
      <w:proofErr w:type="gramEnd"/>
      <w:r w:rsidRPr="00D54A1B">
        <w:rPr>
          <w:rFonts w:ascii="Verdana" w:hAnsi="Verdana" w:cs="Arial"/>
          <w:i/>
          <w:iCs/>
          <w:lang w:val="es-CO"/>
        </w:rPr>
        <w:t>.</w:t>
      </w:r>
    </w:p>
    <w:p w:rsidRPr="00D54A1B" w:rsidR="00D54A1B" w:rsidP="00D54A1B" w:rsidRDefault="00D54A1B" w14:paraId="76FDEAA2" w14:textId="6F624FCD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b/>
          <w:bCs/>
          <w:i/>
          <w:iCs/>
          <w:lang w:val="es-CO"/>
        </w:rPr>
        <w:t xml:space="preserve">Parágrafo 1. </w:t>
      </w:r>
      <w:r w:rsidRPr="00D54A1B">
        <w:rPr>
          <w:rFonts w:ascii="Verdana" w:hAnsi="Verdana" w:cs="Arial"/>
          <w:i/>
          <w:iCs/>
          <w:lang w:val="es-CO"/>
        </w:rPr>
        <w:t xml:space="preserve">La solicitud del certificado de utilidad común radicada por el </w:t>
      </w:r>
      <w:proofErr w:type="gramStart"/>
      <w:r w:rsidRPr="00D54A1B">
        <w:rPr>
          <w:rFonts w:ascii="Verdana" w:hAnsi="Verdana" w:cs="Arial"/>
          <w:i/>
          <w:iCs/>
          <w:lang w:val="es-CO"/>
        </w:rPr>
        <w:t>donante ejecutor o la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entidad ejecutora</w:t>
      </w:r>
      <w:proofErr w:type="gramEnd"/>
      <w:r w:rsidRPr="00D54A1B">
        <w:rPr>
          <w:rFonts w:ascii="Verdana" w:hAnsi="Verdana" w:cs="Arial"/>
          <w:i/>
          <w:iCs/>
          <w:lang w:val="es-CO"/>
        </w:rPr>
        <w:t xml:space="preserve"> ante la Agencia Presidencial de Cooperación Internacional de Colombia, </w:t>
      </w:r>
      <w:proofErr w:type="spellStart"/>
      <w:r w:rsidRPr="00D54A1B">
        <w:rPr>
          <w:rFonts w:ascii="Verdana" w:hAnsi="Verdana" w:cs="Arial"/>
          <w:i/>
          <w:iCs/>
          <w:lang w:val="es-CO"/>
        </w:rPr>
        <w:t>APCColombia</w:t>
      </w:r>
      <w:proofErr w:type="spellEnd"/>
      <w:r w:rsidRPr="00D54A1B">
        <w:rPr>
          <w:rFonts w:ascii="Verdana" w:hAnsi="Verdana" w:cs="Arial"/>
          <w:i/>
          <w:iCs/>
          <w:lang w:val="es-CO"/>
        </w:rPr>
        <w:t>,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será tramitada dentro de los treinta (30) días hábiles siguientes a la fecha de la solicitud. El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 xml:space="preserve">presente término se contará a partir de las respuestas a los conceptos técnicos establecidos en </w:t>
      </w:r>
      <w:proofErr w:type="spellStart"/>
      <w:r w:rsidRPr="00D54A1B">
        <w:rPr>
          <w:rFonts w:ascii="Verdana" w:hAnsi="Verdana" w:cs="Arial"/>
          <w:i/>
          <w:iCs/>
          <w:lang w:val="es-CO"/>
        </w:rPr>
        <w:t>losnumerales</w:t>
      </w:r>
      <w:proofErr w:type="spellEnd"/>
      <w:r w:rsidRPr="00D54A1B">
        <w:rPr>
          <w:rFonts w:ascii="Verdana" w:hAnsi="Verdana" w:cs="Arial"/>
          <w:i/>
          <w:iCs/>
          <w:lang w:val="es-CO"/>
        </w:rPr>
        <w:t xml:space="preserve"> 2.2 y 2.3 del presente artículo.</w:t>
      </w:r>
    </w:p>
    <w:p w:rsidRPr="00D54A1B" w:rsidR="00D54A1B" w:rsidP="00D54A1B" w:rsidRDefault="00D54A1B" w14:paraId="5BAC6DD3" w14:textId="5A2669C3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i/>
          <w:iCs/>
          <w:lang w:val="es-CO"/>
        </w:rPr>
        <w:t>Las solicitudes que la Agencia Presidencial de Cooperación Internacional de Colombia, APC-Colombia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efectúe de conformidad con lo establecido en los numerales 2.2 y 2.3 del presente artículo, se deberán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resolver dentro del término indicado en el artículo 30 de la Ley 1437 de 2011, mediante oficio dirigido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a la Dirección General de la Agencia Presidencial de Cooperación Internacional, APC Colombia.</w:t>
      </w:r>
    </w:p>
    <w:p w:rsidR="00D54A1B" w:rsidP="00D54A1B" w:rsidRDefault="00D54A1B" w14:paraId="72B9F690" w14:textId="07C70996">
      <w:pPr>
        <w:jc w:val="both"/>
        <w:rPr>
          <w:rFonts w:ascii="Verdana" w:hAnsi="Verdana" w:cs="Arial"/>
          <w:i/>
          <w:iCs/>
          <w:lang w:val="es-CO"/>
        </w:rPr>
      </w:pPr>
      <w:r w:rsidRPr="00D54A1B">
        <w:rPr>
          <w:rFonts w:ascii="Verdana" w:hAnsi="Verdana" w:cs="Arial"/>
          <w:b/>
          <w:bCs/>
          <w:i/>
          <w:iCs/>
          <w:lang w:val="es-CO"/>
        </w:rPr>
        <w:t xml:space="preserve">Parágrafo 2. </w:t>
      </w:r>
      <w:r w:rsidRPr="00D54A1B">
        <w:rPr>
          <w:rFonts w:ascii="Verdana" w:hAnsi="Verdana" w:cs="Arial"/>
          <w:i/>
          <w:iCs/>
          <w:lang w:val="es-CO"/>
        </w:rPr>
        <w:t>Los recursos pendientes de ejecución sobre los fondos provenientes de auxilios o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donaciones de entidades o gobiernos extranjeros convenidos con el Gobierno colombiano, después de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la entrada en vigencia de la Ley 2010 de 2019 y hasta la expedición de la presente reglamentación,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podrán estar sujetos a la exención de impuestos, tasas y contribuciones de que trata el artículo 96 de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 xml:space="preserve">la Ley 788 de 2002, modificado por el artículo 138 de la Ley 2010 de 2019, siempre que se acredite </w:t>
      </w:r>
      <w:r w:rsidRPr="00D54A1B">
        <w:rPr>
          <w:rFonts w:ascii="Verdana" w:hAnsi="Verdana" w:cs="Arial"/>
          <w:i/>
          <w:iCs/>
          <w:lang w:val="es-CO"/>
        </w:rPr>
        <w:lastRenderedPageBreak/>
        <w:t>el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cumplimiento de los requisitos y condiciones establecidos en los artículos 1.3.1.9.1 al 1.3.1.9.12 del</w:t>
      </w:r>
      <w:r w:rsidR="00F62DA1">
        <w:rPr>
          <w:rFonts w:ascii="Verdana" w:hAnsi="Verdana" w:cs="Arial"/>
          <w:i/>
          <w:iCs/>
          <w:lang w:val="es-CO"/>
        </w:rPr>
        <w:t xml:space="preserve"> </w:t>
      </w:r>
      <w:r w:rsidRPr="00D54A1B">
        <w:rPr>
          <w:rFonts w:ascii="Verdana" w:hAnsi="Verdana" w:cs="Arial"/>
          <w:i/>
          <w:iCs/>
          <w:lang w:val="es-CO"/>
        </w:rPr>
        <w:t>presente Decreto.</w:t>
      </w:r>
    </w:p>
    <w:p w:rsidRPr="00F62DA1" w:rsidR="00F62DA1" w:rsidP="00F62DA1" w:rsidRDefault="00F62DA1" w14:paraId="465EA5DD" w14:textId="65AEFDD3">
      <w:pPr>
        <w:jc w:val="both"/>
        <w:rPr>
          <w:rFonts w:ascii="Verdana" w:hAnsi="Verdana" w:cs="Arial"/>
          <w:i/>
          <w:iCs/>
          <w:lang w:val="es-CO"/>
        </w:rPr>
      </w:pPr>
      <w:r w:rsidRPr="00F62DA1">
        <w:rPr>
          <w:rFonts w:ascii="Verdana" w:hAnsi="Verdana" w:cs="Arial"/>
          <w:b/>
          <w:bCs/>
          <w:i/>
          <w:iCs/>
          <w:lang w:val="es-CO"/>
        </w:rPr>
        <w:t xml:space="preserve">Parágrafo 3. </w:t>
      </w:r>
      <w:r w:rsidRPr="00F62DA1">
        <w:rPr>
          <w:rFonts w:ascii="Verdana" w:hAnsi="Verdana" w:cs="Arial"/>
          <w:i/>
          <w:iCs/>
          <w:lang w:val="es-CO"/>
        </w:rPr>
        <w:t>La Agencia Presidencial de Cooperación Internacional de Colombia, APC-Colombia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F62DA1">
        <w:rPr>
          <w:rFonts w:ascii="Verdana" w:hAnsi="Verdana" w:cs="Arial"/>
          <w:i/>
          <w:iCs/>
          <w:lang w:val="es-CO"/>
        </w:rPr>
        <w:t>remitirá a la Unidad Administrativa Especial Dirección de Impuestos y Aduanas Nacionales -DIAN la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F62DA1">
        <w:rPr>
          <w:rFonts w:ascii="Verdana" w:hAnsi="Verdana" w:cs="Arial"/>
          <w:i/>
          <w:iCs/>
          <w:lang w:val="es-CO"/>
        </w:rPr>
        <w:t>información sobre los certificados de utilidad común en los términos, condiciones y plazos que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F62DA1">
        <w:rPr>
          <w:rFonts w:ascii="Verdana" w:hAnsi="Verdana" w:cs="Arial"/>
          <w:i/>
          <w:iCs/>
          <w:lang w:val="es-CO"/>
        </w:rPr>
        <w:t>establezca esta última entidad. Lo anterior para el ejercicio de las facultades de fiscalización 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F62DA1">
        <w:rPr>
          <w:rFonts w:ascii="Verdana" w:hAnsi="Verdana" w:cs="Arial"/>
          <w:i/>
          <w:iCs/>
          <w:lang w:val="es-CO"/>
        </w:rPr>
        <w:t>investigación previstas en el artículo 684 del Estatuto Tributario.</w:t>
      </w:r>
    </w:p>
    <w:p w:rsidRPr="00F62DA1" w:rsidR="00F62DA1" w:rsidP="00F62DA1" w:rsidRDefault="00F62DA1" w14:paraId="098438FD" w14:textId="5E75CE3F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De lo anterior se deduce que para la expedición del CUC es necesario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cumplir con tres requisitos:</w:t>
      </w:r>
    </w:p>
    <w:p w:rsidR="00F62DA1" w:rsidP="00F62DA1" w:rsidRDefault="00F62DA1" w14:paraId="44548A96" w14:textId="77777777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a. El proyecto o programa debe estar registrado en APC- Colombia y debe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contar con una Constancia de Registro expedida por la Agencia</w:t>
      </w:r>
      <w:r>
        <w:rPr>
          <w:rFonts w:ascii="Verdana" w:hAnsi="Verdana" w:cs="Arial"/>
          <w:lang w:val="es-CO"/>
        </w:rPr>
        <w:t xml:space="preserve"> </w:t>
      </w:r>
    </w:p>
    <w:p w:rsidRPr="00F62DA1" w:rsidR="00F62DA1" w:rsidP="00F62DA1" w:rsidRDefault="00F62DA1" w14:paraId="69F318E4" w14:textId="395F06EF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b. El proyecto o programa debe contar con un Concepto Favorable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emitido por el Ministerio de Relaciones Exteriores.</w:t>
      </w:r>
    </w:p>
    <w:p w:rsidRPr="00F62DA1" w:rsidR="00F62DA1" w:rsidP="00F62DA1" w:rsidRDefault="00F62DA1" w14:paraId="31BE02FF" w14:textId="39423D30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c. El proyecto o programa debe contar con concepto favorable emitido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por la entidad nacional o territorial que se relacione de manera directa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con la temática del proyecto.</w:t>
      </w:r>
    </w:p>
    <w:p w:rsidRPr="00F62DA1" w:rsidR="00F62DA1" w:rsidP="00F62DA1" w:rsidRDefault="00F62DA1" w14:paraId="39C9C3D2" w14:textId="6D7AFD0A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Esto último, de conformidad con lo establecido en el documento Guía de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Procedimiento Certificado de Utilidad Común - CUC Decreto 1651 de 2021 de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la Agencia Presidencial de Cooperación Internacional de Colombia APCColombia21.</w:t>
      </w:r>
    </w:p>
    <w:p w:rsidRPr="00F62DA1" w:rsidR="00F62DA1" w:rsidP="00F62DA1" w:rsidRDefault="00F62DA1" w14:paraId="1BCFC1E7" w14:textId="387CC670">
      <w:pPr>
        <w:jc w:val="both"/>
        <w:rPr>
          <w:rFonts w:ascii="Verdana" w:hAnsi="Verdana" w:cs="Arial"/>
          <w:lang w:val="es-CO"/>
        </w:rPr>
      </w:pPr>
      <w:proofErr w:type="spellStart"/>
      <w:r w:rsidRPr="00F62DA1">
        <w:rPr>
          <w:rFonts w:ascii="Verdana" w:hAnsi="Verdana" w:cs="Arial"/>
          <w:lang w:val="es-CO"/>
        </w:rPr>
        <w:t>iv</w:t>
      </w:r>
      <w:proofErr w:type="spellEnd"/>
      <w:r w:rsidRPr="00F62DA1">
        <w:rPr>
          <w:rFonts w:ascii="Verdana" w:hAnsi="Verdana" w:cs="Arial"/>
          <w:lang w:val="es-CO"/>
        </w:rPr>
        <w:t xml:space="preserve">) </w:t>
      </w:r>
      <w:r w:rsidRPr="00F62DA1">
        <w:rPr>
          <w:rFonts w:ascii="Verdana" w:hAnsi="Verdana" w:cs="Arial"/>
          <w:b/>
          <w:bCs/>
          <w:lang w:val="es-CO"/>
        </w:rPr>
        <w:t xml:space="preserve">Concepto técnico favorable de utilidad común: </w:t>
      </w:r>
      <w:r w:rsidRPr="00F62DA1">
        <w:rPr>
          <w:rFonts w:ascii="Verdana" w:hAnsi="Verdana" w:cs="Arial"/>
          <w:lang w:val="es-CO"/>
        </w:rPr>
        <w:t>Tal como fue señalado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en el punto anterior, para la expedición del certificado único común -CUC- por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parte de la APC, se requiere entre otros el concepto favorable emitido por la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entidad nacional, territorial o cabeza del sector, beneficiaria de los fondos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provenientes de los auxilios y donaciones, aspecto regulado en el numeral 2.3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del artículo 1.3.1.9.6 del Decreto 1625 de 2016, adicionado por el artículo 3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del Decreto 1651 de 2021, que versa:</w:t>
      </w:r>
    </w:p>
    <w:p w:rsidRPr="00F62DA1" w:rsidR="00F62DA1" w:rsidP="00F62DA1" w:rsidRDefault="00F62DA1" w14:paraId="23C1ABC0" w14:textId="536CB7B7">
      <w:pPr>
        <w:ind w:left="708"/>
        <w:jc w:val="both"/>
        <w:rPr>
          <w:rFonts w:ascii="Verdana" w:hAnsi="Verdana" w:cs="Arial"/>
          <w:i/>
          <w:iCs/>
          <w:sz w:val="20"/>
          <w:szCs w:val="20"/>
          <w:lang w:val="es-CO"/>
        </w:rPr>
      </w:pPr>
      <w:r w:rsidRPr="00F62DA1">
        <w:rPr>
          <w:rFonts w:ascii="Verdana" w:hAnsi="Verdana" w:cs="Arial"/>
          <w:i/>
          <w:iCs/>
          <w:sz w:val="20"/>
          <w:szCs w:val="20"/>
          <w:lang w:val="es-CO"/>
        </w:rPr>
        <w:t>2.3. Solicitar concepto técnico favorable de la entidad pública del orden nacional, territorial o</w:t>
      </w:r>
      <w:r w:rsidRPr="00F62DA1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F62DA1">
        <w:rPr>
          <w:rFonts w:ascii="Verdana" w:hAnsi="Verdana" w:cs="Arial"/>
          <w:i/>
          <w:iCs/>
          <w:sz w:val="20"/>
          <w:szCs w:val="20"/>
          <w:lang w:val="es-CO"/>
        </w:rPr>
        <w:t>entidad cabeza de sector, beneficiaria de los fondos provenientes de auxilios o donaciones, en la</w:t>
      </w:r>
      <w:r w:rsidRPr="00F62DA1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F62DA1">
        <w:rPr>
          <w:rFonts w:ascii="Verdana" w:hAnsi="Verdana" w:cs="Arial"/>
          <w:i/>
          <w:iCs/>
          <w:sz w:val="20"/>
          <w:szCs w:val="20"/>
          <w:lang w:val="es-CO"/>
        </w:rPr>
        <w:t>que se valide el cumplimiento de la definición del programa de utilidad común establecido en el</w:t>
      </w:r>
      <w:r w:rsidRPr="00F62DA1">
        <w:rPr>
          <w:rFonts w:ascii="Verdana" w:hAnsi="Verdana" w:cs="Arial"/>
          <w:i/>
          <w:iCs/>
          <w:sz w:val="20"/>
          <w:szCs w:val="20"/>
          <w:lang w:val="es-CO"/>
        </w:rPr>
        <w:t xml:space="preserve"> </w:t>
      </w:r>
      <w:r w:rsidRPr="00F62DA1">
        <w:rPr>
          <w:rFonts w:ascii="Verdana" w:hAnsi="Verdana" w:cs="Arial"/>
          <w:i/>
          <w:iCs/>
          <w:sz w:val="20"/>
          <w:szCs w:val="20"/>
          <w:lang w:val="es-CO"/>
        </w:rPr>
        <w:t>numeral 4 del artículo 1.3.1.9.3 del presente Decreto.</w:t>
      </w:r>
    </w:p>
    <w:p w:rsidR="00F62DA1" w:rsidP="00F62DA1" w:rsidRDefault="00F62DA1" w14:paraId="73E5C203" w14:textId="01388B77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Sumario y para analizar lo que la expresión “beneficiaria” implica, es preciso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 xml:space="preserve">señalar que en la Guía de Procedimiento Certificado de Utilidad Común </w:t>
      </w:r>
      <w:r>
        <w:rPr>
          <w:rFonts w:ascii="Verdana" w:hAnsi="Verdana" w:cs="Arial"/>
          <w:lang w:val="es-CO"/>
        </w:rPr>
        <w:t>–</w:t>
      </w:r>
      <w:r w:rsidRPr="00F62DA1">
        <w:rPr>
          <w:rFonts w:ascii="Verdana" w:hAnsi="Verdana" w:cs="Arial"/>
          <w:lang w:val="es-CO"/>
        </w:rPr>
        <w:t xml:space="preserve"> CUC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 xml:space="preserve">de la APC, se </w:t>
      </w:r>
      <w:r w:rsidRPr="00F62DA1">
        <w:rPr>
          <w:rFonts w:ascii="Verdana" w:hAnsi="Verdana" w:cs="Arial"/>
          <w:lang w:val="es-CO"/>
        </w:rPr>
        <w:lastRenderedPageBreak/>
        <w:t>señala también que la entidad pública llamada a emitir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concepto favorable de utilidad común debe además relacionarse de manera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directa con la temática del proyecto.</w:t>
      </w:r>
    </w:p>
    <w:p w:rsidRPr="00F62DA1" w:rsidR="00F62DA1" w:rsidP="00F62DA1" w:rsidRDefault="00F62DA1" w14:paraId="23FBB2D5" w14:textId="730E2DE5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Es necesario observar que la norma no define como beneficiaria únicamente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a aquella que ejecute y administre directamente los recursos.</w:t>
      </w:r>
    </w:p>
    <w:p w:rsidRPr="00F62DA1" w:rsidR="00F62DA1" w:rsidP="00F62DA1" w:rsidRDefault="00F62DA1" w14:paraId="6143CBA8" w14:textId="5E3A0D04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En consideración, es posible interpretar que la entidad del orden nacional,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territorial o cabeza de sector puede ser receptora directa de los recursos,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pero también puede ser una entidad que, aunque no gestione directamente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los fondos, se beneficia de su implementación en el cumplimiento de sus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objetivos o programas.</w:t>
      </w:r>
    </w:p>
    <w:p w:rsidRPr="00F62DA1" w:rsidR="00F62DA1" w:rsidP="00F62DA1" w:rsidRDefault="00F62DA1" w14:paraId="436D848A" w14:textId="092F743C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 xml:space="preserve">En todo caso, y atendiendo el principio de legalidad22, </w:t>
      </w:r>
      <w:r w:rsidRPr="00F62DA1">
        <w:rPr>
          <w:rFonts w:ascii="Verdana" w:hAnsi="Verdana" w:cs="Arial"/>
          <w:i/>
          <w:iCs/>
          <w:lang w:val="es-CO"/>
        </w:rPr>
        <w:t>por el cual todo órgano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F62DA1">
        <w:rPr>
          <w:rFonts w:ascii="Verdana" w:hAnsi="Verdana" w:cs="Arial"/>
          <w:i/>
          <w:iCs/>
          <w:lang w:val="es-CO"/>
        </w:rPr>
        <w:t>de la administración, sin importar cuál sea su posición dentro de la estructura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F62DA1">
        <w:rPr>
          <w:rFonts w:ascii="Verdana" w:hAnsi="Verdana" w:cs="Arial"/>
          <w:i/>
          <w:iCs/>
          <w:lang w:val="es-CO"/>
        </w:rPr>
        <w:t>del Estado, debe someter su actuación a las normas y principios del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F62DA1">
        <w:rPr>
          <w:rFonts w:ascii="Verdana" w:hAnsi="Verdana" w:cs="Arial"/>
          <w:i/>
          <w:iCs/>
          <w:lang w:val="es-CO"/>
        </w:rPr>
        <w:t>ordenamiento jurídico23</w:t>
      </w:r>
      <w:r w:rsidRPr="00F62DA1">
        <w:rPr>
          <w:rFonts w:ascii="Verdana" w:hAnsi="Verdana" w:cs="Arial"/>
          <w:lang w:val="es-CO"/>
        </w:rPr>
        <w:t>, es necesario que todas las acciones y decisiones de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una entidad estén alineadas con su misión y objetivos establecidos por la ley.</w:t>
      </w:r>
    </w:p>
    <w:p w:rsidRPr="00F62DA1" w:rsidR="00F62DA1" w:rsidP="00F62DA1" w:rsidRDefault="00F62DA1" w14:paraId="0D0AEDEB" w14:textId="37D40E65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En este sentido, la entidad beneficiaria, encargada de emitir el concepto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técnico favorable de utilidad común a solicitud de la Agencia Presidencial de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Cooperación Internacional de Colombia (APC-Colombia), deberá verificar si los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objetivos y actividades del programa o proyecto se encuentran enmarcados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en el desarrollo de su misionalidad institucional. Asimismo, deberá constatar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si dicho programa cumple con la definición de utilidad común establecida en</w:t>
      </w:r>
      <w:r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el Decreto 1651 de 2021.</w:t>
      </w:r>
    </w:p>
    <w:p w:rsidR="00F62DA1" w:rsidP="00F62DA1" w:rsidRDefault="00F62DA1" w14:paraId="393C010F" w14:textId="458BDE3D">
      <w:pPr>
        <w:jc w:val="both"/>
        <w:rPr>
          <w:rFonts w:ascii="Verdana" w:hAnsi="Verdana" w:cs="Arial"/>
          <w:lang w:val="es-CO"/>
        </w:rPr>
      </w:pPr>
      <w:r w:rsidRPr="00F62DA1">
        <w:rPr>
          <w:rFonts w:ascii="Verdana" w:hAnsi="Verdana" w:cs="Arial"/>
          <w:lang w:val="es-CO"/>
        </w:rPr>
        <w:t>En ese sentido, la emisión de conceptos técnicos para validar programas de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utilidad común será de competencia del Instituto Colombiano de Bienestar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Familiar a solicitud de la Agencia Presidencial de Cooperación Internacional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de Colombia (APC-Colombia) cuando los programas y proyectos estén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directamente relacionados con su población objetivo y su misionalidad,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cuando sea la entidad receptora directa de los recursos pero también en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aquellos casos en que aunque no gestione directamente los fondos, se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beneficie de la implementación en el cumplimiento de sus objetivos o</w:t>
      </w:r>
      <w:r w:rsidR="002F4B89">
        <w:rPr>
          <w:rFonts w:ascii="Verdana" w:hAnsi="Verdana" w:cs="Arial"/>
          <w:lang w:val="es-CO"/>
        </w:rPr>
        <w:t xml:space="preserve"> </w:t>
      </w:r>
      <w:r w:rsidRPr="00F62DA1">
        <w:rPr>
          <w:rFonts w:ascii="Verdana" w:hAnsi="Verdana" w:cs="Arial"/>
          <w:lang w:val="es-CO"/>
        </w:rPr>
        <w:t>programas.</w:t>
      </w:r>
    </w:p>
    <w:p w:rsidR="002F4B89" w:rsidP="002F4B89" w:rsidRDefault="002F4B89" w14:paraId="329866A7" w14:textId="78BF3D34">
      <w:pPr>
        <w:pStyle w:val="Prrafodelista"/>
        <w:numPr>
          <w:ilvl w:val="0"/>
          <w:numId w:val="18"/>
        </w:numPr>
        <w:jc w:val="both"/>
        <w:rPr>
          <w:rFonts w:ascii="Verdana" w:hAnsi="Verdana" w:cs="Arial"/>
          <w:b/>
          <w:bCs/>
          <w:lang w:val="es-CO"/>
        </w:rPr>
      </w:pPr>
      <w:r w:rsidRPr="002F4B89">
        <w:rPr>
          <w:rFonts w:ascii="Verdana" w:hAnsi="Verdana" w:cs="Arial"/>
          <w:b/>
          <w:bCs/>
          <w:lang w:val="es-CO"/>
        </w:rPr>
        <w:t>Relación del ICBF con el programa consultado</w:t>
      </w:r>
    </w:p>
    <w:p w:rsidRPr="002F4B89" w:rsidR="002F4B89" w:rsidP="002F4B89" w:rsidRDefault="002F4B89" w14:paraId="3244D9BA" w14:textId="516B1048">
      <w:pPr>
        <w:jc w:val="both"/>
        <w:rPr>
          <w:rFonts w:ascii="Verdana" w:hAnsi="Verdana" w:cs="Arial"/>
          <w:lang w:val="es-CO"/>
        </w:rPr>
      </w:pPr>
      <w:r w:rsidRPr="002F4B89">
        <w:rPr>
          <w:rFonts w:ascii="Verdana" w:hAnsi="Verdana" w:cs="Arial"/>
          <w:lang w:val="es-CO"/>
        </w:rPr>
        <w:t>Como se enunció al principio, la Agencia Presidencial de Cooperación Internacional</w:t>
      </w:r>
      <w:r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de Colombia -APC Colombia- solicitó al Instituto Colombiano de Bienestar Familiar –</w:t>
      </w:r>
      <w:r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ICBF- la emisión de un concepto técnico con el fin de validar si el proyecto</w:t>
      </w:r>
      <w:r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denominado “Programa Conjunto de Protección de la Niñez - PFA – COL – 42061 –</w:t>
      </w:r>
      <w:r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228589-00", que corresponde al caso CUC-1567 de la APC, cumple con los criterios</w:t>
      </w:r>
      <w:r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de utilidad común establecidos en el numeral 4 del artículo 1.3.1.9.3 del Decreto</w:t>
      </w:r>
      <w:r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 xml:space="preserve">1625 </w:t>
      </w:r>
      <w:r w:rsidRPr="002F4B89">
        <w:rPr>
          <w:rFonts w:ascii="Verdana" w:hAnsi="Verdana" w:cs="Arial"/>
          <w:lang w:val="es-CO"/>
        </w:rPr>
        <w:lastRenderedPageBreak/>
        <w:t>de 201624. Dicha solicitud se fundamenta en lo dispuesto en el numeral 2.3 del</w:t>
      </w:r>
      <w:r w:rsidR="00F122C8"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artículo 1.3.1.9.625 de la norma ibidem.</w:t>
      </w:r>
    </w:p>
    <w:p w:rsidRPr="002F4B89" w:rsidR="002F4B89" w:rsidP="002F4B89" w:rsidRDefault="002F4B89" w14:paraId="010673CD" w14:textId="33012A5A">
      <w:pPr>
        <w:jc w:val="both"/>
        <w:rPr>
          <w:rFonts w:ascii="Verdana" w:hAnsi="Verdana" w:cs="Arial"/>
          <w:lang w:val="es-CO"/>
        </w:rPr>
      </w:pPr>
      <w:r w:rsidRPr="002F4B89">
        <w:rPr>
          <w:rFonts w:ascii="Verdana" w:hAnsi="Verdana" w:cs="Arial"/>
          <w:lang w:val="es-CO"/>
        </w:rPr>
        <w:t>Con el propósito de identificar la competencia del Instituto para emitir el concepto</w:t>
      </w:r>
      <w:r w:rsidR="00F122C8"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técnico favorable de utilidad común, es necesario analizar si el objetivo y las</w:t>
      </w:r>
      <w:r w:rsidR="00DF615E"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actividades del programa están alineados con la misionalidad de la entidad:</w:t>
      </w:r>
    </w:p>
    <w:p w:rsidRPr="002F4B89" w:rsidR="002F4B89" w:rsidP="002F4B89" w:rsidRDefault="002F4B89" w14:paraId="5D510967" w14:textId="748327A3">
      <w:pPr>
        <w:jc w:val="both"/>
        <w:rPr>
          <w:rFonts w:ascii="Verdana" w:hAnsi="Verdana" w:cs="Arial"/>
          <w:lang w:val="es-CO"/>
        </w:rPr>
      </w:pPr>
      <w:r w:rsidRPr="002F4B89">
        <w:rPr>
          <w:rFonts w:ascii="Verdana" w:hAnsi="Verdana" w:cs="Arial"/>
          <w:lang w:val="es-CO"/>
        </w:rPr>
        <w:t xml:space="preserve">Revisado el plan de trabajo del proyecto se identifica el </w:t>
      </w:r>
      <w:r w:rsidRPr="002F4B89">
        <w:rPr>
          <w:rFonts w:ascii="Verdana" w:hAnsi="Verdana" w:cs="Arial"/>
          <w:i/>
          <w:iCs/>
          <w:lang w:val="es-CO"/>
        </w:rPr>
        <w:t>Programa Conjunto de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Protección de la Niñez PFA-COL-42061-228589-00 SOF 99401012</w:t>
      </w:r>
      <w:r w:rsidRPr="002F4B89">
        <w:rPr>
          <w:rFonts w:ascii="Verdana" w:hAnsi="Verdana" w:cs="Arial"/>
          <w:lang w:val="es-CO"/>
        </w:rPr>
        <w:t>, siendo las partes</w:t>
      </w:r>
      <w:r w:rsidR="00DF615E"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integrantes: el Alto Comisionado de las Naciones Unidas para los Refugiados –</w:t>
      </w:r>
      <w:r w:rsidR="00DF615E"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 xml:space="preserve">ACNUR- en calidad de donante y la Fundación Save </w:t>
      </w:r>
      <w:proofErr w:type="spellStart"/>
      <w:r w:rsidRPr="002F4B89">
        <w:rPr>
          <w:rFonts w:ascii="Verdana" w:hAnsi="Verdana" w:cs="Arial"/>
          <w:lang w:val="es-CO"/>
        </w:rPr>
        <w:t>the</w:t>
      </w:r>
      <w:proofErr w:type="spellEnd"/>
      <w:r w:rsidRPr="002F4B89">
        <w:rPr>
          <w:rFonts w:ascii="Verdana" w:hAnsi="Verdana" w:cs="Arial"/>
          <w:lang w:val="es-CO"/>
        </w:rPr>
        <w:t xml:space="preserve"> </w:t>
      </w:r>
      <w:proofErr w:type="spellStart"/>
      <w:r w:rsidRPr="002F4B89">
        <w:rPr>
          <w:rFonts w:ascii="Verdana" w:hAnsi="Verdana" w:cs="Arial"/>
          <w:lang w:val="es-CO"/>
        </w:rPr>
        <w:t>Children</w:t>
      </w:r>
      <w:proofErr w:type="spellEnd"/>
      <w:r w:rsidRPr="002F4B89">
        <w:rPr>
          <w:rFonts w:ascii="Verdana" w:hAnsi="Verdana" w:cs="Arial"/>
          <w:lang w:val="es-CO"/>
        </w:rPr>
        <w:t xml:space="preserve"> Colombia en</w:t>
      </w:r>
      <w:r w:rsidR="00DF615E">
        <w:rPr>
          <w:rFonts w:ascii="Verdana" w:hAnsi="Verdana" w:cs="Arial"/>
          <w:lang w:val="es-CO"/>
        </w:rPr>
        <w:t xml:space="preserve"> </w:t>
      </w:r>
      <w:r w:rsidRPr="002F4B89">
        <w:rPr>
          <w:rFonts w:ascii="Verdana" w:hAnsi="Verdana" w:cs="Arial"/>
          <w:lang w:val="es-CO"/>
        </w:rPr>
        <w:t>calidad de entidad ejecutora.</w:t>
      </w:r>
    </w:p>
    <w:p w:rsidRPr="002F4B89" w:rsidR="002F4B89" w:rsidP="002F4B89" w:rsidRDefault="002F4B89" w14:paraId="71E5D96D" w14:textId="3868D128">
      <w:pPr>
        <w:jc w:val="both"/>
        <w:rPr>
          <w:rFonts w:ascii="Verdana" w:hAnsi="Verdana" w:cs="Arial"/>
          <w:lang w:val="es-CO"/>
        </w:rPr>
      </w:pPr>
      <w:r w:rsidRPr="002F4B89">
        <w:rPr>
          <w:rFonts w:ascii="Verdana" w:hAnsi="Verdana" w:cs="Arial"/>
          <w:lang w:val="es-CO"/>
        </w:rPr>
        <w:t>El objetivo general del programa consiste en f</w:t>
      </w:r>
      <w:r w:rsidRPr="002F4B89">
        <w:rPr>
          <w:rFonts w:ascii="Verdana" w:hAnsi="Verdana" w:cs="Arial"/>
          <w:i/>
          <w:iCs/>
          <w:lang w:val="es-CO"/>
        </w:rPr>
        <w:t>ortalecer el sistema local y nacional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de Protección Infantil para garantizar una prevención y respuesta integrada con un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 xml:space="preserve">enfoque principal en los pueblos indígenas, los pueblos afrocolombianos y </w:t>
      </w:r>
      <w:proofErr w:type="gramStart"/>
      <w:r w:rsidRPr="002F4B89">
        <w:rPr>
          <w:rFonts w:ascii="Verdana" w:hAnsi="Verdana" w:cs="Arial"/>
          <w:i/>
          <w:iCs/>
          <w:lang w:val="es-CO"/>
        </w:rPr>
        <w:t>niños y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niñas</w:t>
      </w:r>
      <w:proofErr w:type="gramEnd"/>
      <w:r w:rsidRPr="002F4B89">
        <w:rPr>
          <w:rFonts w:ascii="Verdana" w:hAnsi="Verdana" w:cs="Arial"/>
          <w:i/>
          <w:iCs/>
          <w:lang w:val="es-CO"/>
        </w:rPr>
        <w:t xml:space="preserve"> teniendo en cuenta el impacto desproporcionado por temas del conflicto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armado y migración</w:t>
      </w:r>
      <w:r w:rsidRPr="002F4B89">
        <w:rPr>
          <w:rFonts w:ascii="Verdana" w:hAnsi="Verdana" w:cs="Arial"/>
          <w:lang w:val="es-CO"/>
        </w:rPr>
        <w:t>.</w:t>
      </w:r>
    </w:p>
    <w:p w:rsidRPr="002F4B89" w:rsidR="002F4B89" w:rsidP="002F4B89" w:rsidRDefault="002F4B89" w14:paraId="19D32DA6" w14:textId="77777777">
      <w:pPr>
        <w:jc w:val="both"/>
        <w:rPr>
          <w:rFonts w:ascii="Verdana" w:hAnsi="Verdana" w:cs="Arial"/>
          <w:lang w:val="es-CO"/>
        </w:rPr>
      </w:pPr>
      <w:r w:rsidRPr="002F4B89">
        <w:rPr>
          <w:rFonts w:ascii="Verdana" w:hAnsi="Verdana" w:cs="Arial"/>
          <w:lang w:val="es-CO"/>
        </w:rPr>
        <w:t>Como objetivos específicos se plantean los siguientes:</w:t>
      </w:r>
    </w:p>
    <w:p w:rsidRPr="002F4B89" w:rsidR="002F4B89" w:rsidP="002F4B89" w:rsidRDefault="002F4B89" w14:paraId="1F4E8B34" w14:textId="5685B138">
      <w:pPr>
        <w:jc w:val="both"/>
        <w:rPr>
          <w:rFonts w:ascii="Verdana" w:hAnsi="Verdana" w:cs="Arial"/>
          <w:i/>
          <w:iCs/>
          <w:lang w:val="es-CO"/>
        </w:rPr>
      </w:pPr>
      <w:r w:rsidRPr="002F4B89">
        <w:rPr>
          <w:rFonts w:ascii="Verdana" w:hAnsi="Verdana" w:cs="Arial"/>
          <w:i/>
          <w:iCs/>
          <w:lang w:val="es-CO"/>
        </w:rPr>
        <w:t>1. Fortalecer entornos protectores: comunidad educativa y comunitaria que permita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la identificación, prevención y respuesta a riesgos identificados de protección que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afecten a NNA en los municipios priorizados.</w:t>
      </w:r>
    </w:p>
    <w:p w:rsidRPr="002F4B89" w:rsidR="002F4B89" w:rsidP="002F4B89" w:rsidRDefault="002F4B89" w14:paraId="7D605E74" w14:textId="4E016A4D">
      <w:pPr>
        <w:jc w:val="both"/>
        <w:rPr>
          <w:rFonts w:ascii="Verdana" w:hAnsi="Verdana" w:cs="Arial"/>
          <w:i/>
          <w:iCs/>
          <w:lang w:val="es-CO"/>
        </w:rPr>
      </w:pPr>
      <w:r w:rsidRPr="002F4B89">
        <w:rPr>
          <w:rFonts w:ascii="Verdana" w:hAnsi="Verdana" w:cs="Arial"/>
          <w:i/>
          <w:iCs/>
          <w:lang w:val="es-CO"/>
        </w:rPr>
        <w:t>2. Dar respuesta a través de la gestión de casos especializados a los niños, niñas y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adolescentes a quienes se identifiquen en riesgo inminente, frente a VBG y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reclutamiento, uso y utilización en el marco del conflicto armado y movilidad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humana en complementariedad de la respuesta institucional local.</w:t>
      </w:r>
    </w:p>
    <w:p w:rsidRPr="00DF615E" w:rsidR="00DF615E" w:rsidP="00DF615E" w:rsidRDefault="002F4B89" w14:paraId="793A328D" w14:textId="12D24678">
      <w:pPr>
        <w:jc w:val="both"/>
        <w:rPr>
          <w:rFonts w:ascii="Verdana" w:hAnsi="Verdana" w:cs="Arial"/>
          <w:i/>
          <w:iCs/>
          <w:lang w:val="es-CO"/>
        </w:rPr>
      </w:pPr>
      <w:r w:rsidRPr="002F4B89">
        <w:rPr>
          <w:rFonts w:ascii="Verdana" w:hAnsi="Verdana" w:cs="Arial"/>
          <w:i/>
          <w:iCs/>
          <w:lang w:val="es-CO"/>
        </w:rPr>
        <w:t>3. Brindar fortalecimiento técnico a los sistemas locales de protección municipales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2F4B89">
        <w:rPr>
          <w:rFonts w:ascii="Verdana" w:hAnsi="Verdana" w:cs="Arial"/>
          <w:i/>
          <w:iCs/>
          <w:lang w:val="es-CO"/>
        </w:rPr>
        <w:t>que permita fortalecer la prevención y respuesta frente a las violencias que afectan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DF615E" w:rsidR="00DF615E">
        <w:rPr>
          <w:rFonts w:ascii="Verdana" w:hAnsi="Verdana" w:cs="Arial"/>
          <w:i/>
          <w:iCs/>
          <w:lang w:val="es-CO"/>
        </w:rPr>
        <w:t>a niños, niñas y adolescentes en el marco del conflicto armado - Reclutamiento, Uso</w:t>
      </w:r>
      <w:r w:rsidR="00DF615E">
        <w:rPr>
          <w:rFonts w:ascii="Verdana" w:hAnsi="Verdana" w:cs="Arial"/>
          <w:i/>
          <w:iCs/>
          <w:lang w:val="es-CO"/>
        </w:rPr>
        <w:t xml:space="preserve"> </w:t>
      </w:r>
      <w:r w:rsidRPr="00DF615E" w:rsidR="00DF615E">
        <w:rPr>
          <w:rFonts w:ascii="Verdana" w:hAnsi="Verdana" w:cs="Arial"/>
          <w:i/>
          <w:iCs/>
          <w:lang w:val="es-CO"/>
        </w:rPr>
        <w:t>y Utilización, incluyendo VBG, en los municipios priorizados.</w:t>
      </w:r>
    </w:p>
    <w:p w:rsidRPr="00DF615E" w:rsidR="00DF615E" w:rsidP="00DF615E" w:rsidRDefault="00DF615E" w14:paraId="52C50092" w14:textId="2E922710">
      <w:pPr>
        <w:jc w:val="both"/>
        <w:rPr>
          <w:rFonts w:ascii="Verdana" w:hAnsi="Verdana" w:cs="Arial"/>
          <w:lang w:val="es-CO"/>
        </w:rPr>
      </w:pPr>
      <w:r w:rsidRPr="00DF615E">
        <w:rPr>
          <w:rFonts w:ascii="Verdana" w:hAnsi="Verdana" w:cs="Arial"/>
          <w:lang w:val="es-CO"/>
        </w:rPr>
        <w:t>La población beneficiaria se estima en un total de seis mil quinientos cuarenta y seis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(6546) niños y niñas y setecientos treinta y tres (733) adultos en los siguientes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departamentos y municipios: Antioquia (Urrao, Segovia, Remedios y Murindó);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Cauca (Popayán y Guapi); Choco (Quibdó y Riosucio); Nariño (Ipiales); Valle del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Cauca (Cali, Buenaventura, Jamundí); Arauca (Arauca, Arauquita y Saravena); Norte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de Santander (Cúcuta, Los Patios y Villa del Rosario); Santander (Bucaramanga y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lastRenderedPageBreak/>
        <w:t>Piedecuesta); Bogotá; Cundinamarca (Soacha); Atlántico (Barranquilla, Soledad);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Bolívar (Cartagena); Cesar (Valledupar); La Guajira (Riohacha, Maicao y Uribia);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Magdalena (Santa Marta); Putumayo (Mocoa, Puerto Asís, Puerto Leguizamo y Valle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del Guamuez).</w:t>
      </w:r>
    </w:p>
    <w:p w:rsidRPr="00DF615E" w:rsidR="00DF615E" w:rsidP="00DF615E" w:rsidRDefault="00DF615E" w14:paraId="728C9C0B" w14:textId="4098C55E">
      <w:pPr>
        <w:jc w:val="both"/>
        <w:rPr>
          <w:rFonts w:ascii="Verdana" w:hAnsi="Verdana" w:cs="Arial"/>
          <w:lang w:val="es-CO"/>
        </w:rPr>
      </w:pPr>
      <w:r w:rsidRPr="00DF615E">
        <w:rPr>
          <w:rFonts w:ascii="Verdana" w:hAnsi="Verdana" w:cs="Arial"/>
          <w:lang w:val="es-CO"/>
        </w:rPr>
        <w:t>En resumen, se trata de un proyecto que busca promover la protección integral de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los niños, niñas y adolescentes a través del fortalecimiento de entornos protectores.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Esto incluye la identificación, prevención y respuesta a riesgos de protección, la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atención especializada en la gestión de casos, el fortalecimiento técnico de los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sistemas locales y nacionales de protección, así como la implementación de una</w:t>
      </w:r>
      <w:r w:rsidRPr="00DF615E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estrategia de localización.</w:t>
      </w:r>
    </w:p>
    <w:p w:rsidRPr="00DF615E" w:rsidR="00DF615E" w:rsidP="00DF615E" w:rsidRDefault="00DF615E" w14:paraId="174B4BC2" w14:textId="77777777">
      <w:pPr>
        <w:jc w:val="both"/>
        <w:rPr>
          <w:rFonts w:ascii="Verdana" w:hAnsi="Verdana" w:cs="Arial"/>
          <w:lang w:val="es-CO"/>
        </w:rPr>
      </w:pPr>
      <w:r w:rsidRPr="00DF615E">
        <w:rPr>
          <w:rFonts w:ascii="Verdana" w:hAnsi="Verdana" w:cs="Arial"/>
          <w:lang w:val="es-CO"/>
        </w:rPr>
        <w:t>Sumario y de manera relevante, revisadas las actividades del proyecto, se identifica:</w:t>
      </w:r>
    </w:p>
    <w:p w:rsidRPr="00DF615E" w:rsidR="00DF615E" w:rsidP="00DF615E" w:rsidRDefault="00DF615E" w14:paraId="198A270D" w14:textId="5F7CB169">
      <w:pPr>
        <w:jc w:val="both"/>
        <w:rPr>
          <w:rFonts w:ascii="Verdana" w:hAnsi="Verdana" w:cs="Arial"/>
          <w:lang w:val="es-CO"/>
        </w:rPr>
      </w:pPr>
      <w:r w:rsidRPr="00DF615E">
        <w:rPr>
          <w:rFonts w:ascii="Verdana" w:hAnsi="Verdana" w:cs="Arial"/>
          <w:lang w:val="es-CO"/>
        </w:rPr>
        <w:t>En los departamentos de Antioquia y Chocó relacionado con el objetivo específico 3,</w:t>
      </w:r>
      <w:r w:rsidR="003A22F0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del Eje 3.1.: Fortalecimiento de los sistemas locales de protección a la niñez como</w:t>
      </w:r>
      <w:r w:rsidR="003A22F0">
        <w:rPr>
          <w:rFonts w:ascii="Verdana" w:hAnsi="Verdana" w:cs="Arial"/>
          <w:lang w:val="es-CO"/>
        </w:rPr>
        <w:t xml:space="preserve"> </w:t>
      </w:r>
      <w:r w:rsidRPr="00DF615E">
        <w:rPr>
          <w:rFonts w:ascii="Verdana" w:hAnsi="Verdana" w:cs="Arial"/>
          <w:lang w:val="es-CO"/>
        </w:rPr>
        <w:t>actividades se plantea:</w:t>
      </w:r>
    </w:p>
    <w:p w:rsidRPr="002F4B89" w:rsidR="002F4B89" w:rsidP="00DF615E" w:rsidRDefault="00DF615E" w14:paraId="6D08F5D6" w14:textId="56E8C3CC">
      <w:pPr>
        <w:jc w:val="both"/>
        <w:rPr>
          <w:rFonts w:ascii="Verdana" w:hAnsi="Verdana" w:cs="Arial"/>
          <w:lang w:val="es-CO"/>
        </w:rPr>
      </w:pPr>
      <w:r w:rsidRPr="00DF615E">
        <w:rPr>
          <w:rFonts w:ascii="Verdana" w:hAnsi="Verdana" w:cs="Arial"/>
          <w:i/>
          <w:iCs/>
          <w:lang w:val="es-CO"/>
        </w:rPr>
        <w:t>[...] Para garantizar una prevención y respuesta integrada contra las graves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violaciones y otras violaciones serias y una incidencia colectiva para incidir que los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sistemas de protección infantil están presupuestados, implementados,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monitoreados, inclusivos y centralizados en la realidad de niños, niñas y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adolescentes. Para el 2024 se plantea continuar el fortalecimiento a los Equipos de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Protección en temas de Protección Internacional a niños, niñas y adolescentes, con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énfasis en Niñez No acompañada y Separada, y Atención diferencial a las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 xml:space="preserve">afectaciones a los derechos de </w:t>
      </w:r>
      <w:proofErr w:type="gramStart"/>
      <w:r w:rsidRPr="00DF615E">
        <w:rPr>
          <w:rFonts w:ascii="Verdana" w:hAnsi="Verdana" w:cs="Arial"/>
          <w:i/>
          <w:iCs/>
          <w:lang w:val="es-CO"/>
        </w:rPr>
        <w:t>los niños y niñas</w:t>
      </w:r>
      <w:proofErr w:type="gramEnd"/>
      <w:r w:rsidRPr="00DF615E">
        <w:rPr>
          <w:rFonts w:ascii="Verdana" w:hAnsi="Verdana" w:cs="Arial"/>
          <w:i/>
          <w:iCs/>
          <w:lang w:val="es-CO"/>
        </w:rPr>
        <w:t xml:space="preserve"> en el marco del conflicto armado,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con énfasis en desplazamiento y reclutamiento forzado. Otras de las prioridades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serán fortalecer los planes de prevención y respuesta del reclutamiento, uso y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 xml:space="preserve">utilización de </w:t>
      </w:r>
      <w:proofErr w:type="gramStart"/>
      <w:r w:rsidRPr="00DF615E">
        <w:rPr>
          <w:rFonts w:ascii="Verdana" w:hAnsi="Verdana" w:cs="Arial"/>
          <w:i/>
          <w:iCs/>
          <w:lang w:val="es-CO"/>
        </w:rPr>
        <w:t>niños y niñas</w:t>
      </w:r>
      <w:proofErr w:type="gramEnd"/>
      <w:r w:rsidRPr="00DF615E">
        <w:rPr>
          <w:rFonts w:ascii="Verdana" w:hAnsi="Verdana" w:cs="Arial"/>
          <w:i/>
          <w:iCs/>
          <w:lang w:val="es-CO"/>
        </w:rPr>
        <w:t>, VBG y VSBG, sus mesas municipales y la dinamización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de los EAI. Otra institución priorizada son las Comisarias de Familia de municipios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priorizados; la definición de estas u otras estarán sujetas a la concertación ACNUR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STC de acuerdo con las oportunidades y capacidades que se encuentren en cada</w:t>
      </w:r>
      <w:r w:rsidR="003A22F0">
        <w:rPr>
          <w:rFonts w:ascii="Verdana" w:hAnsi="Verdana" w:cs="Arial"/>
          <w:i/>
          <w:iCs/>
          <w:lang w:val="es-CO"/>
        </w:rPr>
        <w:t xml:space="preserve"> </w:t>
      </w:r>
      <w:r w:rsidRPr="00DF615E">
        <w:rPr>
          <w:rFonts w:ascii="Verdana" w:hAnsi="Verdana" w:cs="Arial"/>
          <w:i/>
          <w:iCs/>
          <w:lang w:val="es-CO"/>
        </w:rPr>
        <w:t>uno.</w:t>
      </w:r>
    </w:p>
    <w:p w:rsidRPr="003A22F0" w:rsidR="003A22F0" w:rsidP="003A22F0" w:rsidRDefault="003A22F0" w14:paraId="07902888" w14:textId="77777777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ascii="Verdana" w:hAnsi="Verdana" w:cs="Arial"/>
          <w:i/>
          <w:iCs/>
          <w:lang w:val="es-CO"/>
        </w:rPr>
        <w:t>Los municipios priorizados con esta línea son:</w:t>
      </w:r>
    </w:p>
    <w:p w:rsidRPr="003A22F0" w:rsidR="003A22F0" w:rsidP="003A22F0" w:rsidRDefault="003A22F0" w14:paraId="422EEBE7" w14:textId="3F014A01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ascii="Verdana" w:hAnsi="Verdana" w:cs="Arial"/>
          <w:i/>
          <w:iCs/>
          <w:lang w:val="es-CO"/>
        </w:rPr>
        <w:t>Quibdó: se dará continuidad a las alianzas con el ICBF, defensorías y comisarias,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tomando como referencia las necesidades identificadas en el último espacio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fortalecimiento; además del acompañamiento al equipo de acción inmediata del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territorio para brindar asistencia técnica y acompañamiento desde la política pública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buscando articular procesos con la CIPRUNNA para este ejercicio.</w:t>
      </w:r>
    </w:p>
    <w:p w:rsidRPr="003A22F0" w:rsidR="003A22F0" w:rsidP="003A22F0" w:rsidRDefault="003A22F0" w14:paraId="1B807C0D" w14:textId="311A76A5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ascii="Verdana" w:hAnsi="Verdana" w:cs="Arial"/>
          <w:i/>
          <w:iCs/>
          <w:lang w:val="es-CO"/>
        </w:rPr>
        <w:lastRenderedPageBreak/>
        <w:t>Riosucio y Murindó: continuar con el fortalecimiento iniciado en el último mes con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ICBF, Comisaria de familia y gestión del riesgo de la alcaldía en temas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identificación de riesgos; se propone hacer un proceso de fortalecimiento y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asistencia técnica a equipos de acción inmediata ya que no están operando en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territorio aun cuando está en vigencia el decreto, también participar y hacer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asistencia técnica en mesas de prevención de reclutamiento.</w:t>
      </w:r>
    </w:p>
    <w:p w:rsidRPr="003A22F0" w:rsidR="003A22F0" w:rsidP="003A22F0" w:rsidRDefault="003A22F0" w14:paraId="1771B26C" w14:textId="2968BB48">
      <w:pPr>
        <w:jc w:val="both"/>
        <w:rPr>
          <w:rFonts w:ascii="Verdana" w:hAnsi="Verdana" w:cs="Arial"/>
          <w:lang w:val="es-CO"/>
        </w:rPr>
      </w:pPr>
      <w:r w:rsidRPr="003A22F0">
        <w:rPr>
          <w:rFonts w:ascii="Verdana" w:hAnsi="Verdana" w:cs="Arial"/>
          <w:lang w:val="es-CO"/>
        </w:rPr>
        <w:t xml:space="preserve">De otra parte, a nivel Nación, del </w:t>
      </w:r>
      <w:r w:rsidRPr="003A22F0">
        <w:rPr>
          <w:rFonts w:ascii="Verdana" w:hAnsi="Verdana" w:cs="Arial"/>
          <w:i/>
          <w:iCs/>
          <w:lang w:val="es-CO"/>
        </w:rPr>
        <w:t>Eje 2.1: Fortalecimiento a los sistemas de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protección a nivel nacional y local</w:t>
      </w:r>
      <w:r w:rsidRPr="003A22F0">
        <w:rPr>
          <w:rFonts w:ascii="Verdana" w:hAnsi="Verdana" w:cs="Arial"/>
          <w:lang w:val="es-CO"/>
        </w:rPr>
        <w:t>, se formulan como actividades:</w:t>
      </w:r>
    </w:p>
    <w:p w:rsidRPr="003A22F0" w:rsidR="003A22F0" w:rsidP="003A22F0" w:rsidRDefault="003A22F0" w14:paraId="335DA6D8" w14:textId="50CE7230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hint="eastAsia" w:ascii="Verdana" w:hAnsi="Verdana" w:cs="Arial"/>
          <w:lang w:val="es-CO"/>
        </w:rPr>
        <w:t></w:t>
      </w:r>
      <w:r w:rsidRPr="003A22F0"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Coordinación con el Sistema Nacional de Bienestar Familiar SNBF y con 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ICBF como ente rector del SNBF, espacios de fortalecimiento ya existentes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tanto a nivel Nacional como Local, con la diferentes entidades y actores que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hacen parte del este sistema de protección.</w:t>
      </w:r>
    </w:p>
    <w:p w:rsidRPr="003A22F0" w:rsidR="003A22F0" w:rsidP="003A22F0" w:rsidRDefault="003A22F0" w14:paraId="7EA147C5" w14:textId="57FA972B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hint="eastAsia" w:ascii="Verdana" w:hAnsi="Verdana" w:cs="Arial"/>
          <w:lang w:val="es-CO"/>
        </w:rPr>
        <w:t></w:t>
      </w:r>
      <w:r w:rsidRPr="003A22F0"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Promoción de espacios parala participación como consorcio en aras de incidir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sobre la protección de los niños, niñas y adolescentes.</w:t>
      </w:r>
    </w:p>
    <w:p w:rsidRPr="003A22F0" w:rsidR="003A22F0" w:rsidP="003A22F0" w:rsidRDefault="003A22F0" w14:paraId="4088E5C3" w14:textId="0C72CF0F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hint="eastAsia" w:ascii="Verdana" w:hAnsi="Verdana" w:cs="Arial"/>
          <w:lang w:val="es-CO"/>
        </w:rPr>
        <w:t></w:t>
      </w:r>
      <w:r w:rsidRPr="003A22F0"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Promover alianzas colaborativas para robustecer las capacidades del sistema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de protección a la niñez.</w:t>
      </w:r>
    </w:p>
    <w:p w:rsidRPr="003A22F0" w:rsidR="003A22F0" w:rsidP="003A22F0" w:rsidRDefault="003A22F0" w14:paraId="4EF8E3C5" w14:textId="23E8EB19">
      <w:pPr>
        <w:jc w:val="both"/>
        <w:rPr>
          <w:rFonts w:ascii="Verdana" w:hAnsi="Verdana" w:cs="Arial"/>
          <w:lang w:val="es-CO"/>
        </w:rPr>
      </w:pPr>
      <w:r w:rsidRPr="003A22F0">
        <w:rPr>
          <w:rFonts w:ascii="Verdana" w:hAnsi="Verdana" w:cs="Arial"/>
          <w:lang w:val="es-CO"/>
        </w:rPr>
        <w:t>Finalmente, revisado el cuadro de resultados y recursos, se observa como actividad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clave:</w:t>
      </w:r>
    </w:p>
    <w:p w:rsidRPr="003A22F0" w:rsidR="003A22F0" w:rsidP="003A22F0" w:rsidRDefault="003A22F0" w14:paraId="095B73CD" w14:textId="0397FA65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ascii="Verdana" w:hAnsi="Verdana" w:cs="Arial"/>
          <w:i/>
          <w:iCs/>
          <w:lang w:val="es-CO"/>
        </w:rPr>
        <w:t>Plan de trabajo conjunto con ICBF desde diagnóstico de necesidades y capacidades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institucionales. Fortalecimiento del enfoque de atención diferencial a niñez en el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marco de desplazamiento y confinamiento en espacios y actores municipales lideres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de niños, niñas y adolescentes (secretarias o programas municipal o distrital).</w:t>
      </w:r>
    </w:p>
    <w:p w:rsidRPr="003A22F0" w:rsidR="003A22F0" w:rsidP="003A22F0" w:rsidRDefault="003A22F0" w14:paraId="16BB385F" w14:textId="22E77F23">
      <w:pPr>
        <w:jc w:val="both"/>
        <w:rPr>
          <w:rFonts w:ascii="Verdana" w:hAnsi="Verdana" w:cs="Arial"/>
          <w:i/>
          <w:iCs/>
          <w:lang w:val="es-CO"/>
        </w:rPr>
      </w:pPr>
      <w:r w:rsidRPr="003A22F0">
        <w:rPr>
          <w:rFonts w:ascii="Verdana" w:hAnsi="Verdana" w:cs="Arial"/>
          <w:i/>
          <w:iCs/>
          <w:lang w:val="es-CO"/>
        </w:rPr>
        <w:t>Fortalecimiento de las mesas de prevención de reclutamiento para mitigar riesgos y</w:t>
      </w:r>
      <w:r>
        <w:rPr>
          <w:rFonts w:ascii="Verdana" w:hAnsi="Verdana" w:cs="Arial"/>
          <w:i/>
          <w:iCs/>
          <w:lang w:val="es-CO"/>
        </w:rPr>
        <w:t xml:space="preserve"> </w:t>
      </w:r>
      <w:r w:rsidRPr="003A22F0">
        <w:rPr>
          <w:rFonts w:ascii="Verdana" w:hAnsi="Verdana" w:cs="Arial"/>
          <w:i/>
          <w:iCs/>
          <w:lang w:val="es-CO"/>
        </w:rPr>
        <w:t>fortalecer respuesta con enfoque diferencial.</w:t>
      </w:r>
    </w:p>
    <w:p w:rsidR="002F4B89" w:rsidP="003A22F0" w:rsidRDefault="003A22F0" w14:paraId="3A4DA338" w14:textId="3026CA05">
      <w:pPr>
        <w:jc w:val="both"/>
        <w:rPr>
          <w:rFonts w:ascii="Verdana" w:hAnsi="Verdana" w:cs="Arial"/>
          <w:lang w:val="es-CO"/>
        </w:rPr>
      </w:pPr>
      <w:r w:rsidRPr="003A22F0">
        <w:rPr>
          <w:rFonts w:ascii="Verdana" w:hAnsi="Verdana" w:cs="Arial"/>
          <w:lang w:val="es-CO"/>
        </w:rPr>
        <w:t>En consecuencia, se evidencia que la misionalidad del ICBF no solo guarda una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relación directa con la temática del proyecto, sino que, además, incluye actividades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que lo involucran y lo posicionan como beneficiario de este.</w:t>
      </w:r>
    </w:p>
    <w:p w:rsidRPr="003A22F0" w:rsidR="003A22F0" w:rsidP="003A22F0" w:rsidRDefault="003A22F0" w14:paraId="523337CD" w14:textId="77777777">
      <w:pPr>
        <w:jc w:val="both"/>
        <w:rPr>
          <w:rFonts w:ascii="Verdana" w:hAnsi="Verdana" w:cs="Arial"/>
          <w:b/>
          <w:bCs/>
          <w:lang w:val="es-CO"/>
        </w:rPr>
      </w:pPr>
      <w:r w:rsidRPr="003A22F0">
        <w:rPr>
          <w:rFonts w:ascii="Verdana" w:hAnsi="Verdana" w:cs="Arial"/>
          <w:b/>
          <w:bCs/>
          <w:lang w:val="es-CO"/>
        </w:rPr>
        <w:t>4) Conclusiones.</w:t>
      </w:r>
    </w:p>
    <w:p w:rsidRPr="003A22F0" w:rsidR="003A22F0" w:rsidP="003A22F0" w:rsidRDefault="003A22F0" w14:paraId="5766A555" w14:textId="400E3A2B">
      <w:pPr>
        <w:jc w:val="both"/>
        <w:rPr>
          <w:rFonts w:ascii="Verdana" w:hAnsi="Verdana" w:cs="Arial"/>
          <w:lang w:val="es-CO"/>
        </w:rPr>
      </w:pPr>
      <w:r w:rsidRPr="003A22F0">
        <w:rPr>
          <w:rFonts w:ascii="Verdana" w:hAnsi="Verdana" w:cs="Arial"/>
          <w:lang w:val="es-CO"/>
        </w:rPr>
        <w:t>De acuerdo con lo expuesto y en atención a las preguntas planteadas en la solicitud,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se concluye lo siguiente:</w:t>
      </w:r>
    </w:p>
    <w:p w:rsidRPr="003A22F0" w:rsidR="003A22F0" w:rsidP="003A22F0" w:rsidRDefault="003A22F0" w14:paraId="6D417E24" w14:textId="4662C83D">
      <w:pPr>
        <w:jc w:val="both"/>
        <w:rPr>
          <w:rFonts w:ascii="Verdana" w:hAnsi="Verdana" w:cs="Arial"/>
          <w:lang w:val="es-CO"/>
        </w:rPr>
      </w:pPr>
      <w:r w:rsidRPr="003A22F0">
        <w:rPr>
          <w:rFonts w:hint="eastAsia" w:ascii="Verdana" w:hAnsi="Verdana" w:cs="Arial"/>
          <w:lang w:val="es-CO"/>
        </w:rPr>
        <w:lastRenderedPageBreak/>
        <w:t></w:t>
      </w:r>
      <w:r w:rsidRPr="003A22F0">
        <w:rPr>
          <w:rFonts w:ascii="Verdana" w:hAnsi="Verdana" w:cs="Arial"/>
          <w:lang w:val="es-CO"/>
        </w:rPr>
        <w:t xml:space="preserve"> El Instituto Colombiano de Bienestar Familiar (ICBF) tiene competencias para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emitir conceptos técnicos favorables relacionados con programas de utilidad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común, siempre que estos se alineen con su misionalidad institucional y la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población objetivo y en cuanto resulte beneficiario de los fondos provenientes de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auxilios o donaciones.</w:t>
      </w:r>
    </w:p>
    <w:p w:rsidRPr="003A22F0" w:rsidR="003A22F0" w:rsidP="003A22F0" w:rsidRDefault="003A22F0" w14:paraId="3DD78011" w14:textId="430B5D0D">
      <w:pPr>
        <w:jc w:val="both"/>
        <w:rPr>
          <w:rFonts w:ascii="Verdana" w:hAnsi="Verdana" w:cs="Arial"/>
          <w:lang w:val="es-CO"/>
        </w:rPr>
      </w:pPr>
      <w:r w:rsidRPr="003A22F0">
        <w:rPr>
          <w:rFonts w:hint="eastAsia" w:ascii="Verdana" w:hAnsi="Verdana" w:cs="Arial"/>
          <w:lang w:val="es-CO"/>
        </w:rPr>
        <w:t></w:t>
      </w:r>
      <w:r w:rsidRPr="003A22F0">
        <w:rPr>
          <w:rFonts w:ascii="Verdana" w:hAnsi="Verdana" w:cs="Arial"/>
          <w:lang w:val="es-CO"/>
        </w:rPr>
        <w:t xml:space="preserve"> El proyecto consultado, "Programa Conjunto de Protección de la Niñez", guarda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una relación directa con las competencias del ICBF, dado que busca fortalecer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sistemas de protección infantil y prevenir riesgos relacionados con el conflicto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armado, violencia y migración, lo cual coincide con la misión del Instituto.</w:t>
      </w:r>
    </w:p>
    <w:p w:rsidRPr="003A22F0" w:rsidR="003A22F0" w:rsidP="003A22F0" w:rsidRDefault="003A22F0" w14:paraId="3DE37605" w14:textId="62552A9E">
      <w:pPr>
        <w:jc w:val="both"/>
        <w:rPr>
          <w:rFonts w:ascii="Verdana" w:hAnsi="Verdana" w:cs="Arial"/>
          <w:lang w:val="es-CO"/>
        </w:rPr>
      </w:pPr>
      <w:r w:rsidRPr="003A22F0">
        <w:rPr>
          <w:rFonts w:hint="eastAsia" w:ascii="Verdana" w:hAnsi="Verdana" w:cs="Arial"/>
          <w:lang w:val="es-CO"/>
        </w:rPr>
        <w:t></w:t>
      </w:r>
      <w:r w:rsidRPr="003A22F0">
        <w:rPr>
          <w:rFonts w:ascii="Verdana" w:hAnsi="Verdana" w:cs="Arial"/>
          <w:lang w:val="es-CO"/>
        </w:rPr>
        <w:t xml:space="preserve"> Para la emisión del concepto solicitado, el ICBF puede considerarse beneficiario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del proyecto, dado que este promueve objetivos que fortalecen su labor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institucional y mejoran la articulación de los sistemas de protección de la niñez.</w:t>
      </w:r>
    </w:p>
    <w:p w:rsidRPr="003A22F0" w:rsidR="003A22F0" w:rsidP="003A22F0" w:rsidRDefault="003A22F0" w14:paraId="10434E9B" w14:textId="1102708F">
      <w:pPr>
        <w:jc w:val="both"/>
        <w:rPr>
          <w:rFonts w:ascii="Verdana" w:hAnsi="Verdana" w:cs="Arial"/>
          <w:lang w:val="es-CO"/>
        </w:rPr>
      </w:pPr>
      <w:r w:rsidRPr="003A22F0">
        <w:rPr>
          <w:rFonts w:hint="eastAsia" w:ascii="Verdana" w:hAnsi="Verdana" w:cs="Arial"/>
          <w:lang w:val="es-CO"/>
        </w:rPr>
        <w:t></w:t>
      </w:r>
      <w:r w:rsidRPr="003A22F0">
        <w:rPr>
          <w:rFonts w:ascii="Verdana" w:hAnsi="Verdana" w:cs="Arial"/>
          <w:lang w:val="es-CO"/>
        </w:rPr>
        <w:t xml:space="preserve"> El ICBF debe emitir el concepto técnico a solicitud de la Agencia Presidencial de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Cooperación Internacional (APC-Colombia) siguiendo los lineamientos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establecidos en el Decreto 1625 de 2016 y sus modificaciones, asegurando el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cumplimiento de los requisitos legales y misionales.</w:t>
      </w:r>
    </w:p>
    <w:p w:rsidRPr="003A22F0" w:rsidR="003A22F0" w:rsidP="003A22F0" w:rsidRDefault="003A22F0" w14:paraId="00AC195D" w14:textId="5CF49F72">
      <w:pPr>
        <w:jc w:val="both"/>
        <w:rPr>
          <w:rFonts w:ascii="Verdana" w:hAnsi="Verdana" w:cs="Arial"/>
          <w:lang w:val="es-CO"/>
        </w:rPr>
      </w:pPr>
      <w:r w:rsidRPr="003A22F0">
        <w:rPr>
          <w:rFonts w:ascii="Verdana" w:hAnsi="Verdana" w:cs="Arial"/>
          <w:lang w:val="es-CO"/>
        </w:rPr>
        <w:t>Para lo cual, y atendiendo lo establecido en el numeral 6 del artículo 4 del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Decreto 987 de 2012, dado que es la Oficina de Cooperación y Convenios quien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cuenta con la función de coordinar con la APC y el Ministerio de relaciones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exteriores, las acciones de gestión de cooperación internacional del Instituto,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corresponde a ella la suscripción del concepto, sin embargo, para ello requiere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el apoyo técnico de las dependencias y misionales del ICBF, quienes de manera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articulada deberán suministrar los insumos correspondientes desde el marco de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sus competencias.</w:t>
      </w:r>
    </w:p>
    <w:p w:rsidR="003A22F0" w:rsidP="003A22F0" w:rsidRDefault="003A22F0" w14:paraId="1A15BCB5" w14:textId="7D9FD2DF">
      <w:pPr>
        <w:jc w:val="both"/>
        <w:rPr>
          <w:rFonts w:ascii="Verdana" w:hAnsi="Verdana" w:cs="Arial"/>
          <w:lang w:val="es-CO"/>
        </w:rPr>
      </w:pPr>
      <w:r w:rsidRPr="003A22F0">
        <w:rPr>
          <w:rFonts w:ascii="Verdana" w:hAnsi="Verdana" w:cs="Arial"/>
          <w:lang w:val="es-CO"/>
        </w:rPr>
        <w:t>El presente tiene naturaleza de concepto jurídico y constituye un criterio auxiliar de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interpretación de conformidad con lo establecido en los artículos 26 del Código Civil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y 28 del Código de Procedimiento Administrativo y de lo Contencioso Administrativo,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sustituido por el artículo 1º de la Ley 1755 de 2015. No obstante lo anterior, tiene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carácter vinculante para las dependencias internas del Instituto y terceros que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colaboren en la prestación del servicio público o en el desarrollo de la función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administrativa de competencia del ICBF, en virtud de la función asignada a la Oficina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Asesora Jurídica de mantener la unidad doctrinaria e impartir las directrices jurídicas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necesarias para el desarrollo de las funciones del Instituto, de conformidad con los</w:t>
      </w:r>
      <w:r>
        <w:rPr>
          <w:rFonts w:ascii="Verdana" w:hAnsi="Verdana" w:cs="Arial"/>
          <w:lang w:val="es-CO"/>
        </w:rPr>
        <w:t xml:space="preserve"> </w:t>
      </w:r>
      <w:r w:rsidRPr="003A22F0">
        <w:rPr>
          <w:rFonts w:ascii="Verdana" w:hAnsi="Verdana" w:cs="Arial"/>
          <w:lang w:val="es-CO"/>
        </w:rPr>
        <w:t>numerales 8 y 15 del Artículo 6º del Decreto 987 de 2012.</w:t>
      </w:r>
    </w:p>
    <w:p w:rsidR="003A22F0" w:rsidP="003A22F0" w:rsidRDefault="003A22F0" w14:paraId="7E48ACBE" w14:textId="67E31A66">
      <w:pPr>
        <w:jc w:val="both"/>
        <w:rPr>
          <w:rFonts w:ascii="Verdana" w:hAnsi="Verdana" w:cs="Arial"/>
          <w:lang w:val="es-CO"/>
        </w:rPr>
      </w:pPr>
      <w:r>
        <w:rPr>
          <w:rFonts w:ascii="Verdana" w:hAnsi="Verdana" w:cs="Arial"/>
          <w:lang w:val="es-CO"/>
        </w:rPr>
        <w:t>Cordialmente,</w:t>
      </w:r>
    </w:p>
    <w:p w:rsidR="003A22F0" w:rsidP="003A22F0" w:rsidRDefault="003A22F0" w14:paraId="36F14266" w14:textId="77777777">
      <w:pPr>
        <w:jc w:val="both"/>
        <w:rPr>
          <w:rFonts w:ascii="Verdana" w:hAnsi="Verdana" w:cs="Arial"/>
          <w:lang w:val="es-CO"/>
        </w:rPr>
      </w:pPr>
    </w:p>
    <w:p w:rsidRPr="003A22F0" w:rsidR="003A22F0" w:rsidP="003A22F0" w:rsidRDefault="003A22F0" w14:paraId="1C7B5E54" w14:textId="45086A63">
      <w:pPr>
        <w:jc w:val="center"/>
        <w:rPr>
          <w:rFonts w:ascii="Verdana" w:hAnsi="Verdana" w:cs="Arial"/>
          <w:b/>
          <w:bCs/>
          <w:lang w:val="es-CO"/>
        </w:rPr>
      </w:pPr>
      <w:r w:rsidRPr="003A22F0">
        <w:rPr>
          <w:rFonts w:ascii="Verdana" w:hAnsi="Verdana" w:cs="Arial"/>
          <w:b/>
          <w:bCs/>
          <w:lang w:val="es-CO"/>
        </w:rPr>
        <w:lastRenderedPageBreak/>
        <w:t>LEONARDO ALFONSO PEREZ MEDINA</w:t>
      </w:r>
    </w:p>
    <w:p w:rsidRPr="003A22F0" w:rsidR="003A22F0" w:rsidP="003A22F0" w:rsidRDefault="003A22F0" w14:paraId="1278A1D6" w14:textId="497134A6">
      <w:pPr>
        <w:jc w:val="center"/>
        <w:rPr>
          <w:rFonts w:ascii="Verdana" w:hAnsi="Verdana" w:cs="Arial"/>
          <w:lang w:val="es-CO"/>
        </w:rPr>
      </w:pPr>
      <w:r>
        <w:rPr>
          <w:rFonts w:ascii="Verdana" w:hAnsi="Verdana" w:cs="Arial"/>
          <w:lang w:val="es-CO"/>
        </w:rPr>
        <w:t>Jefe Oficina Asesora Jurídica (E)</w:t>
      </w:r>
    </w:p>
    <w:sectPr w:rsidRPr="003A22F0" w:rsidR="003A22F0" w:rsidSect="00142A9D">
      <w:footerReference w:type="default" r:id="rId8"/>
      <w:pgSz w:w="12240" w:h="15840" w:orient="portrait" w:code="1"/>
      <w:pgMar w:top="1418" w:right="1134" w:bottom="2410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58A" w:rsidP="00B92FB1" w:rsidRDefault="0015258A" w14:paraId="20684F59" w14:textId="77777777">
      <w:pPr>
        <w:spacing w:after="0" w:line="240" w:lineRule="auto"/>
      </w:pPr>
      <w:r>
        <w:separator/>
      </w:r>
    </w:p>
  </w:endnote>
  <w:endnote w:type="continuationSeparator" w:id="0">
    <w:p w:rsidR="0015258A" w:rsidP="00B92FB1" w:rsidRDefault="0015258A" w14:paraId="3718F8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FB1" w:rsidP="00B92FB1" w:rsidRDefault="00B92FB1" w14:paraId="666AA5E3" w14:textId="26BF685F">
    <w:pPr>
      <w:spacing w:after="0" w:line="240" w:lineRule="auto"/>
    </w:pPr>
    <w:r>
      <w:t xml:space="preserve">                                                </w:t>
    </w:r>
  </w:p>
  <w:p w:rsidR="00B92FB1" w:rsidRDefault="00B92FB1" w14:paraId="246AF2B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58A" w:rsidP="00B92FB1" w:rsidRDefault="0015258A" w14:paraId="49E563F6" w14:textId="77777777">
      <w:pPr>
        <w:spacing w:after="0" w:line="240" w:lineRule="auto"/>
      </w:pPr>
      <w:r>
        <w:separator/>
      </w:r>
    </w:p>
  </w:footnote>
  <w:footnote w:type="continuationSeparator" w:id="0">
    <w:p w:rsidR="0015258A" w:rsidP="00B92FB1" w:rsidRDefault="0015258A" w14:paraId="1B9F407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F34"/>
    <w:multiLevelType w:val="multilevel"/>
    <w:tmpl w:val="4B24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C85384"/>
    <w:multiLevelType w:val="hybridMultilevel"/>
    <w:tmpl w:val="76A62E8C"/>
    <w:lvl w:ilvl="0" w:tplc="A48C0C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0A8D"/>
    <w:multiLevelType w:val="hybridMultilevel"/>
    <w:tmpl w:val="0E401E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24120"/>
    <w:multiLevelType w:val="hybridMultilevel"/>
    <w:tmpl w:val="9042D1C8"/>
    <w:lvl w:ilvl="0" w:tplc="8772BF5A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41572E"/>
    <w:multiLevelType w:val="multilevel"/>
    <w:tmpl w:val="9B7A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72AF1"/>
    <w:multiLevelType w:val="hybridMultilevel"/>
    <w:tmpl w:val="CB46C54A"/>
    <w:lvl w:ilvl="0" w:tplc="E4AAF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31E67"/>
    <w:multiLevelType w:val="hybridMultilevel"/>
    <w:tmpl w:val="0E401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42A1"/>
    <w:multiLevelType w:val="multilevel"/>
    <w:tmpl w:val="D08E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E428A"/>
    <w:multiLevelType w:val="multilevel"/>
    <w:tmpl w:val="C66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2F16AC7"/>
    <w:multiLevelType w:val="multilevel"/>
    <w:tmpl w:val="6858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30558E8"/>
    <w:multiLevelType w:val="hybridMultilevel"/>
    <w:tmpl w:val="7DBAAB6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6A01D5"/>
    <w:multiLevelType w:val="multilevel"/>
    <w:tmpl w:val="05A27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94FE9"/>
    <w:multiLevelType w:val="multilevel"/>
    <w:tmpl w:val="B2D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1DD2C4B"/>
    <w:multiLevelType w:val="multilevel"/>
    <w:tmpl w:val="F37A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8DD2C3A"/>
    <w:multiLevelType w:val="hybridMultilevel"/>
    <w:tmpl w:val="E79CDF4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A068A4"/>
    <w:multiLevelType w:val="hybridMultilevel"/>
    <w:tmpl w:val="878478F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10CFC"/>
    <w:multiLevelType w:val="hybridMultilevel"/>
    <w:tmpl w:val="91284014"/>
    <w:lvl w:ilvl="0" w:tplc="2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94FCE"/>
    <w:multiLevelType w:val="hybridMultilevel"/>
    <w:tmpl w:val="29A0268C"/>
    <w:lvl w:ilvl="0" w:tplc="DE60B7FE">
      <w:numFmt w:val="bullet"/>
      <w:lvlText w:val=""/>
      <w:lvlJc w:val="left"/>
      <w:pPr>
        <w:ind w:left="720" w:hanging="360"/>
      </w:pPr>
      <w:rPr>
        <w:rFonts w:hint="eastAsia" w:ascii="MS Mincho" w:hAnsi="MS Mincho" w:eastAsia="MS Mincho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4121442">
    <w:abstractNumId w:val="5"/>
  </w:num>
  <w:num w:numId="2" w16cid:durableId="818766769">
    <w:abstractNumId w:val="1"/>
  </w:num>
  <w:num w:numId="3" w16cid:durableId="1474254661">
    <w:abstractNumId w:val="8"/>
  </w:num>
  <w:num w:numId="4" w16cid:durableId="767389772">
    <w:abstractNumId w:val="0"/>
  </w:num>
  <w:num w:numId="5" w16cid:durableId="453254991">
    <w:abstractNumId w:val="13"/>
  </w:num>
  <w:num w:numId="6" w16cid:durableId="1823883185">
    <w:abstractNumId w:val="9"/>
  </w:num>
  <w:num w:numId="7" w16cid:durableId="945965868">
    <w:abstractNumId w:val="7"/>
  </w:num>
  <w:num w:numId="8" w16cid:durableId="1134063344">
    <w:abstractNumId w:val="4"/>
  </w:num>
  <w:num w:numId="9" w16cid:durableId="836772506">
    <w:abstractNumId w:val="11"/>
  </w:num>
  <w:num w:numId="10" w16cid:durableId="298151149">
    <w:abstractNumId w:val="12"/>
  </w:num>
  <w:num w:numId="11" w16cid:durableId="2088183264">
    <w:abstractNumId w:val="3"/>
  </w:num>
  <w:num w:numId="12" w16cid:durableId="1226603413">
    <w:abstractNumId w:val="15"/>
  </w:num>
  <w:num w:numId="13" w16cid:durableId="192033781">
    <w:abstractNumId w:val="2"/>
  </w:num>
  <w:num w:numId="14" w16cid:durableId="135801422">
    <w:abstractNumId w:val="6"/>
  </w:num>
  <w:num w:numId="15" w16cid:durableId="1027440237">
    <w:abstractNumId w:val="14"/>
  </w:num>
  <w:num w:numId="16" w16cid:durableId="1941833777">
    <w:abstractNumId w:val="17"/>
  </w:num>
  <w:num w:numId="17" w16cid:durableId="2077509427">
    <w:abstractNumId w:val="10"/>
  </w:num>
  <w:num w:numId="18" w16cid:durableId="1440102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2D60"/>
    <w:rsid w:val="0003682A"/>
    <w:rsid w:val="00041D6F"/>
    <w:rsid w:val="00050BE6"/>
    <w:rsid w:val="00066625"/>
    <w:rsid w:val="000853C8"/>
    <w:rsid w:val="00092584"/>
    <w:rsid w:val="00096FEA"/>
    <w:rsid w:val="000B4840"/>
    <w:rsid w:val="000C2E66"/>
    <w:rsid w:val="000C3941"/>
    <w:rsid w:val="000C3EA3"/>
    <w:rsid w:val="000D6087"/>
    <w:rsid w:val="000E699F"/>
    <w:rsid w:val="000F784B"/>
    <w:rsid w:val="0010387F"/>
    <w:rsid w:val="00110A58"/>
    <w:rsid w:val="001119CD"/>
    <w:rsid w:val="00116CEC"/>
    <w:rsid w:val="00131C87"/>
    <w:rsid w:val="001350F0"/>
    <w:rsid w:val="00142A9D"/>
    <w:rsid w:val="0015258A"/>
    <w:rsid w:val="001614AD"/>
    <w:rsid w:val="0019446D"/>
    <w:rsid w:val="001C242B"/>
    <w:rsid w:val="001C5706"/>
    <w:rsid w:val="001C75E7"/>
    <w:rsid w:val="001E15E9"/>
    <w:rsid w:val="00205E21"/>
    <w:rsid w:val="00224705"/>
    <w:rsid w:val="00230E05"/>
    <w:rsid w:val="00236087"/>
    <w:rsid w:val="00245500"/>
    <w:rsid w:val="0024678E"/>
    <w:rsid w:val="0025101A"/>
    <w:rsid w:val="00277F79"/>
    <w:rsid w:val="002C0ABC"/>
    <w:rsid w:val="002F0AC6"/>
    <w:rsid w:val="002F4B89"/>
    <w:rsid w:val="00301CC9"/>
    <w:rsid w:val="003351C0"/>
    <w:rsid w:val="00365AFF"/>
    <w:rsid w:val="00367BF4"/>
    <w:rsid w:val="00383B97"/>
    <w:rsid w:val="00397C60"/>
    <w:rsid w:val="003A22F0"/>
    <w:rsid w:val="003B0EEE"/>
    <w:rsid w:val="003B10D4"/>
    <w:rsid w:val="003C2C40"/>
    <w:rsid w:val="003E31A4"/>
    <w:rsid w:val="00404C51"/>
    <w:rsid w:val="00404F59"/>
    <w:rsid w:val="00411099"/>
    <w:rsid w:val="00432807"/>
    <w:rsid w:val="00444197"/>
    <w:rsid w:val="004450A4"/>
    <w:rsid w:val="004535F7"/>
    <w:rsid w:val="004554AF"/>
    <w:rsid w:val="00463068"/>
    <w:rsid w:val="0048706F"/>
    <w:rsid w:val="00490F50"/>
    <w:rsid w:val="004A462C"/>
    <w:rsid w:val="004D28A8"/>
    <w:rsid w:val="004E5577"/>
    <w:rsid w:val="0052231C"/>
    <w:rsid w:val="00523AB2"/>
    <w:rsid w:val="005300F0"/>
    <w:rsid w:val="00535C0C"/>
    <w:rsid w:val="00541CC4"/>
    <w:rsid w:val="00544752"/>
    <w:rsid w:val="00555D43"/>
    <w:rsid w:val="00561525"/>
    <w:rsid w:val="005651EA"/>
    <w:rsid w:val="00572FFF"/>
    <w:rsid w:val="0058181F"/>
    <w:rsid w:val="00592D07"/>
    <w:rsid w:val="005A0DFB"/>
    <w:rsid w:val="005A1CC2"/>
    <w:rsid w:val="005A7572"/>
    <w:rsid w:val="005D4C82"/>
    <w:rsid w:val="005D785E"/>
    <w:rsid w:val="005D7D30"/>
    <w:rsid w:val="00606839"/>
    <w:rsid w:val="00621E1D"/>
    <w:rsid w:val="00643AC9"/>
    <w:rsid w:val="006634BB"/>
    <w:rsid w:val="006675EC"/>
    <w:rsid w:val="00684123"/>
    <w:rsid w:val="006B1159"/>
    <w:rsid w:val="006C3E86"/>
    <w:rsid w:val="006C7934"/>
    <w:rsid w:val="006D7672"/>
    <w:rsid w:val="006D7C58"/>
    <w:rsid w:val="006F669E"/>
    <w:rsid w:val="00713934"/>
    <w:rsid w:val="007148BE"/>
    <w:rsid w:val="00737A82"/>
    <w:rsid w:val="00743EF4"/>
    <w:rsid w:val="00766E91"/>
    <w:rsid w:val="00771492"/>
    <w:rsid w:val="007A4DB2"/>
    <w:rsid w:val="007B4B6E"/>
    <w:rsid w:val="007C5220"/>
    <w:rsid w:val="007E43B9"/>
    <w:rsid w:val="007E52A4"/>
    <w:rsid w:val="00803301"/>
    <w:rsid w:val="00833D72"/>
    <w:rsid w:val="00851E68"/>
    <w:rsid w:val="0085222A"/>
    <w:rsid w:val="00852245"/>
    <w:rsid w:val="00855DC1"/>
    <w:rsid w:val="00865035"/>
    <w:rsid w:val="00875B13"/>
    <w:rsid w:val="0089676D"/>
    <w:rsid w:val="008C683F"/>
    <w:rsid w:val="008E1DA6"/>
    <w:rsid w:val="008F6A70"/>
    <w:rsid w:val="00915363"/>
    <w:rsid w:val="009223D5"/>
    <w:rsid w:val="0092397F"/>
    <w:rsid w:val="009300D9"/>
    <w:rsid w:val="0093472F"/>
    <w:rsid w:val="00942999"/>
    <w:rsid w:val="00947CE0"/>
    <w:rsid w:val="009B2507"/>
    <w:rsid w:val="009C337A"/>
    <w:rsid w:val="00A113DB"/>
    <w:rsid w:val="00A45642"/>
    <w:rsid w:val="00A87367"/>
    <w:rsid w:val="00AC0580"/>
    <w:rsid w:val="00AF307D"/>
    <w:rsid w:val="00B00D13"/>
    <w:rsid w:val="00B14EDD"/>
    <w:rsid w:val="00B2730F"/>
    <w:rsid w:val="00B27CC4"/>
    <w:rsid w:val="00B30715"/>
    <w:rsid w:val="00B822A7"/>
    <w:rsid w:val="00B92FB1"/>
    <w:rsid w:val="00BA3D93"/>
    <w:rsid w:val="00BD1F25"/>
    <w:rsid w:val="00C02C9F"/>
    <w:rsid w:val="00C040CF"/>
    <w:rsid w:val="00C44CFF"/>
    <w:rsid w:val="00C70583"/>
    <w:rsid w:val="00C77069"/>
    <w:rsid w:val="00CC2D91"/>
    <w:rsid w:val="00CE42B0"/>
    <w:rsid w:val="00D20FE2"/>
    <w:rsid w:val="00D2239A"/>
    <w:rsid w:val="00D244B0"/>
    <w:rsid w:val="00D340F2"/>
    <w:rsid w:val="00D36767"/>
    <w:rsid w:val="00D54A1B"/>
    <w:rsid w:val="00D634D2"/>
    <w:rsid w:val="00D66D50"/>
    <w:rsid w:val="00D77F63"/>
    <w:rsid w:val="00DB22BA"/>
    <w:rsid w:val="00DB7842"/>
    <w:rsid w:val="00DC379E"/>
    <w:rsid w:val="00DE431B"/>
    <w:rsid w:val="00DF615E"/>
    <w:rsid w:val="00DF77D3"/>
    <w:rsid w:val="00E1373A"/>
    <w:rsid w:val="00E42250"/>
    <w:rsid w:val="00E42846"/>
    <w:rsid w:val="00E914C0"/>
    <w:rsid w:val="00ED4218"/>
    <w:rsid w:val="00ED62E4"/>
    <w:rsid w:val="00EE3D85"/>
    <w:rsid w:val="00F000ED"/>
    <w:rsid w:val="00F122C8"/>
    <w:rsid w:val="00F144F6"/>
    <w:rsid w:val="00F24DE6"/>
    <w:rsid w:val="00F62DA1"/>
    <w:rsid w:val="00F663A6"/>
    <w:rsid w:val="00F976E4"/>
    <w:rsid w:val="00FB758C"/>
    <w:rsid w:val="00FC5AF3"/>
    <w:rsid w:val="00FD2DC9"/>
    <w:rsid w:val="00FF3833"/>
    <w:rsid w:val="47D2A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2937"/>
  <w15:chartTrackingRefBased/>
  <w15:docId w15:val="{69963427-BFC3-4181-A80A-A7DFA6EA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Normal" w:default="1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737A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C5AF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FC5AF3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C5AF3"/>
    <w:rPr>
      <w:vertAlign w:val="superscript"/>
    </w:rPr>
  </w:style>
  <w:style w:type="character" w:styleId="Mencinsinresolver">
    <w:name w:val="Unresolved Mention"/>
    <w:basedOn w:val="Fuentedeprrafopredeter"/>
    <w:uiPriority w:val="47"/>
    <w:rsid w:val="00FC5AF3"/>
    <w:rPr>
      <w:color w:val="605E5C"/>
      <w:shd w:val="clear" w:color="auto" w:fill="E1DFDD"/>
    </w:rPr>
  </w:style>
  <w:style w:type="paragraph" w:styleId="Revisin">
    <w:name w:val="Revision"/>
    <w:hidden/>
    <w:uiPriority w:val="71"/>
    <w:unhideWhenUsed/>
    <w:rsid w:val="001350F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E93D9-F34C-4793-A349-0B7948804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26A8F-51F8-42A6-89FB-7F8F6DABAE20}"/>
</file>

<file path=customXml/itemProps3.xml><?xml version="1.0" encoding="utf-8"?>
<ds:datastoreItem xmlns:ds="http://schemas.openxmlformats.org/officeDocument/2006/customXml" ds:itemID="{C83B8009-DD4D-4D41-854A-A36C2D77DA61}"/>
</file>

<file path=customXml/itemProps4.xml><?xml version="1.0" encoding="utf-8"?>
<ds:datastoreItem xmlns:ds="http://schemas.openxmlformats.org/officeDocument/2006/customXml" ds:itemID="{B0ABAB28-E92C-4C29-9F77-CC31BF9849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3</cp:revision>
  <cp:lastPrinted>2019-01-25T16:36:00Z</cp:lastPrinted>
  <dcterms:created xsi:type="dcterms:W3CDTF">2026-04-21T19:28:00Z</dcterms:created>
  <dcterms:modified xsi:type="dcterms:W3CDTF">2026-05-05T16:01:29Z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