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1034" w14:textId="77777777" w:rsidR="00144029" w:rsidRPr="00144029" w:rsidRDefault="00144029" w:rsidP="00144029">
      <w:pPr>
        <w:jc w:val="center"/>
        <w:rPr>
          <w:rFonts w:ascii="Verdana" w:hAnsi="Verdana"/>
          <w:sz w:val="22"/>
          <w:szCs w:val="22"/>
        </w:rPr>
      </w:pPr>
      <w:r w:rsidRPr="00144029">
        <w:rPr>
          <w:rFonts w:ascii="Verdana" w:hAnsi="Verdana"/>
          <w:b/>
          <w:bCs/>
          <w:sz w:val="22"/>
          <w:szCs w:val="22"/>
        </w:rPr>
        <w:t>CONCEPTO 10A DE 2018</w:t>
      </w:r>
    </w:p>
    <w:p w14:paraId="7BEA678A" w14:textId="49A9C1B5" w:rsidR="00144029" w:rsidRPr="00144029" w:rsidRDefault="00144029" w:rsidP="00144029">
      <w:pPr>
        <w:jc w:val="center"/>
        <w:rPr>
          <w:rFonts w:ascii="Verdana" w:hAnsi="Verdana"/>
          <w:sz w:val="22"/>
          <w:szCs w:val="22"/>
        </w:rPr>
      </w:pPr>
      <w:r w:rsidRPr="00144029">
        <w:rPr>
          <w:rFonts w:ascii="Verdana" w:hAnsi="Verdana"/>
          <w:sz w:val="22"/>
          <w:szCs w:val="22"/>
        </w:rPr>
        <w:t>(</w:t>
      </w:r>
      <w:r>
        <w:rPr>
          <w:rFonts w:ascii="Verdana" w:hAnsi="Verdana"/>
          <w:sz w:val="22"/>
          <w:szCs w:val="22"/>
        </w:rPr>
        <w:t xml:space="preserve">1 de </w:t>
      </w:r>
      <w:r w:rsidRPr="00144029">
        <w:rPr>
          <w:rFonts w:ascii="Verdana" w:hAnsi="Verdana"/>
          <w:sz w:val="22"/>
          <w:szCs w:val="22"/>
        </w:rPr>
        <w:t>marzo)</w:t>
      </w:r>
    </w:p>
    <w:p w14:paraId="27347618" w14:textId="77777777" w:rsidR="00144029" w:rsidRPr="00144029" w:rsidRDefault="00144029" w:rsidP="00144029">
      <w:pPr>
        <w:jc w:val="center"/>
        <w:rPr>
          <w:rFonts w:ascii="Verdana" w:hAnsi="Verdana"/>
          <w:sz w:val="22"/>
          <w:szCs w:val="22"/>
        </w:rPr>
      </w:pPr>
      <w:r w:rsidRPr="00144029">
        <w:rPr>
          <w:rFonts w:ascii="Verdana" w:hAnsi="Verdana"/>
          <w:b/>
          <w:bCs/>
          <w:sz w:val="22"/>
          <w:szCs w:val="22"/>
        </w:rPr>
        <w:t>INSTITUTO COLOMBIANO DE BIENESTAR FAMILIAR</w:t>
      </w:r>
    </w:p>
    <w:p w14:paraId="397E80F1" w14:textId="77777777" w:rsidR="00144029" w:rsidRDefault="00144029" w:rsidP="00144029">
      <w:pPr>
        <w:jc w:val="both"/>
        <w:rPr>
          <w:rFonts w:ascii="Verdana" w:hAnsi="Verdana"/>
          <w:sz w:val="22"/>
          <w:szCs w:val="22"/>
        </w:rPr>
      </w:pPr>
    </w:p>
    <w:p w14:paraId="5587FAFF" w14:textId="7DAEE46F" w:rsidR="00144029" w:rsidRPr="00144029" w:rsidRDefault="00144029" w:rsidP="00144029">
      <w:pPr>
        <w:jc w:val="both"/>
        <w:rPr>
          <w:rFonts w:ascii="Verdana" w:hAnsi="Verdana"/>
          <w:sz w:val="22"/>
          <w:szCs w:val="22"/>
        </w:rPr>
      </w:pPr>
      <w:r w:rsidRPr="00144029">
        <w:rPr>
          <w:rFonts w:ascii="Verdana" w:hAnsi="Verdana"/>
          <w:b/>
          <w:bCs/>
          <w:sz w:val="22"/>
          <w:szCs w:val="22"/>
        </w:rPr>
        <w:t>ASUNTO:</w:t>
      </w:r>
      <w:r w:rsidRPr="00144029">
        <w:rPr>
          <w:rFonts w:ascii="Verdana" w:hAnsi="Verdana"/>
          <w:sz w:val="22"/>
          <w:szCs w:val="22"/>
        </w:rPr>
        <w:t xml:space="preserve"> Solicitud de concepto con radicado No. 083579 de 20/02/2018</w:t>
      </w:r>
    </w:p>
    <w:p w14:paraId="5CB4F20F" w14:textId="68490C48" w:rsidR="00144029" w:rsidRPr="00144029" w:rsidRDefault="00144029" w:rsidP="00144029">
      <w:pPr>
        <w:jc w:val="both"/>
        <w:rPr>
          <w:rFonts w:ascii="Verdana" w:hAnsi="Verdana"/>
          <w:sz w:val="22"/>
          <w:szCs w:val="22"/>
        </w:rPr>
      </w:pPr>
      <w:r w:rsidRPr="00144029">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sobre el caso en cuestión, en los términos que siguen:</w:t>
      </w:r>
    </w:p>
    <w:p w14:paraId="24B71918"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1. PROBLEMA JURÍDICO</w:t>
      </w:r>
    </w:p>
    <w:p w14:paraId="1F4A79EC" w14:textId="567E53A8" w:rsidR="00144029" w:rsidRPr="00144029" w:rsidRDefault="00144029" w:rsidP="00144029">
      <w:pPr>
        <w:jc w:val="both"/>
        <w:rPr>
          <w:rFonts w:ascii="Verdana" w:hAnsi="Verdana"/>
          <w:sz w:val="22"/>
          <w:szCs w:val="22"/>
        </w:rPr>
      </w:pPr>
      <w:r w:rsidRPr="00144029">
        <w:rPr>
          <w:rFonts w:ascii="Verdana" w:hAnsi="Verdana"/>
          <w:sz w:val="22"/>
          <w:szCs w:val="22"/>
        </w:rPr>
        <w:t>Los usuarios de las Defensorías de Familia, dentro del Proceso de Restablecimiento de Derechos, ¿puedan asistir a las diligencias acompañadas de apoderado?</w:t>
      </w:r>
    </w:p>
    <w:p w14:paraId="0734222A"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2. ANÁLISIS DEL PROBLEMA JURÍDICO</w:t>
      </w:r>
    </w:p>
    <w:p w14:paraId="760F470C" w14:textId="77777777" w:rsidR="00144029" w:rsidRPr="00144029" w:rsidRDefault="00144029" w:rsidP="00144029">
      <w:pPr>
        <w:jc w:val="both"/>
        <w:rPr>
          <w:rFonts w:ascii="Verdana" w:hAnsi="Verdana"/>
          <w:sz w:val="22"/>
          <w:szCs w:val="22"/>
        </w:rPr>
      </w:pPr>
      <w:r w:rsidRPr="00144029">
        <w:rPr>
          <w:rFonts w:ascii="Verdana" w:hAnsi="Verdana"/>
          <w:sz w:val="22"/>
          <w:szCs w:val="22"/>
        </w:rPr>
        <w:t>Se abordará el tema analizando: 2.1 Naturaleza de la Defensoras de Familia; 2.2 El Proceso de Restablecimiento de Derechos y 2.3 Trámites de atención extraprocesales.</w:t>
      </w:r>
    </w:p>
    <w:p w14:paraId="4325947D"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2.1. Naturaleza eje las Defensorías de Familia</w:t>
      </w:r>
    </w:p>
    <w:p w14:paraId="13BE6671" w14:textId="30BD60E2" w:rsidR="00144029" w:rsidRPr="00144029" w:rsidRDefault="00144029" w:rsidP="00144029">
      <w:pPr>
        <w:jc w:val="both"/>
        <w:rPr>
          <w:rFonts w:ascii="Verdana" w:hAnsi="Verdana"/>
          <w:sz w:val="22"/>
          <w:szCs w:val="22"/>
        </w:rPr>
      </w:pPr>
      <w:r w:rsidRPr="00144029">
        <w:rPr>
          <w:rFonts w:ascii="Verdana" w:hAnsi="Verdana"/>
          <w:sz w:val="22"/>
          <w:szCs w:val="22"/>
        </w:rPr>
        <w:t>Con la promulgación de la Ley 1098 de 2006, Código de la Infancia y la Adolescencia, se transforma el concepto de “menor, en situación irregular” propio del Decreto 2737 de 1989 - Código del Menor-, a la doctrina de “la Protección integral de los niños, niñas y adolescentes como sujetos especiales de derechos".</w:t>
      </w:r>
    </w:p>
    <w:p w14:paraId="0A6CA72A" w14:textId="77777777" w:rsidR="00144029" w:rsidRPr="00144029" w:rsidRDefault="00144029" w:rsidP="00144029">
      <w:pPr>
        <w:jc w:val="both"/>
        <w:rPr>
          <w:rFonts w:ascii="Verdana" w:hAnsi="Verdana"/>
          <w:sz w:val="22"/>
          <w:szCs w:val="22"/>
        </w:rPr>
      </w:pPr>
      <w:r w:rsidRPr="00144029">
        <w:rPr>
          <w:rFonts w:ascii="Verdana" w:hAnsi="Verdana"/>
          <w:sz w:val="22"/>
          <w:szCs w:val="22"/>
        </w:rPr>
        <w:t>El cambio de concepto trajo consigo profundas transformaciones en el derecho de familia, infancia y adolescencia, uno de los más significativos fue entender que esta categoría de derecho no solo se cimienta en el componente jurídico,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0555ACE2" w14:textId="60CF1CE0" w:rsidR="00144029" w:rsidRPr="00144029" w:rsidRDefault="00144029" w:rsidP="00144029">
      <w:pPr>
        <w:jc w:val="both"/>
        <w:rPr>
          <w:rFonts w:ascii="Verdana" w:hAnsi="Verdana"/>
          <w:sz w:val="22"/>
          <w:szCs w:val="22"/>
        </w:rPr>
      </w:pPr>
      <w:r w:rsidRPr="00144029">
        <w:rPr>
          <w:rFonts w:ascii="Verdana" w:hAnsi="Verdana"/>
          <w:sz w:val="22"/>
          <w:szCs w:val="22"/>
        </w:rPr>
        <w:t xml:space="preserve">Las Defensorías de Familia son creadas por el Art 79 de la Ley 1098 de 2006, como dependencias del Instituto Colombiano de Bienestar Familiar, su naturaleza es interdisciplinaria, por cuanto está integrada por profesionales de diferentes </w:t>
      </w:r>
      <w:r w:rsidRPr="00144029">
        <w:rPr>
          <w:rFonts w:ascii="Verdana" w:hAnsi="Verdana"/>
          <w:sz w:val="22"/>
          <w:szCs w:val="22"/>
        </w:rPr>
        <w:lastRenderedPageBreak/>
        <w:t>áreas que como mínimo deberán contar con un psicólogo, un trabajador Social, un Nutricionista y un abogado quien será-el Defensor de Familia.</w:t>
      </w:r>
    </w:p>
    <w:p w14:paraId="42D61D8A" w14:textId="77777777" w:rsidR="00144029" w:rsidRPr="00144029" w:rsidRDefault="00144029" w:rsidP="00144029">
      <w:pPr>
        <w:jc w:val="both"/>
        <w:rPr>
          <w:rFonts w:ascii="Verdana" w:hAnsi="Verdana"/>
          <w:sz w:val="22"/>
          <w:szCs w:val="22"/>
        </w:rPr>
      </w:pPr>
      <w:r w:rsidRPr="00144029">
        <w:rPr>
          <w:rFonts w:ascii="Verdana" w:hAnsi="Verdana"/>
          <w:sz w:val="22"/>
          <w:szCs w:val="22"/>
        </w:rPr>
        <w:t>La función principal de la Defensoría de Familia es prevenir, garantizar y restablecer los derechos de los niños, niñas y adolescentes, por lo cual, sus conceptos emitidos tienen el carácter de dictamen pericial y sirven como material probatorio al Defensor de Familia en el Proceso Administrativo de Restablecimiento de Derechos, para definir la situación legal de los niños, niñas y adolescentes.</w:t>
      </w:r>
    </w:p>
    <w:p w14:paraId="2B37FCE5" w14:textId="77777777" w:rsidR="00144029" w:rsidRPr="00144029" w:rsidRDefault="00144029" w:rsidP="00144029">
      <w:pPr>
        <w:jc w:val="both"/>
        <w:rPr>
          <w:rFonts w:ascii="Verdana" w:hAnsi="Verdana"/>
          <w:sz w:val="22"/>
          <w:szCs w:val="22"/>
        </w:rPr>
      </w:pPr>
      <w:r w:rsidRPr="00144029">
        <w:rPr>
          <w:rFonts w:ascii="Verdana" w:hAnsi="Verdana"/>
          <w:sz w:val="22"/>
          <w:szCs w:val="22"/>
        </w:rPr>
        <w:t>Las funciones establecidas en la Ley de Infancia y Adolescencia, señalan que la atención a los niños, niñas y adolescentes debe realizarse de manera Integral como sujetos de derechos, no solo cuando éstos hayan sido vulnerados, sino también previendo esta circunstancia, todo en coordinación con los operadores jurídicos y ¡as personas llamadas a protegerlos en corresponsabilidad con la familia, la sociedad y el Estado, atendiendo el espíritu constitucional que armoniza con las normas internacionales consagradas a favor de la niñez, la infancia y la familia.</w:t>
      </w:r>
    </w:p>
    <w:p w14:paraId="1DED94CA" w14:textId="77777777" w:rsidR="00144029" w:rsidRPr="00144029" w:rsidRDefault="00144029" w:rsidP="00144029">
      <w:pPr>
        <w:jc w:val="both"/>
        <w:rPr>
          <w:rFonts w:ascii="Verdana" w:hAnsi="Verdana"/>
          <w:sz w:val="22"/>
          <w:szCs w:val="22"/>
        </w:rPr>
      </w:pPr>
      <w:r w:rsidRPr="00144029">
        <w:rPr>
          <w:rFonts w:ascii="Verdana" w:hAnsi="Verdana"/>
          <w:sz w:val="22"/>
          <w:szCs w:val="22"/>
        </w:rPr>
        <w:t>Por otro lado, la Defensoría de Familia cumple otro tipo de funciones legales, como son la de entrevistar a niños, niñas o adolescentes víctimas o testigos en procesos judiciales o rendir informes periciales cuando la autoridad judicial lo requiera, ya sea en el Sistema de Responsabilidad Penal para Adolescentes o en el Sistema Penal Acusatorio para adultos.</w:t>
      </w:r>
    </w:p>
    <w:p w14:paraId="3E71DAAE" w14:textId="77777777" w:rsidR="00144029" w:rsidRPr="00144029" w:rsidRDefault="00144029" w:rsidP="00144029">
      <w:pPr>
        <w:jc w:val="both"/>
        <w:rPr>
          <w:rFonts w:ascii="Verdana" w:hAnsi="Verdana"/>
          <w:sz w:val="22"/>
          <w:szCs w:val="22"/>
        </w:rPr>
      </w:pPr>
      <w:r w:rsidRPr="00144029">
        <w:rPr>
          <w:rFonts w:ascii="Verdana" w:hAnsi="Verdana"/>
          <w:sz w:val="22"/>
          <w:szCs w:val="22"/>
        </w:rPr>
        <w:t>Con todo lo anterior, es claro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defunciones que pueda hacer el ICBF a nivel Nacional o Regional para atender las necesidades de prestación del servicio, la protección de los derechos de los niños, niñas y adolescentes, debe atenderse siempre teniendo en cuenta los principios de interés superior y la prevalencia del derecho sustancial sobre el procedimental.</w:t>
      </w:r>
    </w:p>
    <w:p w14:paraId="30DF2220"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2.2. El Proceso de Restablecimiento de Derechos</w:t>
      </w:r>
    </w:p>
    <w:p w14:paraId="7B2CE217" w14:textId="77777777" w:rsidR="00144029" w:rsidRPr="00144029" w:rsidRDefault="00144029" w:rsidP="00144029">
      <w:pPr>
        <w:jc w:val="both"/>
        <w:rPr>
          <w:rFonts w:ascii="Verdana" w:hAnsi="Verdana"/>
          <w:sz w:val="22"/>
          <w:szCs w:val="22"/>
        </w:rPr>
      </w:pPr>
      <w:r w:rsidRPr="00144029">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 o amenazados.</w:t>
      </w:r>
    </w:p>
    <w:p w14:paraId="03EA7C9A" w14:textId="571032C4" w:rsidR="00144029" w:rsidRPr="00144029" w:rsidRDefault="00144029" w:rsidP="00144029">
      <w:pPr>
        <w:jc w:val="both"/>
        <w:rPr>
          <w:rFonts w:ascii="Verdana" w:hAnsi="Verdana"/>
          <w:sz w:val="22"/>
          <w:szCs w:val="22"/>
        </w:rPr>
      </w:pPr>
      <w:r w:rsidRPr="00144029">
        <w:rPr>
          <w:rFonts w:ascii="Verdana" w:hAnsi="Verdana"/>
          <w:sz w:val="22"/>
          <w:szCs w:val="22"/>
        </w:rPr>
        <w:t xml:space="preserve">Por su parte, el Lineamiento Técnico de Ruta de actuaciones para el Restablecimiento de Derechos de niños, niñas y adolescentes con sus derechos </w:t>
      </w:r>
      <w:r w:rsidRPr="00144029">
        <w:rPr>
          <w:rFonts w:ascii="Verdana" w:hAnsi="Verdana"/>
          <w:sz w:val="22"/>
          <w:szCs w:val="22"/>
        </w:rPr>
        <w:lastRenderedPageBreak/>
        <w:t>inobservados, amenazados o Vulnerados, aprobado por la Resolución No. 1526 de 23 de febrero de 2016, modificada mediante Resolución No. 7547 de julio 29 de 2016, define el Proceso de Restablecimiento de Derechos como, "El conjunto de actuaciones administrativas y judiciales que deben desarrollarse para la restauración de los derechos de los niños, las niñas y adolescentes que han sido vulnerados, amenazados o inobservados. Dicho proceso constituye un instrumento fundamental para la realización de los mandatos constitucionales y para la operatividad del Código de la Infancia y la Adolescencia”.</w:t>
      </w:r>
    </w:p>
    <w:p w14:paraId="55BAD751" w14:textId="0322F3F8" w:rsidR="00144029" w:rsidRPr="00144029" w:rsidRDefault="00144029" w:rsidP="00144029">
      <w:pPr>
        <w:jc w:val="both"/>
        <w:rPr>
          <w:rFonts w:ascii="Verdana" w:hAnsi="Verdana"/>
          <w:sz w:val="22"/>
          <w:szCs w:val="22"/>
        </w:rPr>
      </w:pPr>
      <w:r w:rsidRPr="00144029">
        <w:rPr>
          <w:rFonts w:ascii="Verdana" w:hAnsi="Verdana"/>
          <w:sz w:val="22"/>
          <w:szCs w:val="22"/>
        </w:rPr>
        <w:t>En efecto, en dicho ordenamiento se establecen normas sustantivas y procesales de naturaleza especial y que responden al interés superior de los sujetos de derechos que pretende proteger, y en todo caso, está sujeto a las normas generales y superiores de respeto al debido proceso, tal como lo ha manifestado la Corte Constitucional en sentencia T-768/13:</w:t>
      </w:r>
    </w:p>
    <w:p w14:paraId="7BE3212E" w14:textId="70267F82" w:rsidR="00144029" w:rsidRPr="00144029" w:rsidRDefault="00144029" w:rsidP="00144029">
      <w:pPr>
        <w:jc w:val="both"/>
        <w:rPr>
          <w:rFonts w:ascii="Verdana" w:hAnsi="Verdana"/>
          <w:sz w:val="22"/>
          <w:szCs w:val="22"/>
        </w:rPr>
      </w:pPr>
      <w:r w:rsidRPr="00144029">
        <w:rPr>
          <w:rFonts w:ascii="Verdana" w:hAnsi="Verdana"/>
          <w:sz w:val="22"/>
          <w:szCs w:val="22"/>
        </w:rPr>
        <w:t>"En consonancia con lo anterior, es necesario señalar que el respeto a las garantías sustanciales y procesales qué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144029">
        <w:rPr>
          <w:rFonts w:ascii="Verdana" w:hAnsi="Verdana"/>
          <w:sz w:val="22"/>
          <w:szCs w:val="22"/>
        </w:rPr>
        <w:t>ibídem</w:t>
      </w:r>
      <w:proofErr w:type="spellEnd"/>
      <w:r w:rsidRPr="00144029">
        <w:rPr>
          <w:rFonts w:ascii="Verdana" w:hAnsi="Verdana"/>
          <w:sz w:val="22"/>
          <w:szCs w:val="22"/>
        </w:rPr>
        <w:t>”.</w:t>
      </w:r>
    </w:p>
    <w:p w14:paraId="537CCAFC" w14:textId="77777777" w:rsidR="00144029" w:rsidRPr="00144029" w:rsidRDefault="00144029" w:rsidP="00144029">
      <w:pPr>
        <w:jc w:val="both"/>
        <w:rPr>
          <w:rFonts w:ascii="Verdana" w:hAnsi="Verdana"/>
          <w:sz w:val="22"/>
          <w:szCs w:val="22"/>
        </w:rPr>
      </w:pPr>
      <w:r w:rsidRPr="00144029">
        <w:rPr>
          <w:rFonts w:ascii="Verdana" w:hAnsi="Verdana"/>
          <w:sz w:val="22"/>
          <w:szCs w:val="22"/>
        </w:rPr>
        <w:t>Entonces, el proceso de restablecimiento, de derechos es definido como un trámite administrativo que debe ceñirse a los postulados constitucionales y legales que orientan el derecho fundamental al debido proceso, así mismo, se encuentra compuesto por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75840753" w14:textId="77777777" w:rsidR="00144029" w:rsidRPr="00144029" w:rsidRDefault="00144029" w:rsidP="00144029">
      <w:pPr>
        <w:jc w:val="both"/>
        <w:rPr>
          <w:rFonts w:ascii="Verdana" w:hAnsi="Verdana"/>
          <w:sz w:val="22"/>
          <w:szCs w:val="22"/>
        </w:rPr>
      </w:pPr>
      <w:r w:rsidRPr="00144029">
        <w:rPr>
          <w:rFonts w:ascii="Verdana" w:hAnsi="Verdana"/>
          <w:sz w:val="22"/>
          <w:szCs w:val="22"/>
        </w:rPr>
        <w:t xml:space="preserve">Como puede verse, el PARD, es un auténtico proceso garantista y respetuoso tanto de los derechos de los niños, niñas y adolescentes como de las demás partes, padres, familiares e intervinientes, y el Defensor de Familia es la </w:t>
      </w:r>
      <w:r w:rsidRPr="00144029">
        <w:rPr>
          <w:rFonts w:ascii="Verdana" w:hAnsi="Verdana"/>
          <w:sz w:val="22"/>
          <w:szCs w:val="22"/>
        </w:rPr>
        <w:lastRenderedPageBreak/>
        <w:t>autoridad competente llamada a materializar dichas garantías y a promover la lealtad, probidad y buena fe que deben observarse en éste.</w:t>
      </w:r>
    </w:p>
    <w:p w14:paraId="6519FCED"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2.3. Trámites de atención extraprocesales</w:t>
      </w:r>
    </w:p>
    <w:p w14:paraId="31090104" w14:textId="77777777" w:rsidR="00144029" w:rsidRPr="00144029" w:rsidRDefault="00144029" w:rsidP="00144029">
      <w:pPr>
        <w:jc w:val="both"/>
        <w:rPr>
          <w:rFonts w:ascii="Verdana" w:hAnsi="Verdana"/>
          <w:sz w:val="22"/>
          <w:szCs w:val="22"/>
        </w:rPr>
      </w:pPr>
      <w:r w:rsidRPr="00144029">
        <w:rPr>
          <w:rFonts w:ascii="Verdana" w:hAnsi="Verdana"/>
          <w:sz w:val="22"/>
          <w:szCs w:val="22"/>
        </w:rPr>
        <w:t>Hay algunos trámites denominados “Trámites de atención extraprocesal”, que, de acuerdo con el Lineamiento Técnico de Ruta de actuaciones para el Restablecimiento de Derechos de Niños, Niñas y Adolescentes con sus derechos inobservados, amenazados o vulnerados, son aquellos en los que se llevan a cabo actuaciones por fuera de un Proceso Administrativo de Restablecimiento de Derechos, sin perjuicio de que, si en el curso del trámite que se desarrolla, se evidencian situaciones de inobservancia, amenaza o vulneración de derechos, luego de la verificación del estado de cumplimiento de los derechos del niño, niña o adolescente, se proceda a dar apertura del Proceso Administrativo de Restablecimiento de Derechos que corresponde.</w:t>
      </w:r>
    </w:p>
    <w:p w14:paraId="4178C607" w14:textId="69777EB4" w:rsidR="00144029" w:rsidRPr="00144029" w:rsidRDefault="00144029" w:rsidP="00144029">
      <w:pPr>
        <w:jc w:val="both"/>
        <w:rPr>
          <w:rFonts w:ascii="Verdana" w:hAnsi="Verdana"/>
          <w:sz w:val="22"/>
          <w:szCs w:val="22"/>
        </w:rPr>
      </w:pPr>
      <w:r w:rsidRPr="00144029">
        <w:rPr>
          <w:rFonts w:ascii="Verdana" w:hAnsi="Verdana"/>
          <w:sz w:val="22"/>
          <w:szCs w:val="22"/>
        </w:rPr>
        <w:t>Estos trámites son, el de conciliación por fuera del proceso Administrativo de Restablecimiento de Derechos, caso que se presenta cuando ante la autoridad competente se realiza una solicitud extraprocesal relacionada con asuntos que son de naturaleza conciliable en materia de familia, evento en el cual deberá atenderse e! requerimiento, sin que sea necesario abrirán Proceso de Restablecimiento de Derechos y de conformidad con lo dispuesto por la Ley 640 de 2001; igualmente podemos mencionar dentro de estos trámites, el de la solicitud de prueba de ADN que haga el presunto padre, el trámite de solicitud de demandas, el trámite para la salida del país, y el Trámite de Restablecimiento Internacional de Derechos.</w:t>
      </w:r>
    </w:p>
    <w:p w14:paraId="5151D0A3" w14:textId="77777777" w:rsidR="00144029" w:rsidRPr="00144029" w:rsidRDefault="00144029" w:rsidP="00144029">
      <w:pPr>
        <w:jc w:val="both"/>
        <w:rPr>
          <w:rFonts w:ascii="Verdana" w:hAnsi="Verdana"/>
          <w:sz w:val="22"/>
          <w:szCs w:val="22"/>
        </w:rPr>
      </w:pPr>
      <w:r w:rsidRPr="00144029">
        <w:rPr>
          <w:rFonts w:ascii="Verdana" w:hAnsi="Verdana"/>
          <w:sz w:val="22"/>
          <w:szCs w:val="22"/>
        </w:rPr>
        <w:t xml:space="preserve">Es de recordar en este punto, </w:t>
      </w:r>
      <w:proofErr w:type="gramStart"/>
      <w:r w:rsidRPr="00144029">
        <w:rPr>
          <w:rFonts w:ascii="Verdana" w:hAnsi="Verdana"/>
          <w:sz w:val="22"/>
          <w:szCs w:val="22"/>
        </w:rPr>
        <w:t>que</w:t>
      </w:r>
      <w:proofErr w:type="gramEnd"/>
      <w:r w:rsidRPr="00144029">
        <w:rPr>
          <w:rFonts w:ascii="Verdana" w:hAnsi="Verdana"/>
          <w:sz w:val="22"/>
          <w:szCs w:val="22"/>
        </w:rPr>
        <w:t xml:space="preserve"> en el desarrollo de estos trámites, la autoridad administrativa competente, tal como arriba se describió, deberá también atender las garantías y principios constitucionales y legales que orientan el principio del debido proceso todo en aplicación del principio del interés superior de los niños, niñas y adolescentes.</w:t>
      </w:r>
    </w:p>
    <w:p w14:paraId="4ABDCBBD"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3. CONCLUSIONES</w:t>
      </w:r>
    </w:p>
    <w:p w14:paraId="6E3DF949" w14:textId="77777777" w:rsidR="00144029" w:rsidRPr="00144029" w:rsidRDefault="00144029" w:rsidP="00144029">
      <w:pPr>
        <w:jc w:val="both"/>
        <w:rPr>
          <w:rFonts w:ascii="Verdana" w:hAnsi="Verdana"/>
          <w:sz w:val="22"/>
          <w:szCs w:val="22"/>
        </w:rPr>
      </w:pPr>
      <w:r w:rsidRPr="00144029">
        <w:rPr>
          <w:rFonts w:ascii="Verdana" w:hAnsi="Verdana"/>
          <w:sz w:val="22"/>
          <w:szCs w:val="22"/>
        </w:rPr>
        <w:t>De acuerdo con las consideraciones de orden legal expuestas, se puede concluirlo siguiente:</w:t>
      </w:r>
    </w:p>
    <w:p w14:paraId="5A914760"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Primero</w:t>
      </w:r>
      <w:r w:rsidRPr="00144029">
        <w:rPr>
          <w:rFonts w:ascii="Verdana" w:hAnsi="Verdana"/>
          <w:sz w:val="22"/>
          <w:szCs w:val="22"/>
        </w:rPr>
        <w:t>. El Proceso de Restablecimiento de Derechos es el conjunto de actuaciones que la autoridad administrativa competente debe desarrollar para lograr la restauración de los derechos de los niños, niñas y adolescentes, que han sido vulnerados o amenazados.</w:t>
      </w:r>
    </w:p>
    <w:p w14:paraId="126C1069"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Segundo</w:t>
      </w:r>
      <w:r w:rsidRPr="00144029">
        <w:rPr>
          <w:rFonts w:ascii="Verdana" w:hAnsi="Verdana"/>
          <w:sz w:val="22"/>
          <w:szCs w:val="22"/>
        </w:rPr>
        <w:t xml:space="preserve">. Tanto en el Proceso de Restablecimiento de Derechos, como en los trámites de actuación extraprocesal, deberá atenerse siempre a los postulados </w:t>
      </w:r>
      <w:r w:rsidRPr="00144029">
        <w:rPr>
          <w:rFonts w:ascii="Verdana" w:hAnsi="Verdana"/>
          <w:sz w:val="22"/>
          <w:szCs w:val="22"/>
        </w:rPr>
        <w:lastRenderedPageBreak/>
        <w:t>constitucionales y locales que integran el derecho fundamental al debido proceso, a partir del cual las partes involucradas tiene la facultad y el derecho de participar activamente en todas ellas, solicitando pruebas controvirtiéndolas e interponiendo los recursos que la Ley ha determinado contra las decisiones adoptadas.</w:t>
      </w:r>
    </w:p>
    <w:p w14:paraId="56BE3A26" w14:textId="77777777" w:rsidR="00144029" w:rsidRPr="00144029" w:rsidRDefault="00144029" w:rsidP="00144029">
      <w:pPr>
        <w:jc w:val="both"/>
        <w:rPr>
          <w:rFonts w:ascii="Verdana" w:hAnsi="Verdana"/>
          <w:sz w:val="22"/>
          <w:szCs w:val="22"/>
        </w:rPr>
      </w:pPr>
      <w:r w:rsidRPr="00144029">
        <w:rPr>
          <w:rFonts w:ascii="Verdana" w:hAnsi="Verdana"/>
          <w:b/>
          <w:bCs/>
          <w:sz w:val="22"/>
          <w:szCs w:val="22"/>
        </w:rPr>
        <w:t>Tercero</w:t>
      </w:r>
      <w:r w:rsidRPr="00144029">
        <w:rPr>
          <w:rFonts w:ascii="Verdana" w:hAnsi="Verdana"/>
          <w:sz w:val="22"/>
          <w:szCs w:val="22"/>
        </w:rPr>
        <w:t xml:space="preserve">. Así las cosas, en acatamiento de las normas constitucionales y legales, las partes dentro de un Proceso de Restablecimiento de Derechos, para ejercer su defensa en todas las instancias </w:t>
      </w:r>
      <w:proofErr w:type="gramStart"/>
      <w:r w:rsidRPr="00144029">
        <w:rPr>
          <w:rFonts w:ascii="Verdana" w:hAnsi="Verdana"/>
          <w:sz w:val="22"/>
          <w:szCs w:val="22"/>
        </w:rPr>
        <w:t>del mismo</w:t>
      </w:r>
      <w:proofErr w:type="gramEnd"/>
      <w:r w:rsidRPr="00144029">
        <w:rPr>
          <w:rFonts w:ascii="Verdana" w:hAnsi="Verdana"/>
          <w:sz w:val="22"/>
          <w:szCs w:val="22"/>
        </w:rPr>
        <w:t>, podrán participar directamente o con la compañía de su apoderado, siempre respetando las reglas específicas que para el buen desarrollo de las audiencias se hayan previsto por la autoridad competente.</w:t>
      </w:r>
    </w:p>
    <w:p w14:paraId="5AC9B1DF" w14:textId="69CB552F" w:rsidR="00144029" w:rsidRPr="00144029" w:rsidRDefault="00144029" w:rsidP="00144029">
      <w:pPr>
        <w:jc w:val="both"/>
        <w:rPr>
          <w:rFonts w:ascii="Verdana" w:hAnsi="Verdana"/>
          <w:sz w:val="22"/>
          <w:szCs w:val="22"/>
        </w:rPr>
      </w:pPr>
      <w:r w:rsidRPr="00144029">
        <w:rPr>
          <w:rFonts w:ascii="Verdana" w:hAnsi="Verdana"/>
          <w:sz w:val="22"/>
          <w:szCs w:val="22"/>
        </w:rPr>
        <w:t xml:space="preserve">El presente concepto no es de obligatorio cumplimiento o ejecución para particulares o agentes externos, de Conformidad con lo establecido en el artículo 28 de la Ley 1437 de 2011, Código de Procedimiento Administrativo y de lo Contencioso Administrativo. No </w:t>
      </w:r>
      <w:r w:rsidRPr="00144029">
        <w:rPr>
          <w:rFonts w:ascii="Verdana" w:hAnsi="Verdana"/>
          <w:sz w:val="22"/>
          <w:szCs w:val="22"/>
        </w:rPr>
        <w:t>obstante,</w:t>
      </w:r>
      <w:r w:rsidRPr="0014402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6B9B1B3" w14:textId="77777777" w:rsidR="00144029" w:rsidRPr="00144029" w:rsidRDefault="00144029" w:rsidP="00144029">
      <w:pPr>
        <w:jc w:val="both"/>
        <w:rPr>
          <w:rFonts w:ascii="Verdana" w:hAnsi="Verdana"/>
          <w:sz w:val="22"/>
          <w:szCs w:val="22"/>
        </w:rPr>
      </w:pPr>
      <w:r w:rsidRPr="00144029">
        <w:rPr>
          <w:rFonts w:ascii="Verdana" w:hAnsi="Verdana"/>
          <w:sz w:val="22"/>
          <w:szCs w:val="22"/>
        </w:rPr>
        <w:t>Cordialmente,</w:t>
      </w:r>
    </w:p>
    <w:p w14:paraId="1CE2D2E8" w14:textId="3A4E12FF" w:rsidR="00144029" w:rsidRPr="00144029" w:rsidRDefault="00144029" w:rsidP="00144029">
      <w:pPr>
        <w:jc w:val="center"/>
        <w:rPr>
          <w:rFonts w:ascii="Verdana" w:hAnsi="Verdana"/>
          <w:sz w:val="22"/>
          <w:szCs w:val="22"/>
        </w:rPr>
      </w:pPr>
      <w:r w:rsidRPr="00144029">
        <w:rPr>
          <w:rFonts w:ascii="Verdana" w:hAnsi="Verdana"/>
          <w:b/>
          <w:bCs/>
          <w:sz w:val="22"/>
          <w:szCs w:val="22"/>
        </w:rPr>
        <w:t>LUZ KARIME FERNANDEZ CASTILLO</w:t>
      </w:r>
    </w:p>
    <w:p w14:paraId="44C1CE92" w14:textId="687159B3" w:rsidR="00144029" w:rsidRPr="00144029" w:rsidRDefault="00144029" w:rsidP="00144029">
      <w:pPr>
        <w:jc w:val="center"/>
        <w:rPr>
          <w:rFonts w:ascii="Verdana" w:hAnsi="Verdana"/>
          <w:sz w:val="22"/>
          <w:szCs w:val="22"/>
        </w:rPr>
      </w:pPr>
      <w:r w:rsidRPr="00144029">
        <w:rPr>
          <w:rFonts w:ascii="Verdana" w:hAnsi="Verdana"/>
          <w:sz w:val="22"/>
          <w:szCs w:val="22"/>
        </w:rPr>
        <w:t>JEFE OFICINA ASESORA JURÍDICA</w:t>
      </w:r>
    </w:p>
    <w:p w14:paraId="42ADCC0B" w14:textId="77777777" w:rsidR="00A724C4" w:rsidRPr="00144029" w:rsidRDefault="00A724C4" w:rsidP="00144029">
      <w:pPr>
        <w:jc w:val="both"/>
        <w:rPr>
          <w:rFonts w:ascii="Verdana" w:hAnsi="Verdana"/>
          <w:sz w:val="22"/>
          <w:szCs w:val="22"/>
        </w:rPr>
      </w:pPr>
    </w:p>
    <w:sectPr w:rsidR="00A724C4" w:rsidRPr="001440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0D"/>
    <w:rsid w:val="00025A90"/>
    <w:rsid w:val="00144029"/>
    <w:rsid w:val="00243CB4"/>
    <w:rsid w:val="0079750D"/>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AB29"/>
  <w15:chartTrackingRefBased/>
  <w15:docId w15:val="{3B2C01DA-0BE4-4930-9097-4F4194DF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7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5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5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5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5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5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5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5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5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75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75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75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75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75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75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75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750D"/>
    <w:rPr>
      <w:rFonts w:eastAsiaTheme="majorEastAsia" w:cstheme="majorBidi"/>
      <w:color w:val="272727" w:themeColor="text1" w:themeTint="D8"/>
    </w:rPr>
  </w:style>
  <w:style w:type="paragraph" w:styleId="Ttulo">
    <w:name w:val="Title"/>
    <w:basedOn w:val="Normal"/>
    <w:next w:val="Normal"/>
    <w:link w:val="TtuloCar"/>
    <w:uiPriority w:val="10"/>
    <w:qFormat/>
    <w:rsid w:val="00797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5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75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5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750D"/>
    <w:pPr>
      <w:spacing w:before="160"/>
      <w:jc w:val="center"/>
    </w:pPr>
    <w:rPr>
      <w:i/>
      <w:iCs/>
      <w:color w:val="404040" w:themeColor="text1" w:themeTint="BF"/>
    </w:rPr>
  </w:style>
  <w:style w:type="character" w:customStyle="1" w:styleId="CitaCar">
    <w:name w:val="Cita Car"/>
    <w:basedOn w:val="Fuentedeprrafopredeter"/>
    <w:link w:val="Cita"/>
    <w:uiPriority w:val="29"/>
    <w:rsid w:val="0079750D"/>
    <w:rPr>
      <w:i/>
      <w:iCs/>
      <w:color w:val="404040" w:themeColor="text1" w:themeTint="BF"/>
    </w:rPr>
  </w:style>
  <w:style w:type="paragraph" w:styleId="Prrafodelista">
    <w:name w:val="List Paragraph"/>
    <w:basedOn w:val="Normal"/>
    <w:uiPriority w:val="34"/>
    <w:qFormat/>
    <w:rsid w:val="0079750D"/>
    <w:pPr>
      <w:ind w:left="720"/>
      <w:contextualSpacing/>
    </w:pPr>
  </w:style>
  <w:style w:type="character" w:styleId="nfasisintenso">
    <w:name w:val="Intense Emphasis"/>
    <w:basedOn w:val="Fuentedeprrafopredeter"/>
    <w:uiPriority w:val="21"/>
    <w:qFormat/>
    <w:rsid w:val="0079750D"/>
    <w:rPr>
      <w:i/>
      <w:iCs/>
      <w:color w:val="0F4761" w:themeColor="accent1" w:themeShade="BF"/>
    </w:rPr>
  </w:style>
  <w:style w:type="paragraph" w:styleId="Citadestacada">
    <w:name w:val="Intense Quote"/>
    <w:basedOn w:val="Normal"/>
    <w:next w:val="Normal"/>
    <w:link w:val="CitadestacadaCar"/>
    <w:uiPriority w:val="30"/>
    <w:qFormat/>
    <w:rsid w:val="00797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50D"/>
    <w:rPr>
      <w:i/>
      <w:iCs/>
      <w:color w:val="0F4761" w:themeColor="accent1" w:themeShade="BF"/>
    </w:rPr>
  </w:style>
  <w:style w:type="character" w:styleId="Referenciaintensa">
    <w:name w:val="Intense Reference"/>
    <w:basedOn w:val="Fuentedeprrafopredeter"/>
    <w:uiPriority w:val="32"/>
    <w:qFormat/>
    <w:rsid w:val="0079750D"/>
    <w:rPr>
      <w:b/>
      <w:bCs/>
      <w:smallCaps/>
      <w:color w:val="0F4761" w:themeColor="accent1" w:themeShade="BF"/>
      <w:spacing w:val="5"/>
    </w:rPr>
  </w:style>
  <w:style w:type="character" w:styleId="Hipervnculo">
    <w:name w:val="Hyperlink"/>
    <w:basedOn w:val="Fuentedeprrafopredeter"/>
    <w:uiPriority w:val="99"/>
    <w:unhideWhenUsed/>
    <w:rsid w:val="00144029"/>
    <w:rPr>
      <w:color w:val="467886" w:themeColor="hyperlink"/>
      <w:u w:val="single"/>
    </w:rPr>
  </w:style>
  <w:style w:type="character" w:styleId="Mencinsinresolver">
    <w:name w:val="Unresolved Mention"/>
    <w:basedOn w:val="Fuentedeprrafopredeter"/>
    <w:uiPriority w:val="99"/>
    <w:semiHidden/>
    <w:unhideWhenUsed/>
    <w:rsid w:val="00144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65AEC-6F94-410D-8B0B-B4CDCDE01512}"/>
</file>

<file path=customXml/itemProps2.xml><?xml version="1.0" encoding="utf-8"?>
<ds:datastoreItem xmlns:ds="http://schemas.openxmlformats.org/officeDocument/2006/customXml" ds:itemID="{4BBFEF90-3BFE-4A90-A5BA-71BD1E44D454}"/>
</file>

<file path=customXml/itemProps3.xml><?xml version="1.0" encoding="utf-8"?>
<ds:datastoreItem xmlns:ds="http://schemas.openxmlformats.org/officeDocument/2006/customXml" ds:itemID="{E6ABB595-FD6A-4C78-9C12-C3AD6BBB5FB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9785</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2026-05-01T02:13:00Z</dcterms:created>
  <dcterms:modified xsi:type="dcterms:W3CDTF">2026-05-01T02:14:00Z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