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516D" w14:textId="77777777" w:rsidR="007A22E7" w:rsidRPr="007A22E7" w:rsidRDefault="007A22E7" w:rsidP="007A22E7">
      <w:pPr>
        <w:jc w:val="center"/>
        <w:rPr>
          <w:rFonts w:ascii="Verdana" w:hAnsi="Verdana"/>
          <w:sz w:val="22"/>
          <w:szCs w:val="22"/>
        </w:rPr>
      </w:pPr>
      <w:r w:rsidRPr="007A22E7">
        <w:rPr>
          <w:rFonts w:ascii="Verdana" w:hAnsi="Verdana"/>
          <w:b/>
          <w:bCs/>
          <w:sz w:val="22"/>
          <w:szCs w:val="22"/>
        </w:rPr>
        <w:t>CONCEPTO 100 DE 2016</w:t>
      </w:r>
    </w:p>
    <w:p w14:paraId="2302B65D" w14:textId="77777777" w:rsidR="007A22E7" w:rsidRPr="007A22E7" w:rsidRDefault="007A22E7" w:rsidP="007A22E7">
      <w:pPr>
        <w:jc w:val="center"/>
        <w:rPr>
          <w:rFonts w:ascii="Verdana" w:hAnsi="Verdana"/>
          <w:sz w:val="22"/>
          <w:szCs w:val="22"/>
        </w:rPr>
      </w:pPr>
      <w:r w:rsidRPr="007A22E7">
        <w:rPr>
          <w:rFonts w:ascii="Verdana" w:hAnsi="Verdana"/>
          <w:sz w:val="22"/>
          <w:szCs w:val="22"/>
        </w:rPr>
        <w:t>(septiembre 5)</w:t>
      </w:r>
    </w:p>
    <w:p w14:paraId="331B2EFB" w14:textId="77777777" w:rsidR="007A22E7" w:rsidRPr="007A22E7" w:rsidRDefault="007A22E7" w:rsidP="007A22E7">
      <w:pPr>
        <w:jc w:val="center"/>
        <w:rPr>
          <w:rFonts w:ascii="Verdana" w:hAnsi="Verdana"/>
          <w:sz w:val="22"/>
          <w:szCs w:val="22"/>
        </w:rPr>
      </w:pPr>
      <w:r w:rsidRPr="007A22E7">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9"/>
        <w:gridCol w:w="7399"/>
      </w:tblGrid>
      <w:tr w:rsidR="007A22E7" w:rsidRPr="007A22E7" w14:paraId="229D49FD" w14:textId="77777777" w:rsidTr="007A22E7">
        <w:trPr>
          <w:tblCellSpacing w:w="15" w:type="dxa"/>
        </w:trPr>
        <w:tc>
          <w:tcPr>
            <w:tcW w:w="792" w:type="pct"/>
            <w:tcBorders>
              <w:top w:val="nil"/>
              <w:left w:val="nil"/>
              <w:bottom w:val="nil"/>
              <w:right w:val="nil"/>
            </w:tcBorders>
            <w:tcMar>
              <w:top w:w="0" w:type="dxa"/>
              <w:left w:w="0" w:type="dxa"/>
              <w:bottom w:w="0" w:type="dxa"/>
              <w:right w:w="0" w:type="dxa"/>
            </w:tcMar>
            <w:hideMark/>
          </w:tcPr>
          <w:p w14:paraId="4FFF7652" w14:textId="77777777" w:rsidR="007A22E7" w:rsidRPr="007A22E7" w:rsidRDefault="007A22E7" w:rsidP="007A22E7">
            <w:pPr>
              <w:jc w:val="both"/>
              <w:rPr>
                <w:rFonts w:ascii="Verdana" w:hAnsi="Verdana"/>
                <w:sz w:val="22"/>
                <w:szCs w:val="22"/>
              </w:rPr>
            </w:pPr>
            <w:r w:rsidRPr="007A22E7">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166B04A1" w14:textId="77777777" w:rsidR="007A22E7" w:rsidRPr="007A22E7" w:rsidRDefault="007A22E7" w:rsidP="007A22E7">
            <w:pPr>
              <w:jc w:val="both"/>
              <w:rPr>
                <w:rFonts w:ascii="Verdana" w:hAnsi="Verdana"/>
                <w:sz w:val="22"/>
                <w:szCs w:val="22"/>
              </w:rPr>
            </w:pPr>
            <w:r w:rsidRPr="007A22E7">
              <w:rPr>
                <w:rFonts w:ascii="Verdana" w:hAnsi="Verdana"/>
                <w:sz w:val="22"/>
                <w:szCs w:val="22"/>
              </w:rPr>
              <w:t>Coordinador - Grupo Jurídico</w:t>
            </w:r>
          </w:p>
        </w:tc>
      </w:tr>
      <w:tr w:rsidR="007A22E7" w:rsidRPr="007A22E7" w14:paraId="472993DB" w14:textId="77777777" w:rsidTr="007A22E7">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072C3CEA" w14:textId="77777777" w:rsidR="007A22E7" w:rsidRPr="007A22E7" w:rsidRDefault="007A22E7" w:rsidP="007A22E7">
            <w:pPr>
              <w:jc w:val="both"/>
              <w:rPr>
                <w:rFonts w:ascii="Verdana" w:hAnsi="Verdana"/>
                <w:sz w:val="22"/>
                <w:szCs w:val="22"/>
              </w:rPr>
            </w:pPr>
            <w:r w:rsidRPr="007A22E7">
              <w:rPr>
                <w:rFonts w:ascii="Verdana" w:hAnsi="Verdana"/>
                <w:sz w:val="22"/>
                <w:szCs w:val="22"/>
              </w:rPr>
              <w:t>Regional ICBF - Caquetá</w:t>
            </w:r>
          </w:p>
        </w:tc>
      </w:tr>
      <w:tr w:rsidR="007A22E7" w:rsidRPr="007A22E7" w14:paraId="2D7C0726" w14:textId="77777777" w:rsidTr="007A22E7">
        <w:trPr>
          <w:tblCellSpacing w:w="15" w:type="dxa"/>
        </w:trPr>
        <w:tc>
          <w:tcPr>
            <w:tcW w:w="792" w:type="pct"/>
            <w:tcBorders>
              <w:top w:val="nil"/>
              <w:left w:val="nil"/>
              <w:bottom w:val="nil"/>
              <w:right w:val="nil"/>
            </w:tcBorders>
            <w:tcMar>
              <w:top w:w="0" w:type="dxa"/>
              <w:left w:w="0" w:type="dxa"/>
              <w:bottom w:w="0" w:type="dxa"/>
              <w:right w:w="0" w:type="dxa"/>
            </w:tcMar>
            <w:hideMark/>
          </w:tcPr>
          <w:p w14:paraId="211A10E7" w14:textId="77777777" w:rsidR="007A22E7" w:rsidRPr="007A22E7" w:rsidRDefault="007A22E7" w:rsidP="007A22E7">
            <w:pPr>
              <w:jc w:val="both"/>
              <w:rPr>
                <w:rFonts w:ascii="Verdana" w:hAnsi="Verdana"/>
                <w:sz w:val="22"/>
                <w:szCs w:val="22"/>
              </w:rPr>
            </w:pPr>
            <w:r w:rsidRPr="007A22E7">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00072751" w14:textId="77777777" w:rsidR="007A22E7" w:rsidRPr="007A22E7" w:rsidRDefault="007A22E7" w:rsidP="007A22E7">
            <w:pPr>
              <w:jc w:val="both"/>
              <w:rPr>
                <w:rFonts w:ascii="Verdana" w:hAnsi="Verdana"/>
                <w:sz w:val="22"/>
                <w:szCs w:val="22"/>
              </w:rPr>
            </w:pPr>
            <w:r w:rsidRPr="007A22E7">
              <w:rPr>
                <w:rFonts w:ascii="Verdana" w:hAnsi="Verdana"/>
                <w:sz w:val="22"/>
                <w:szCs w:val="22"/>
              </w:rPr>
              <w:t>Consulta sobre la competencia de un Defensor de Familia para conocer del seguimiento a una medida de restablecimiento de derechos, teniendo en cuenta la división administrativa de las defensorías de familia en la Regional ICBF - Caquetá.</w:t>
            </w:r>
          </w:p>
        </w:tc>
      </w:tr>
    </w:tbl>
    <w:p w14:paraId="0A2B038B" w14:textId="445E0B50" w:rsidR="007A22E7" w:rsidRPr="007A22E7" w:rsidRDefault="007A22E7" w:rsidP="007A22E7">
      <w:pPr>
        <w:jc w:val="both"/>
        <w:rPr>
          <w:rFonts w:ascii="Verdana" w:hAnsi="Verdana"/>
          <w:sz w:val="22"/>
          <w:szCs w:val="22"/>
        </w:rPr>
      </w:pPr>
      <w:r w:rsidRPr="007A22E7">
        <w:rPr>
          <w:rFonts w:ascii="Verdana" w:hAnsi="Verdana"/>
          <w:sz w:val="22"/>
          <w:szCs w:val="22"/>
        </w:rPr>
        <w:t>De manera atenta, en relación con el asunto de la referencia, en los términos previstos en los artículos artículos 26 del Código Civil, artículo 28 de la Ley 1755 de 2015, y numeral 4 del artículo 6 del Decreto 987 de 2012, se procede a emitir concepto en los siguientes términos:</w:t>
      </w:r>
    </w:p>
    <w:p w14:paraId="2F33983B" w14:textId="77777777" w:rsidR="007A22E7" w:rsidRPr="007A22E7" w:rsidRDefault="007A22E7" w:rsidP="007A22E7">
      <w:pPr>
        <w:jc w:val="both"/>
        <w:rPr>
          <w:rFonts w:ascii="Verdana" w:hAnsi="Verdana"/>
          <w:sz w:val="22"/>
          <w:szCs w:val="22"/>
        </w:rPr>
      </w:pPr>
      <w:r w:rsidRPr="007A22E7">
        <w:rPr>
          <w:rFonts w:ascii="Verdana" w:hAnsi="Verdana"/>
          <w:b/>
          <w:bCs/>
          <w:sz w:val="22"/>
          <w:szCs w:val="22"/>
        </w:rPr>
        <w:t>1. PROBLEMA JURÍDICO</w:t>
      </w:r>
    </w:p>
    <w:p w14:paraId="6963D3C4" w14:textId="77777777" w:rsidR="007A22E7" w:rsidRPr="007A22E7" w:rsidRDefault="007A22E7" w:rsidP="007A22E7">
      <w:pPr>
        <w:jc w:val="both"/>
        <w:rPr>
          <w:rFonts w:ascii="Verdana" w:hAnsi="Verdana"/>
          <w:sz w:val="22"/>
          <w:szCs w:val="22"/>
        </w:rPr>
      </w:pPr>
      <w:r w:rsidRPr="007A22E7">
        <w:rPr>
          <w:rFonts w:ascii="Verdana" w:hAnsi="Verdana"/>
          <w:sz w:val="22"/>
          <w:szCs w:val="22"/>
        </w:rPr>
        <w:t>¿Cuál es el Defensor de Familia competente para conocer de un Proceso Administrativo de Restablecimiento de Derechos que se encuentra en seguimiento y se hace necesario el cambio de la medida, y en la Regional existe una división administrativa de Defensorías "Especializadas” por asuntos?</w:t>
      </w:r>
    </w:p>
    <w:p w14:paraId="35BFF938" w14:textId="77777777" w:rsidR="007A22E7" w:rsidRPr="007A22E7" w:rsidRDefault="007A22E7" w:rsidP="007A22E7">
      <w:pPr>
        <w:jc w:val="both"/>
        <w:rPr>
          <w:rFonts w:ascii="Verdana" w:hAnsi="Verdana"/>
          <w:sz w:val="22"/>
          <w:szCs w:val="22"/>
        </w:rPr>
      </w:pPr>
      <w:r w:rsidRPr="007A22E7">
        <w:rPr>
          <w:rFonts w:ascii="Verdana" w:hAnsi="Verdana"/>
          <w:b/>
          <w:bCs/>
          <w:sz w:val="22"/>
          <w:szCs w:val="22"/>
        </w:rPr>
        <w:t>2. ANÁLISIS DEL PROBLEMA JURÍDICO</w:t>
      </w:r>
    </w:p>
    <w:p w14:paraId="20C8AC37" w14:textId="77777777" w:rsidR="007A22E7" w:rsidRPr="007A22E7" w:rsidRDefault="007A22E7" w:rsidP="007A22E7">
      <w:pPr>
        <w:jc w:val="both"/>
        <w:rPr>
          <w:rFonts w:ascii="Verdana" w:hAnsi="Verdana"/>
          <w:sz w:val="22"/>
          <w:szCs w:val="22"/>
        </w:rPr>
      </w:pPr>
      <w:r w:rsidRPr="007A22E7">
        <w:rPr>
          <w:rFonts w:ascii="Verdana" w:hAnsi="Verdana"/>
          <w:sz w:val="22"/>
          <w:szCs w:val="22"/>
        </w:rPr>
        <w:t>Metodológicamente estudiaremos: 2.1 El proceso Administrativo de Restablecimiento de Derechos; 2.2 El seguimiento a las medidas de Restablecimiento de Derechos; 2.3 Las funciones del Defensor de Familia; 2.4 El caso en concreto.</w:t>
      </w:r>
    </w:p>
    <w:p w14:paraId="4D838FC6" w14:textId="77777777" w:rsidR="007A22E7" w:rsidRPr="007A22E7" w:rsidRDefault="007A22E7" w:rsidP="007A22E7">
      <w:pPr>
        <w:jc w:val="both"/>
        <w:rPr>
          <w:rFonts w:ascii="Verdana" w:hAnsi="Verdana"/>
          <w:sz w:val="22"/>
          <w:szCs w:val="22"/>
        </w:rPr>
      </w:pPr>
      <w:r w:rsidRPr="007A22E7">
        <w:rPr>
          <w:rFonts w:ascii="Verdana" w:hAnsi="Verdana"/>
          <w:b/>
          <w:bCs/>
          <w:sz w:val="22"/>
          <w:szCs w:val="22"/>
          <w:u w:val="single"/>
        </w:rPr>
        <w:t>2.1. El proceso Administrativo de Restablecimiento de Derechos</w:t>
      </w:r>
    </w:p>
    <w:p w14:paraId="4B2F77F2" w14:textId="2EB830B6" w:rsidR="007A22E7" w:rsidRPr="007A22E7" w:rsidRDefault="007A22E7" w:rsidP="007A22E7">
      <w:pPr>
        <w:jc w:val="both"/>
        <w:rPr>
          <w:rFonts w:ascii="Verdana" w:hAnsi="Verdana"/>
          <w:sz w:val="22"/>
          <w:szCs w:val="22"/>
        </w:rPr>
      </w:pPr>
      <w:r w:rsidRPr="007A22E7">
        <w:rPr>
          <w:rFonts w:ascii="Verdana" w:hAnsi="Verdana"/>
          <w:sz w:val="22"/>
          <w:szCs w:val="22"/>
        </w:rPr>
        <w:t>Iniciamos éste estudio precisando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w:t>
      </w:r>
    </w:p>
    <w:p w14:paraId="771950A8" w14:textId="77777777" w:rsidR="007A22E7" w:rsidRPr="007A22E7" w:rsidRDefault="007A22E7" w:rsidP="007A22E7">
      <w:pPr>
        <w:jc w:val="both"/>
        <w:rPr>
          <w:rFonts w:ascii="Verdana" w:hAnsi="Verdana"/>
          <w:sz w:val="22"/>
          <w:szCs w:val="22"/>
        </w:rPr>
      </w:pPr>
      <w:r w:rsidRPr="007A22E7">
        <w:rPr>
          <w:rFonts w:ascii="Verdana" w:hAnsi="Verdana"/>
          <w:sz w:val="22"/>
          <w:szCs w:val="22"/>
        </w:rPr>
        <w:t>La Corte Constitucional ha dicho que </w:t>
      </w:r>
      <w:r w:rsidRPr="007A22E7">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213843C1" w14:textId="63EB6521" w:rsidR="007A22E7" w:rsidRPr="007A22E7" w:rsidRDefault="007A22E7" w:rsidP="007A22E7">
      <w:pPr>
        <w:jc w:val="both"/>
        <w:rPr>
          <w:rFonts w:ascii="Verdana" w:hAnsi="Verdana"/>
          <w:sz w:val="22"/>
          <w:szCs w:val="22"/>
        </w:rPr>
      </w:pPr>
      <w:r w:rsidRPr="007A22E7">
        <w:rPr>
          <w:rFonts w:ascii="Verdana" w:hAnsi="Verdana"/>
          <w:i/>
          <w:iCs/>
          <w:sz w:val="22"/>
          <w:szCs w:val="22"/>
        </w:rPr>
        <w:lastRenderedPageBreak/>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r w:rsidRPr="007A22E7">
        <w:rPr>
          <w:rFonts w:ascii="Verdana" w:hAnsi="Verdana"/>
          <w:i/>
          <w:iCs/>
          <w:sz w:val="22"/>
          <w:szCs w:val="22"/>
          <w:vertAlign w:val="superscript"/>
        </w:rPr>
        <w:t>[1]</w:t>
      </w:r>
    </w:p>
    <w:p w14:paraId="068C0D5F" w14:textId="77777777" w:rsidR="007A22E7" w:rsidRPr="007A22E7" w:rsidRDefault="007A22E7" w:rsidP="007A22E7">
      <w:pPr>
        <w:jc w:val="both"/>
        <w:rPr>
          <w:rFonts w:ascii="Verdana" w:hAnsi="Verdana"/>
          <w:sz w:val="22"/>
          <w:szCs w:val="22"/>
        </w:rPr>
      </w:pPr>
      <w:r w:rsidRPr="007A22E7">
        <w:rPr>
          <w:rFonts w:ascii="Verdana" w:hAnsi="Verdana"/>
          <w:sz w:val="22"/>
          <w:szCs w:val="22"/>
        </w:rPr>
        <w:t>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45E9A936" w14:textId="77777777" w:rsidR="007A22E7" w:rsidRPr="007A22E7" w:rsidRDefault="007A22E7" w:rsidP="007A22E7">
      <w:pPr>
        <w:jc w:val="both"/>
        <w:rPr>
          <w:rFonts w:ascii="Verdana" w:hAnsi="Verdana"/>
          <w:sz w:val="22"/>
          <w:szCs w:val="22"/>
        </w:rPr>
      </w:pPr>
      <w:r w:rsidRPr="007A22E7">
        <w:rPr>
          <w:rFonts w:ascii="Verdana" w:hAnsi="Verdana"/>
          <w:b/>
          <w:bCs/>
          <w:sz w:val="22"/>
          <w:szCs w:val="22"/>
          <w:u w:val="single"/>
        </w:rPr>
        <w:t>2.2. El seguimiento a las Medidas de Restablecimiento de Derechos</w:t>
      </w:r>
    </w:p>
    <w:p w14:paraId="300D6332" w14:textId="77777777" w:rsidR="007A22E7" w:rsidRPr="007A22E7" w:rsidRDefault="007A22E7" w:rsidP="007A22E7">
      <w:pPr>
        <w:jc w:val="both"/>
        <w:rPr>
          <w:rFonts w:ascii="Verdana" w:hAnsi="Verdana"/>
          <w:sz w:val="22"/>
          <w:szCs w:val="22"/>
        </w:rPr>
      </w:pPr>
      <w:r w:rsidRPr="007A22E7">
        <w:rPr>
          <w:rFonts w:ascii="Verdana" w:hAnsi="Verdana"/>
          <w:sz w:val="22"/>
          <w:szCs w:val="22"/>
        </w:rPr>
        <w:t>Corresponde a los Defensores de Familia de manera conjunta con los Coordinadores de los Centros Zonales y de su equipo técnico interdisciplinario, </w:t>
      </w:r>
      <w:r w:rsidRPr="007A22E7">
        <w:rPr>
          <w:rFonts w:ascii="Verdana" w:hAnsi="Verdana"/>
          <w:b/>
          <w:bCs/>
          <w:sz w:val="22"/>
          <w:szCs w:val="22"/>
        </w:rPr>
        <w:t>realizar seguimiento a</w:t>
      </w:r>
      <w:r w:rsidRPr="007A22E7">
        <w:rPr>
          <w:rFonts w:ascii="Verdana" w:hAnsi="Verdana"/>
          <w:sz w:val="22"/>
          <w:szCs w:val="22"/>
        </w:rPr>
        <w:t> </w:t>
      </w:r>
      <w:r w:rsidRPr="007A22E7">
        <w:rPr>
          <w:rFonts w:ascii="Verdana" w:hAnsi="Verdana"/>
          <w:b/>
          <w:bCs/>
          <w:sz w:val="22"/>
          <w:szCs w:val="22"/>
        </w:rPr>
        <w:t>las medidas de protección o de restablecimiento de derechos que adopte.</w:t>
      </w:r>
    </w:p>
    <w:p w14:paraId="0CA34232" w14:textId="0D7F3881" w:rsidR="007A22E7" w:rsidRPr="007A22E7" w:rsidRDefault="007A22E7" w:rsidP="007A22E7">
      <w:pPr>
        <w:jc w:val="both"/>
        <w:rPr>
          <w:rFonts w:ascii="Verdana" w:hAnsi="Verdana"/>
          <w:sz w:val="22"/>
          <w:szCs w:val="22"/>
        </w:rPr>
      </w:pPr>
      <w:r w:rsidRPr="007A22E7">
        <w:rPr>
          <w:rFonts w:ascii="Verdana" w:hAnsi="Verdana"/>
          <w:sz w:val="22"/>
          <w:szCs w:val="22"/>
        </w:rPr>
        <w:t>En efecto, el artículo 96 de la Ley 1098 de 2006, establece:</w:t>
      </w:r>
    </w:p>
    <w:p w14:paraId="6E2F2126" w14:textId="77777777" w:rsidR="007A22E7" w:rsidRPr="007A22E7" w:rsidRDefault="007A22E7" w:rsidP="007A22E7">
      <w:pPr>
        <w:jc w:val="both"/>
        <w:rPr>
          <w:rFonts w:ascii="Verdana" w:hAnsi="Verdana"/>
          <w:sz w:val="22"/>
          <w:szCs w:val="22"/>
        </w:rPr>
      </w:pPr>
      <w:r w:rsidRPr="007A22E7">
        <w:rPr>
          <w:rFonts w:ascii="Verdana" w:hAnsi="Verdana"/>
          <w:b/>
          <w:bCs/>
          <w:i/>
          <w:iCs/>
          <w:sz w:val="22"/>
          <w:szCs w:val="22"/>
        </w:rPr>
        <w:t>Autoridades competentes</w:t>
      </w:r>
      <w:r w:rsidRPr="007A22E7">
        <w:rPr>
          <w:rFonts w:ascii="Verdana" w:hAnsi="Verdana"/>
          <w:i/>
          <w:iCs/>
          <w:sz w:val="22"/>
          <w:szCs w:val="22"/>
        </w:rPr>
        <w:t>. Corresponde</w:t>
      </w:r>
      <w:r w:rsidRPr="007A22E7">
        <w:rPr>
          <w:rFonts w:ascii="Verdana" w:hAnsi="Verdana"/>
          <w:sz w:val="22"/>
          <w:szCs w:val="22"/>
        </w:rPr>
        <w:t> a </w:t>
      </w:r>
      <w:r w:rsidRPr="007A22E7">
        <w:rPr>
          <w:rFonts w:ascii="Verdana" w:hAnsi="Verdana"/>
          <w:i/>
          <w:iCs/>
          <w:sz w:val="22"/>
          <w:szCs w:val="22"/>
        </w:rPr>
        <w:t>los defensores de familia y comisarios de familia procurar y promover la realización y restablecimiento de los derechos reconocidos en los tratados internacionales, en la Constitución Política y en el presente Código.</w:t>
      </w:r>
    </w:p>
    <w:p w14:paraId="2117965C" w14:textId="77777777" w:rsidR="007A22E7" w:rsidRPr="007A22E7" w:rsidRDefault="007A22E7" w:rsidP="007A22E7">
      <w:pPr>
        <w:jc w:val="both"/>
        <w:rPr>
          <w:rFonts w:ascii="Verdana" w:hAnsi="Verdana"/>
          <w:sz w:val="22"/>
          <w:szCs w:val="22"/>
        </w:rPr>
      </w:pPr>
      <w:r w:rsidRPr="007A22E7">
        <w:rPr>
          <w:rFonts w:ascii="Verdana" w:hAnsi="Verdana"/>
          <w:i/>
          <w:iCs/>
          <w:sz w:val="22"/>
          <w:szCs w:val="22"/>
          <w:u w:val="single"/>
        </w:rPr>
        <w:t>El seguimiento de las medidas de protección o de restablecimiento</w:t>
      </w:r>
      <w:r w:rsidRPr="007A22E7">
        <w:rPr>
          <w:rFonts w:ascii="Verdana" w:hAnsi="Verdana"/>
          <w:sz w:val="22"/>
          <w:szCs w:val="22"/>
        </w:rPr>
        <w:t> </w:t>
      </w:r>
      <w:r w:rsidRPr="007A22E7">
        <w:rPr>
          <w:rFonts w:ascii="Verdana" w:hAnsi="Verdana"/>
          <w:i/>
          <w:iCs/>
          <w:sz w:val="22"/>
          <w:szCs w:val="22"/>
          <w:u w:val="single"/>
        </w:rPr>
        <w:t>adoptadas por los defensores y comisarios de familia estará a cargo del respectivo coordinador del centro zonal del Instituto Colombiano de Bienestar Familiar</w:t>
      </w:r>
      <w:r w:rsidRPr="007A22E7">
        <w:rPr>
          <w:rFonts w:ascii="Verdana" w:hAnsi="Verdana"/>
          <w:sz w:val="22"/>
          <w:szCs w:val="22"/>
        </w:rPr>
        <w:t>.</w:t>
      </w:r>
    </w:p>
    <w:p w14:paraId="20EFFC19" w14:textId="3130CDA1" w:rsidR="007A22E7" w:rsidRPr="007A22E7" w:rsidRDefault="007A22E7" w:rsidP="007A22E7">
      <w:pPr>
        <w:jc w:val="both"/>
        <w:rPr>
          <w:rFonts w:ascii="Verdana" w:hAnsi="Verdana"/>
          <w:sz w:val="22"/>
          <w:szCs w:val="22"/>
        </w:rPr>
      </w:pPr>
      <w:r w:rsidRPr="007A22E7">
        <w:rPr>
          <w:rFonts w:ascii="Verdana" w:hAnsi="Verdana"/>
          <w:sz w:val="22"/>
          <w:szCs w:val="22"/>
        </w:rPr>
        <w:t>Como se puede ver, los Coordinadores de los Centros Zonales del ICBF tienen a su cargo el seguimiento a las medidas de protección o restablecimiento de derechos, tal y como se deriva del tenor literal de la norma transcrita. No obstante, esta obligación de rango legal no puede interpretarse de manera aislada con las demás disposiciones que señalan el ámbito de competencia de las demás autoridades que intervienen en el proceso administrativo de restablecimiento de derechos, y aquellas que reglamentaron la Ley 1098 de 2006.</w:t>
      </w:r>
    </w:p>
    <w:p w14:paraId="31A71929" w14:textId="24C9D719" w:rsidR="007A22E7" w:rsidRPr="007A22E7" w:rsidRDefault="007A22E7" w:rsidP="007A22E7">
      <w:pPr>
        <w:jc w:val="both"/>
        <w:rPr>
          <w:rFonts w:ascii="Verdana" w:hAnsi="Verdana"/>
          <w:sz w:val="22"/>
          <w:szCs w:val="22"/>
        </w:rPr>
      </w:pPr>
      <w:r w:rsidRPr="007A22E7">
        <w:rPr>
          <w:rFonts w:ascii="Verdana" w:hAnsi="Verdana"/>
          <w:sz w:val="22"/>
          <w:szCs w:val="22"/>
        </w:rPr>
        <w:t xml:space="preserve">El mismo artículo 96 señala en su primer inciso de manera muy clara que los Defensores y Comisarios de Familia tienen el deber de promover la realización y el restablecimiento de los derechos reconocidos en los tratados internacionales, lo cual se materializa incluso en todas las gestiones procedimentales que se </w:t>
      </w:r>
      <w:r w:rsidRPr="007A22E7">
        <w:rPr>
          <w:rFonts w:ascii="Verdana" w:hAnsi="Verdana"/>
          <w:sz w:val="22"/>
          <w:szCs w:val="22"/>
        </w:rPr>
        <w:lastRenderedPageBreak/>
        <w:t>deban adelantar con posterioridad al momento en que ha resuelto o adoptado una medida de protección o restablecimiento concretas.</w:t>
      </w:r>
    </w:p>
    <w:p w14:paraId="727CF7B5" w14:textId="61605350" w:rsidR="007A22E7" w:rsidRPr="007A22E7" w:rsidRDefault="007A22E7" w:rsidP="007A22E7">
      <w:pPr>
        <w:jc w:val="both"/>
        <w:rPr>
          <w:rFonts w:ascii="Verdana" w:hAnsi="Verdana"/>
          <w:sz w:val="22"/>
          <w:szCs w:val="22"/>
        </w:rPr>
      </w:pPr>
      <w:r w:rsidRPr="007A22E7">
        <w:rPr>
          <w:rFonts w:ascii="Verdana" w:hAnsi="Verdana"/>
          <w:sz w:val="22"/>
          <w:szCs w:val="22"/>
        </w:rPr>
        <w:t>En efecto, el gobierno nacional expidió el Decreto Reglamentario 4840 de 2007 compilado en el Decreto 1069 de 2015, que en su artículo 11 dispone lo siguiente:</w:t>
      </w:r>
    </w:p>
    <w:p w14:paraId="3F37D556" w14:textId="76242F1F" w:rsidR="007A22E7" w:rsidRPr="007A22E7" w:rsidRDefault="007A22E7" w:rsidP="007A22E7">
      <w:pPr>
        <w:jc w:val="both"/>
        <w:rPr>
          <w:rFonts w:ascii="Verdana" w:hAnsi="Verdana"/>
          <w:sz w:val="22"/>
          <w:szCs w:val="22"/>
        </w:rPr>
      </w:pPr>
      <w:r w:rsidRPr="007A22E7">
        <w:rPr>
          <w:rFonts w:ascii="Verdana" w:hAnsi="Verdana"/>
          <w:b/>
          <w:bCs/>
          <w:i/>
          <w:iCs/>
          <w:sz w:val="22"/>
          <w:szCs w:val="22"/>
        </w:rPr>
        <w:t>Artículo 11. Seguimiento de las medidas de protección o de restablecimiento.</w:t>
      </w:r>
      <w:r w:rsidRPr="007A22E7">
        <w:rPr>
          <w:rFonts w:ascii="Verdana" w:hAnsi="Verdana"/>
          <w:i/>
          <w:iCs/>
          <w:sz w:val="22"/>
          <w:szCs w:val="22"/>
        </w:rPr>
        <w:t> En los términos del inciso 2</w:t>
      </w:r>
      <w:r w:rsidRPr="007A22E7">
        <w:rPr>
          <w:rFonts w:ascii="Verdana" w:hAnsi="Verdana"/>
          <w:i/>
          <w:iCs/>
          <w:sz w:val="22"/>
          <w:szCs w:val="22"/>
          <w:vertAlign w:val="superscript"/>
        </w:rPr>
        <w:t>o</w:t>
      </w:r>
      <w:r w:rsidRPr="007A22E7">
        <w:rPr>
          <w:rFonts w:ascii="Verdana" w:hAnsi="Verdana"/>
          <w:i/>
          <w:iCs/>
          <w:sz w:val="22"/>
          <w:szCs w:val="22"/>
        </w:rPr>
        <w:t> del artículo 96 de la Ley 1098 de 2006, para el seguimiento de las medidas de protección o de restablecimiento de derechos adoptadas por los Defensores de Familia o Comisarios de Familia,</w:t>
      </w:r>
      <w:r w:rsidRPr="007A22E7">
        <w:rPr>
          <w:rFonts w:ascii="Verdana" w:hAnsi="Verdana"/>
          <w:sz w:val="22"/>
          <w:szCs w:val="22"/>
        </w:rPr>
        <w:t> </w:t>
      </w:r>
      <w:r w:rsidRPr="007A22E7">
        <w:rPr>
          <w:rFonts w:ascii="Verdana" w:hAnsi="Verdana"/>
          <w:i/>
          <w:iCs/>
          <w:sz w:val="22"/>
          <w:szCs w:val="22"/>
          <w:u w:val="single"/>
        </w:rPr>
        <w:t>estos deberán remitir de manera inmediata al</w:t>
      </w:r>
      <w:r w:rsidRPr="007A22E7">
        <w:rPr>
          <w:rFonts w:ascii="Verdana" w:hAnsi="Verdana"/>
          <w:sz w:val="22"/>
          <w:szCs w:val="22"/>
          <w:u w:val="single"/>
        </w:rPr>
        <w:t> </w:t>
      </w:r>
      <w:r w:rsidRPr="007A22E7">
        <w:rPr>
          <w:rFonts w:ascii="Verdana" w:hAnsi="Verdana"/>
          <w:i/>
          <w:iCs/>
          <w:sz w:val="22"/>
          <w:szCs w:val="22"/>
          <w:u w:val="single"/>
        </w:rPr>
        <w:t>Coordinador del Centro Zonal o Seccional del Instituto Colombiano de</w:t>
      </w:r>
      <w:r w:rsidRPr="007A22E7">
        <w:rPr>
          <w:rFonts w:ascii="Verdana" w:hAnsi="Verdana"/>
          <w:sz w:val="22"/>
          <w:szCs w:val="22"/>
          <w:u w:val="single"/>
        </w:rPr>
        <w:t> </w:t>
      </w:r>
      <w:r w:rsidRPr="007A22E7">
        <w:rPr>
          <w:rFonts w:ascii="Verdana" w:hAnsi="Verdana"/>
          <w:i/>
          <w:iCs/>
          <w:sz w:val="22"/>
          <w:szCs w:val="22"/>
          <w:u w:val="single"/>
        </w:rPr>
        <w:t>Bienestar Familiar, o quien haga sus veces, información y copia de la</w:t>
      </w:r>
      <w:r w:rsidRPr="007A22E7">
        <w:rPr>
          <w:rFonts w:ascii="Verdana" w:hAnsi="Verdana"/>
          <w:sz w:val="22"/>
          <w:szCs w:val="22"/>
          <w:u w:val="single"/>
        </w:rPr>
        <w:t> </w:t>
      </w:r>
      <w:r w:rsidRPr="007A22E7">
        <w:rPr>
          <w:rFonts w:ascii="Verdana" w:hAnsi="Verdana"/>
          <w:i/>
          <w:iCs/>
          <w:sz w:val="22"/>
          <w:szCs w:val="22"/>
          <w:u w:val="single"/>
        </w:rPr>
        <w:t>decisión correspondiente debidamente ejecutoriada.</w:t>
      </w:r>
    </w:p>
    <w:p w14:paraId="5C002460" w14:textId="77777777" w:rsidR="007A22E7" w:rsidRPr="007A22E7" w:rsidRDefault="007A22E7" w:rsidP="007A22E7">
      <w:pPr>
        <w:jc w:val="both"/>
        <w:rPr>
          <w:rFonts w:ascii="Verdana" w:hAnsi="Verdana"/>
          <w:sz w:val="22"/>
          <w:szCs w:val="22"/>
        </w:rPr>
      </w:pPr>
      <w:r w:rsidRPr="007A22E7">
        <w:rPr>
          <w:rFonts w:ascii="Verdana" w:hAnsi="Verdana"/>
          <w:i/>
          <w:iCs/>
          <w:sz w:val="22"/>
          <w:szCs w:val="22"/>
          <w:u w:val="single"/>
        </w:rPr>
        <w:t>La anterior se entiende sin perjuicio de la obligación que les asiste a los</w:t>
      </w:r>
      <w:r w:rsidRPr="007A22E7">
        <w:rPr>
          <w:rFonts w:ascii="Verdana" w:hAnsi="Verdana"/>
          <w:sz w:val="22"/>
          <w:szCs w:val="22"/>
          <w:u w:val="single"/>
        </w:rPr>
        <w:t> </w:t>
      </w:r>
      <w:r w:rsidRPr="007A22E7">
        <w:rPr>
          <w:rFonts w:ascii="Verdana" w:hAnsi="Verdana"/>
          <w:i/>
          <w:iCs/>
          <w:sz w:val="22"/>
          <w:szCs w:val="22"/>
          <w:u w:val="single"/>
        </w:rPr>
        <w:t>Defensores y Comisarios de Familia para hacer seguimiento y evaluación</w:t>
      </w:r>
      <w:r w:rsidRPr="007A22E7">
        <w:rPr>
          <w:rFonts w:ascii="Verdana" w:hAnsi="Verdana"/>
          <w:sz w:val="22"/>
          <w:szCs w:val="22"/>
          <w:u w:val="single"/>
        </w:rPr>
        <w:t> </w:t>
      </w:r>
      <w:r w:rsidRPr="007A22E7">
        <w:rPr>
          <w:rFonts w:ascii="Verdana" w:hAnsi="Verdana"/>
          <w:i/>
          <w:iCs/>
          <w:sz w:val="22"/>
          <w:szCs w:val="22"/>
          <w:u w:val="single"/>
        </w:rPr>
        <w:t>de las medidas definitivas de restablecimiento de derechos, que adopten</w:t>
      </w:r>
      <w:r w:rsidRPr="007A22E7">
        <w:rPr>
          <w:rFonts w:ascii="Verdana" w:hAnsi="Verdana"/>
          <w:sz w:val="22"/>
          <w:szCs w:val="22"/>
          <w:u w:val="single"/>
        </w:rPr>
        <w:t> </w:t>
      </w:r>
      <w:r w:rsidRPr="007A22E7">
        <w:rPr>
          <w:rFonts w:ascii="Verdana" w:hAnsi="Verdana"/>
          <w:i/>
          <w:iCs/>
          <w:sz w:val="22"/>
          <w:szCs w:val="22"/>
          <w:u w:val="single"/>
        </w:rPr>
        <w:t>en desarrollo de sus funciones</w:t>
      </w:r>
      <w:r w:rsidRPr="007A22E7">
        <w:rPr>
          <w:rFonts w:ascii="Verdana" w:hAnsi="Verdana"/>
          <w:sz w:val="22"/>
          <w:szCs w:val="22"/>
        </w:rPr>
        <w:t>.</w:t>
      </w:r>
    </w:p>
    <w:p w14:paraId="0C805271" w14:textId="77777777" w:rsidR="007A22E7" w:rsidRPr="007A22E7" w:rsidRDefault="007A22E7" w:rsidP="007A22E7">
      <w:pPr>
        <w:jc w:val="both"/>
        <w:rPr>
          <w:rFonts w:ascii="Verdana" w:hAnsi="Verdana"/>
          <w:sz w:val="22"/>
          <w:szCs w:val="22"/>
        </w:rPr>
      </w:pPr>
      <w:r w:rsidRPr="007A22E7">
        <w:rPr>
          <w:rFonts w:ascii="Verdana" w:hAnsi="Verdana"/>
          <w:sz w:val="22"/>
          <w:szCs w:val="22"/>
        </w:rPr>
        <w:t>De acuerdo a la anterior normatividad, los Defensores de Familia tienen la obligación de enviar un informe al Coordinador del Centro Zonal sobre las decisiones adoptadas cuando estas se encuentren en firme, y luego de ello, les asiste al igual que al Coordinador del Centro Zonal la obligación de hacer </w:t>
      </w:r>
      <w:r w:rsidRPr="007A22E7">
        <w:rPr>
          <w:rFonts w:ascii="Verdana" w:hAnsi="Verdana"/>
          <w:b/>
          <w:bCs/>
          <w:sz w:val="22"/>
          <w:szCs w:val="22"/>
        </w:rPr>
        <w:t>seguimiento pero además de evaluar las medidas de restablecimiento de derechos que decreten en ejercicio de sus funciones.</w:t>
      </w:r>
    </w:p>
    <w:p w14:paraId="31E76B2E" w14:textId="77777777" w:rsidR="007A22E7" w:rsidRPr="007A22E7" w:rsidRDefault="007A22E7" w:rsidP="007A22E7">
      <w:pPr>
        <w:jc w:val="both"/>
        <w:rPr>
          <w:rFonts w:ascii="Verdana" w:hAnsi="Verdana"/>
          <w:sz w:val="22"/>
          <w:szCs w:val="22"/>
        </w:rPr>
      </w:pPr>
      <w:r w:rsidRPr="007A22E7">
        <w:rPr>
          <w:rFonts w:ascii="Verdana" w:hAnsi="Verdana"/>
          <w:b/>
          <w:bCs/>
          <w:sz w:val="22"/>
          <w:szCs w:val="22"/>
          <w:u w:val="single"/>
        </w:rPr>
        <w:t>2.3. La función de las autoridades administrativas en el restablecimiento de los</w:t>
      </w:r>
      <w:r w:rsidRPr="007A22E7">
        <w:rPr>
          <w:rFonts w:ascii="Verdana" w:hAnsi="Verdana"/>
          <w:b/>
          <w:bCs/>
          <w:sz w:val="22"/>
          <w:szCs w:val="22"/>
        </w:rPr>
        <w:t> </w:t>
      </w:r>
      <w:r w:rsidRPr="007A22E7">
        <w:rPr>
          <w:rFonts w:ascii="Verdana" w:hAnsi="Verdana"/>
          <w:b/>
          <w:bCs/>
          <w:sz w:val="22"/>
          <w:szCs w:val="22"/>
          <w:u w:val="single"/>
        </w:rPr>
        <w:t>derechos de los niños, las niñas y los adolescentes</w:t>
      </w:r>
    </w:p>
    <w:p w14:paraId="16078B0C" w14:textId="77777777" w:rsidR="007A22E7" w:rsidRPr="007A22E7" w:rsidRDefault="007A22E7" w:rsidP="007A22E7">
      <w:pPr>
        <w:jc w:val="both"/>
        <w:rPr>
          <w:rFonts w:ascii="Verdana" w:hAnsi="Verdana"/>
          <w:sz w:val="22"/>
          <w:szCs w:val="22"/>
        </w:rPr>
      </w:pPr>
      <w:r w:rsidRPr="007A22E7">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3A6DFBD7" w14:textId="77777777" w:rsidR="007A22E7" w:rsidRPr="007A22E7" w:rsidRDefault="007A22E7" w:rsidP="007A22E7">
      <w:pPr>
        <w:jc w:val="both"/>
        <w:rPr>
          <w:rFonts w:ascii="Verdana" w:hAnsi="Verdana"/>
          <w:sz w:val="22"/>
          <w:szCs w:val="22"/>
        </w:rPr>
      </w:pPr>
      <w:r w:rsidRPr="007A22E7">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28632E97" w14:textId="77777777" w:rsidR="007A22E7" w:rsidRPr="007A22E7" w:rsidRDefault="007A22E7" w:rsidP="007A22E7">
      <w:pPr>
        <w:jc w:val="both"/>
        <w:rPr>
          <w:rFonts w:ascii="Verdana" w:hAnsi="Verdana"/>
          <w:sz w:val="22"/>
          <w:szCs w:val="22"/>
        </w:rPr>
      </w:pPr>
      <w:r w:rsidRPr="007A22E7">
        <w:rPr>
          <w:rFonts w:ascii="Verdana" w:hAnsi="Verdana"/>
          <w:sz w:val="22"/>
          <w:szCs w:val="22"/>
        </w:rPr>
        <w:t xml:space="preserve">La normatividad establecida en el Código de la Infancia y la Adolescencia aplica para todos los niños, las niñas y los adolescentes nacionales o extranjeros que </w:t>
      </w:r>
      <w:r w:rsidRPr="007A22E7">
        <w:rPr>
          <w:rFonts w:ascii="Verdana" w:hAnsi="Verdana"/>
          <w:sz w:val="22"/>
          <w:szCs w:val="22"/>
        </w:rPr>
        <w:lastRenderedPageBreak/>
        <w:t>se encuentren en el país, a los nacionales que se encuentren fuera del país y a aquellos con doble nacionalidad cuando una de ellas sea colombiana.</w:t>
      </w:r>
      <w:r w:rsidRPr="007A22E7">
        <w:rPr>
          <w:rFonts w:ascii="Verdana" w:hAnsi="Verdana"/>
          <w:sz w:val="22"/>
          <w:szCs w:val="22"/>
          <w:vertAlign w:val="superscript"/>
        </w:rPr>
        <w:t>[2]</w:t>
      </w:r>
    </w:p>
    <w:p w14:paraId="7FFF1544" w14:textId="1CA7A643" w:rsidR="007A22E7" w:rsidRPr="007A22E7" w:rsidRDefault="007A22E7" w:rsidP="007A22E7">
      <w:pPr>
        <w:jc w:val="both"/>
        <w:rPr>
          <w:rFonts w:ascii="Verdana" w:hAnsi="Verdana"/>
          <w:sz w:val="22"/>
          <w:szCs w:val="22"/>
        </w:rPr>
      </w:pPr>
      <w:r w:rsidRPr="007A22E7">
        <w:rPr>
          <w:rFonts w:ascii="Verdana" w:hAnsi="Verdana"/>
          <w:sz w:val="22"/>
          <w:szCs w:val="22"/>
        </w:rPr>
        <w:t>Al respecto, la Corte Constitucional precisó respecto al Código de la Infancia y la Adolescencia que: “El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6)”.</w:t>
      </w:r>
      <w:r w:rsidRPr="007A22E7">
        <w:rPr>
          <w:rFonts w:ascii="Verdana" w:hAnsi="Verdana"/>
          <w:sz w:val="22"/>
          <w:szCs w:val="22"/>
          <w:vertAlign w:val="superscript"/>
        </w:rPr>
        <w:t>[3]</w:t>
      </w:r>
    </w:p>
    <w:p w14:paraId="77DFDDAB" w14:textId="77777777" w:rsidR="007A22E7" w:rsidRPr="007A22E7" w:rsidRDefault="007A22E7" w:rsidP="007A22E7">
      <w:pPr>
        <w:jc w:val="both"/>
        <w:rPr>
          <w:rFonts w:ascii="Verdana" w:hAnsi="Verdana"/>
          <w:sz w:val="22"/>
          <w:szCs w:val="22"/>
        </w:rPr>
      </w:pPr>
      <w:r w:rsidRPr="007A22E7">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menores de edad.</w:t>
      </w:r>
    </w:p>
    <w:p w14:paraId="6247CEA6" w14:textId="58FC4852" w:rsidR="007A22E7" w:rsidRPr="007A22E7" w:rsidRDefault="007A22E7" w:rsidP="007A22E7">
      <w:pPr>
        <w:jc w:val="both"/>
        <w:rPr>
          <w:rFonts w:ascii="Verdana" w:hAnsi="Verdana"/>
          <w:sz w:val="22"/>
          <w:szCs w:val="22"/>
        </w:rPr>
      </w:pPr>
      <w:r w:rsidRPr="007A22E7">
        <w:rPr>
          <w:rFonts w:ascii="Verdana" w:hAnsi="Verdana"/>
          <w:sz w:val="22"/>
          <w:szCs w:val="22"/>
        </w:rPr>
        <w:t>Al respecto, la Corte Constitucional indicó “(...) </w:t>
      </w:r>
      <w:r w:rsidRPr="007A22E7">
        <w:rPr>
          <w:rFonts w:ascii="Verdana" w:hAnsi="Verdana"/>
          <w:i/>
          <w:iCs/>
          <w:sz w:val="22"/>
          <w:szCs w:val="22"/>
        </w:rPr>
        <w:t>los artículos 81, 82 y 85 de la Ley 1098 de 2006 señalan los deberes</w:t>
      </w:r>
      <w:r w:rsidRPr="007A22E7">
        <w:rPr>
          <w:rFonts w:ascii="Verdana" w:hAnsi="Verdana"/>
          <w:sz w:val="22"/>
          <w:szCs w:val="22"/>
        </w:rPr>
        <w:t> y </w:t>
      </w:r>
      <w:r w:rsidRPr="007A22E7">
        <w:rPr>
          <w:rFonts w:ascii="Verdana" w:hAnsi="Verdana"/>
          <w:i/>
          <w:iCs/>
          <w:sz w:val="22"/>
          <w:szCs w:val="22"/>
        </w:rPr>
        <w:t>las funciones del defensor y del comisario de familia, siendo evidente que la misión encomendada es garantizar, proteger y restablecer los derechos prevalecientes de los menores de edad.”</w:t>
      </w:r>
      <w:r w:rsidRPr="007A22E7">
        <w:rPr>
          <w:rFonts w:ascii="Verdana" w:hAnsi="Verdana"/>
          <w:i/>
          <w:iCs/>
          <w:sz w:val="22"/>
          <w:szCs w:val="22"/>
          <w:vertAlign w:val="superscript"/>
        </w:rPr>
        <w:t>[4]</w:t>
      </w:r>
    </w:p>
    <w:p w14:paraId="77CF94F0" w14:textId="317BCA84" w:rsidR="007A22E7" w:rsidRPr="007A22E7" w:rsidRDefault="007A22E7" w:rsidP="007A22E7">
      <w:pPr>
        <w:jc w:val="both"/>
        <w:rPr>
          <w:rFonts w:ascii="Verdana" w:hAnsi="Verdana"/>
          <w:sz w:val="22"/>
          <w:szCs w:val="22"/>
        </w:rPr>
      </w:pPr>
      <w:r w:rsidRPr="007A22E7">
        <w:rPr>
          <w:rFonts w:ascii="Verdana" w:hAnsi="Verdana"/>
          <w:sz w:val="22"/>
          <w:szCs w:val="22"/>
        </w:rPr>
        <w:t>En efecto, en el artículo 96 de la Ley 1098 de 2006 se contempla que </w:t>
      </w:r>
      <w:r w:rsidRPr="007A22E7">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7191A4D5" w14:textId="77777777" w:rsidR="007A22E7" w:rsidRPr="007A22E7" w:rsidRDefault="007A22E7" w:rsidP="007A22E7">
      <w:pPr>
        <w:jc w:val="both"/>
        <w:rPr>
          <w:rFonts w:ascii="Verdana" w:hAnsi="Verdana"/>
          <w:sz w:val="22"/>
          <w:szCs w:val="22"/>
        </w:rPr>
      </w:pPr>
      <w:r w:rsidRPr="007A22E7">
        <w:rPr>
          <w:rFonts w:ascii="Verdana" w:hAnsi="Verdana"/>
          <w:sz w:val="22"/>
          <w:szCs w:val="22"/>
        </w:rPr>
        <w:t>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7B6D8413" w14:textId="77777777" w:rsidR="007A22E7" w:rsidRPr="007A22E7" w:rsidRDefault="007A22E7" w:rsidP="007A22E7">
      <w:pPr>
        <w:jc w:val="both"/>
        <w:rPr>
          <w:rFonts w:ascii="Verdana" w:hAnsi="Verdana"/>
          <w:sz w:val="22"/>
          <w:szCs w:val="22"/>
        </w:rPr>
      </w:pPr>
      <w:r w:rsidRPr="007A22E7">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3370C11E" w14:textId="77777777" w:rsidR="007A22E7" w:rsidRPr="007A22E7" w:rsidRDefault="007A22E7" w:rsidP="007A22E7">
      <w:pPr>
        <w:jc w:val="both"/>
        <w:rPr>
          <w:rFonts w:ascii="Verdana" w:hAnsi="Verdana"/>
          <w:sz w:val="22"/>
          <w:szCs w:val="22"/>
        </w:rPr>
      </w:pPr>
      <w:r w:rsidRPr="007A22E7">
        <w:rPr>
          <w:rFonts w:ascii="Verdana" w:hAnsi="Verdana"/>
          <w:sz w:val="22"/>
          <w:szCs w:val="22"/>
        </w:rPr>
        <w:t>En ese sentido, la función que le corresponde a los Defensores de Familia en el restablecimiento de derechos de los niños, niñas y adolescentes, no se circunscribe solamente a aquellos casos en que se evidencia una vulneración de sus derechos, sino también en prevenir que ello ocurra.</w:t>
      </w:r>
    </w:p>
    <w:p w14:paraId="07AD6B40" w14:textId="77777777" w:rsidR="007A22E7" w:rsidRPr="007A22E7" w:rsidRDefault="007A22E7" w:rsidP="007A22E7">
      <w:pPr>
        <w:jc w:val="both"/>
        <w:rPr>
          <w:rFonts w:ascii="Verdana" w:hAnsi="Verdana"/>
          <w:sz w:val="22"/>
          <w:szCs w:val="22"/>
        </w:rPr>
      </w:pPr>
      <w:r w:rsidRPr="007A22E7">
        <w:rPr>
          <w:rFonts w:ascii="Verdana" w:hAnsi="Verdana"/>
          <w:b/>
          <w:bCs/>
          <w:sz w:val="22"/>
          <w:szCs w:val="22"/>
          <w:u w:val="single"/>
        </w:rPr>
        <w:t>2.4. El caso en concreto</w:t>
      </w:r>
    </w:p>
    <w:p w14:paraId="22F83771" w14:textId="77777777" w:rsidR="007A22E7" w:rsidRPr="007A22E7" w:rsidRDefault="007A22E7" w:rsidP="007A22E7">
      <w:pPr>
        <w:jc w:val="both"/>
        <w:rPr>
          <w:rFonts w:ascii="Verdana" w:hAnsi="Verdana"/>
          <w:sz w:val="22"/>
          <w:szCs w:val="22"/>
        </w:rPr>
      </w:pPr>
      <w:r w:rsidRPr="007A22E7">
        <w:rPr>
          <w:rFonts w:ascii="Verdana" w:hAnsi="Verdana"/>
          <w:sz w:val="22"/>
          <w:szCs w:val="22"/>
        </w:rPr>
        <w:t xml:space="preserve">En el caso que se consulta, se pregunta quién es el Defensor de Familia competente para continuar conociendo de un Proceso Administrativo de Restablecimiento de Derechos -PARD-, cuando ya se ha resuelto la situación </w:t>
      </w:r>
      <w:r w:rsidRPr="007A22E7">
        <w:rPr>
          <w:rFonts w:ascii="Verdana" w:hAnsi="Verdana"/>
          <w:sz w:val="22"/>
          <w:szCs w:val="22"/>
        </w:rPr>
        <w:lastRenderedPageBreak/>
        <w:t>jurídica de un niño, niña o adolescente y se hace necesario cambiar la medida de restablecimiento de derechos, toda vez que en el Centro Zonal están divididas las Defensorías de Familia por especialidades.</w:t>
      </w:r>
    </w:p>
    <w:p w14:paraId="27739E94" w14:textId="7A15B16B" w:rsidR="007A22E7" w:rsidRPr="007A22E7" w:rsidRDefault="007A22E7" w:rsidP="007A22E7">
      <w:pPr>
        <w:jc w:val="both"/>
        <w:rPr>
          <w:rFonts w:ascii="Verdana" w:hAnsi="Verdana"/>
          <w:sz w:val="22"/>
          <w:szCs w:val="22"/>
        </w:rPr>
      </w:pPr>
      <w:r w:rsidRPr="007A22E7">
        <w:rPr>
          <w:rFonts w:ascii="Verdana" w:hAnsi="Verdana"/>
          <w:sz w:val="22"/>
          <w:szCs w:val="22"/>
        </w:rPr>
        <w:t>Al respecto, es importante indicar que los Defensores de Familia ejercen sus funciones en las Defensorías de Familia, dependencias del ICBF de naturaleza multidisciplinaria encargadas de prevenir, garantizar y restablecer los derechos de los niños, niñas y adolescentes, las cuales cuentan con equipos técnicos integrados, por lo menos, por un psicólogo, un trabajador social y un nutricionista -artículo 79 Ley 1098 de 2006-. Ésta ley, no prevé divisiones o especialidades de las Defensorías de Familia, pues todas deben estar en la capacidad de atender cualquier asunto que afecte a un menor de edad.</w:t>
      </w:r>
    </w:p>
    <w:p w14:paraId="199753E8" w14:textId="77777777" w:rsidR="007A22E7" w:rsidRPr="007A22E7" w:rsidRDefault="007A22E7" w:rsidP="007A22E7">
      <w:pPr>
        <w:jc w:val="both"/>
        <w:rPr>
          <w:rFonts w:ascii="Verdana" w:hAnsi="Verdana"/>
          <w:sz w:val="22"/>
          <w:szCs w:val="22"/>
        </w:rPr>
      </w:pPr>
      <w:r w:rsidRPr="007A22E7">
        <w:rPr>
          <w:rFonts w:ascii="Verdana" w:hAnsi="Verdana"/>
          <w:sz w:val="22"/>
          <w:szCs w:val="22"/>
        </w:rPr>
        <w:t>De acuerdo a lo anterior, debe destacarse que más allá de la atribución interna de funciones que pueda hacer el ICBF a nivel Nacional o Regional para atender las necesidades en la prestación del servicio, la protección de los derechos de los niños, niñas y adolescentes no puede estar sujeta a formalidades administrativas de competencias internas que afecten directamente a aquéllos, máxime si se tiene en cuenta los principios de interés superior.</w:t>
      </w:r>
      <w:r w:rsidRPr="007A22E7">
        <w:rPr>
          <w:rFonts w:ascii="Verdana" w:hAnsi="Verdana"/>
          <w:sz w:val="22"/>
          <w:szCs w:val="22"/>
          <w:vertAlign w:val="superscript"/>
        </w:rPr>
        <w:t>[5]</w:t>
      </w:r>
    </w:p>
    <w:p w14:paraId="5D7AB156" w14:textId="77777777" w:rsidR="007A22E7" w:rsidRPr="007A22E7" w:rsidRDefault="007A22E7" w:rsidP="007A22E7">
      <w:pPr>
        <w:jc w:val="both"/>
        <w:rPr>
          <w:rFonts w:ascii="Verdana" w:hAnsi="Verdana"/>
          <w:sz w:val="22"/>
          <w:szCs w:val="22"/>
        </w:rPr>
      </w:pPr>
      <w:r w:rsidRPr="007A22E7">
        <w:rPr>
          <w:rFonts w:ascii="Verdana" w:hAnsi="Verdana"/>
          <w:sz w:val="22"/>
          <w:szCs w:val="22"/>
        </w:rPr>
        <w:t>Así pues, la competencia para continuar conociendo de un PARD y resolver sobre la pertinencia de un cambio de medida de restablecimiento de derechos,</w:t>
      </w:r>
      <w:r w:rsidRPr="007A22E7">
        <w:rPr>
          <w:rFonts w:ascii="Verdana" w:hAnsi="Verdana"/>
          <w:sz w:val="22"/>
          <w:szCs w:val="22"/>
          <w:vertAlign w:val="superscript"/>
        </w:rPr>
        <w:t>[6]</w:t>
      </w:r>
      <w:r w:rsidRPr="007A22E7">
        <w:rPr>
          <w:rFonts w:ascii="Verdana" w:hAnsi="Verdana"/>
          <w:sz w:val="22"/>
          <w:szCs w:val="22"/>
        </w:rPr>
        <w:t> debe recaer en el mismo Defensor de Familia que resolvió la situación jurídica de un niño, niña o adolescente, siempre y cuando no haya variado el lugar donde éste se encuentre, se presente algún caso fortuito que justifique el cambio de Defensor, o que por necesidad del servicio se requiera algún tipo de organización al interior del Centro Zonal que traiga como consecuencia el cambio de Defensor de Familia.</w:t>
      </w:r>
    </w:p>
    <w:p w14:paraId="46F22A13" w14:textId="77777777" w:rsidR="007A22E7" w:rsidRPr="007A22E7" w:rsidRDefault="007A22E7" w:rsidP="007A22E7">
      <w:pPr>
        <w:jc w:val="both"/>
        <w:rPr>
          <w:rFonts w:ascii="Verdana" w:hAnsi="Verdana"/>
          <w:sz w:val="22"/>
          <w:szCs w:val="22"/>
        </w:rPr>
      </w:pPr>
      <w:r w:rsidRPr="007A22E7">
        <w:rPr>
          <w:rFonts w:ascii="Verdana" w:hAnsi="Verdana"/>
          <w:sz w:val="22"/>
          <w:szCs w:val="22"/>
        </w:rPr>
        <w:t>Téngase en cuenta que la Autoridad Administrativa que conoció del proceso es el funcionario más idóneo para disponer sobre el cambio de medida de restablecimiento de derechos, de acuerdo al conocimiento directo que tiene del caso.</w:t>
      </w:r>
    </w:p>
    <w:p w14:paraId="53450214" w14:textId="77777777" w:rsidR="007A22E7" w:rsidRPr="007A22E7" w:rsidRDefault="007A22E7" w:rsidP="007A22E7">
      <w:pPr>
        <w:jc w:val="both"/>
        <w:rPr>
          <w:rFonts w:ascii="Verdana" w:hAnsi="Verdana"/>
          <w:sz w:val="22"/>
          <w:szCs w:val="22"/>
        </w:rPr>
      </w:pPr>
      <w:r w:rsidRPr="007A22E7">
        <w:rPr>
          <w:rFonts w:ascii="Verdana" w:hAnsi="Verdana"/>
          <w:b/>
          <w:bCs/>
          <w:sz w:val="22"/>
          <w:szCs w:val="22"/>
        </w:rPr>
        <w:t>3. CONCLUSIONES</w:t>
      </w:r>
    </w:p>
    <w:p w14:paraId="196D97AE" w14:textId="77777777" w:rsidR="007A22E7" w:rsidRPr="007A22E7" w:rsidRDefault="007A22E7" w:rsidP="007A22E7">
      <w:pPr>
        <w:jc w:val="both"/>
        <w:rPr>
          <w:rFonts w:ascii="Verdana" w:hAnsi="Verdana"/>
          <w:sz w:val="22"/>
          <w:szCs w:val="22"/>
        </w:rPr>
      </w:pPr>
      <w:r w:rsidRPr="007A22E7">
        <w:rPr>
          <w:rFonts w:ascii="Verdana" w:hAnsi="Verdana"/>
          <w:b/>
          <w:bCs/>
          <w:sz w:val="22"/>
          <w:szCs w:val="22"/>
        </w:rPr>
        <w:t>Primera: </w:t>
      </w:r>
      <w:r w:rsidRPr="007A22E7">
        <w:rPr>
          <w:rFonts w:ascii="Verdana" w:hAnsi="Verdana"/>
          <w:sz w:val="22"/>
          <w:szCs w:val="22"/>
        </w:rPr>
        <w:t>El Proceso Administrativo de Restablecimiento de los Derechos de los niños, niñas y adolescentes es un instrumento fundamental para la realización de los mandatos constitucionales y para la operatividad del Código de la Infancia y la Adolescencia.</w:t>
      </w:r>
    </w:p>
    <w:p w14:paraId="1C609C98" w14:textId="1124B2D6" w:rsidR="007A22E7" w:rsidRPr="007A22E7" w:rsidRDefault="007A22E7" w:rsidP="007A22E7">
      <w:pPr>
        <w:jc w:val="both"/>
        <w:rPr>
          <w:rFonts w:ascii="Verdana" w:hAnsi="Verdana"/>
          <w:sz w:val="22"/>
          <w:szCs w:val="22"/>
        </w:rPr>
      </w:pPr>
      <w:r w:rsidRPr="007A22E7">
        <w:rPr>
          <w:rFonts w:ascii="Verdana" w:hAnsi="Verdana"/>
          <w:b/>
          <w:bCs/>
          <w:sz w:val="22"/>
          <w:szCs w:val="22"/>
        </w:rPr>
        <w:t>Segunda: </w:t>
      </w:r>
      <w:r w:rsidRPr="007A22E7">
        <w:rPr>
          <w:rFonts w:ascii="Verdana" w:hAnsi="Verdana"/>
          <w:sz w:val="22"/>
          <w:szCs w:val="22"/>
        </w:rPr>
        <w:t>El artículo 96 de la Ley 1098 de 2006 establece que </w:t>
      </w:r>
      <w:r w:rsidRPr="007A22E7">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41643767" w14:textId="77777777" w:rsidR="007A22E7" w:rsidRPr="007A22E7" w:rsidRDefault="007A22E7" w:rsidP="007A22E7">
      <w:pPr>
        <w:jc w:val="both"/>
        <w:rPr>
          <w:rFonts w:ascii="Verdana" w:hAnsi="Verdana"/>
          <w:sz w:val="22"/>
          <w:szCs w:val="22"/>
        </w:rPr>
      </w:pPr>
      <w:r w:rsidRPr="007A22E7">
        <w:rPr>
          <w:rFonts w:ascii="Verdana" w:hAnsi="Verdana"/>
          <w:b/>
          <w:bCs/>
          <w:sz w:val="22"/>
          <w:szCs w:val="22"/>
        </w:rPr>
        <w:lastRenderedPageBreak/>
        <w:t>Tercera: </w:t>
      </w:r>
      <w:r w:rsidRPr="007A22E7">
        <w:rPr>
          <w:rFonts w:ascii="Verdana" w:hAnsi="Verdana"/>
          <w:sz w:val="22"/>
          <w:szCs w:val="22"/>
        </w:rPr>
        <w:t>A los Defensores de Familia les asiste al igual que al Coordinador del Centro Zonal la obligación de hacer seguimiento a las medidas de restablecimiento de derechos proferidas en el ejercicio de sus funciones, así como evaluar si se hace necesario su modificación de acuerdo a la situación del niño, niña o adolescente.</w:t>
      </w:r>
    </w:p>
    <w:p w14:paraId="3CAE4F7F" w14:textId="77777777" w:rsidR="007A22E7" w:rsidRPr="007A22E7" w:rsidRDefault="007A22E7" w:rsidP="007A22E7">
      <w:pPr>
        <w:jc w:val="both"/>
        <w:rPr>
          <w:rFonts w:ascii="Verdana" w:hAnsi="Verdana"/>
          <w:sz w:val="22"/>
          <w:szCs w:val="22"/>
        </w:rPr>
      </w:pPr>
      <w:r w:rsidRPr="007A22E7">
        <w:rPr>
          <w:rFonts w:ascii="Verdana" w:hAnsi="Verdana"/>
          <w:b/>
          <w:bCs/>
          <w:sz w:val="22"/>
          <w:szCs w:val="22"/>
        </w:rPr>
        <w:t>Cuarta: </w:t>
      </w:r>
      <w:r w:rsidRPr="007A22E7">
        <w:rPr>
          <w:rFonts w:ascii="Verdana" w:hAnsi="Verdana"/>
          <w:sz w:val="22"/>
          <w:szCs w:val="22"/>
        </w:rPr>
        <w:t>El Defensor de Familia que asumió el conocimiento de un Proceso Administrativo de Restablecimiento de Derechos, debe continuar conociendo del seguimiento a las medidas de restablecimiento proferidas por él y será el competente para modificarlas en caso de que sea necesario.</w:t>
      </w:r>
    </w:p>
    <w:p w14:paraId="062C9641" w14:textId="4CC1885E" w:rsidR="007A22E7" w:rsidRPr="007A22E7" w:rsidRDefault="007A22E7" w:rsidP="007A22E7">
      <w:pPr>
        <w:jc w:val="both"/>
        <w:rPr>
          <w:rFonts w:ascii="Verdana" w:hAnsi="Verdana"/>
          <w:sz w:val="22"/>
          <w:szCs w:val="22"/>
        </w:rPr>
      </w:pPr>
      <w:r w:rsidRPr="007A22E7">
        <w:rPr>
          <w:rFonts w:ascii="Verdana" w:hAnsi="Verdana"/>
          <w:sz w:val="22"/>
          <w:szCs w:val="22"/>
        </w:rPr>
        <w:t>Finalmente, es preciso indicar que el presente concepto</w:t>
      </w:r>
      <w:r w:rsidRPr="007A22E7">
        <w:rPr>
          <w:rFonts w:ascii="Verdana" w:hAnsi="Verdana"/>
          <w:sz w:val="22"/>
          <w:szCs w:val="22"/>
          <w:vertAlign w:val="superscript"/>
        </w:rPr>
        <w:t>[7</w:t>
      </w:r>
      <w:r w:rsidRPr="007A22E7">
        <w:rPr>
          <w:rFonts w:ascii="Verdana" w:hAnsi="Verdana"/>
          <w:sz w:val="22"/>
          <w:szCs w:val="22"/>
        </w:rPr>
        <w:t>] no es de obligatorio cumplimiento o ejecución para particulares o agentes externos, de conformidad con lo establecido en el artículo 28 de la ley 1755 de 2015,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78CEA4A" w14:textId="77777777" w:rsidR="007A22E7" w:rsidRPr="007A22E7" w:rsidRDefault="007A22E7" w:rsidP="007A22E7">
      <w:pPr>
        <w:jc w:val="both"/>
        <w:rPr>
          <w:rFonts w:ascii="Verdana" w:hAnsi="Verdana"/>
          <w:sz w:val="22"/>
          <w:szCs w:val="22"/>
        </w:rPr>
      </w:pPr>
      <w:r w:rsidRPr="007A22E7">
        <w:rPr>
          <w:rFonts w:ascii="Verdana" w:hAnsi="Verdana"/>
          <w:sz w:val="22"/>
          <w:szCs w:val="22"/>
        </w:rPr>
        <w:t>Cordialmente,</w:t>
      </w:r>
    </w:p>
    <w:p w14:paraId="74051F4D" w14:textId="77777777" w:rsidR="007A22E7" w:rsidRPr="007A22E7" w:rsidRDefault="007A22E7" w:rsidP="007A22E7">
      <w:pPr>
        <w:jc w:val="both"/>
        <w:rPr>
          <w:rFonts w:ascii="Verdana" w:hAnsi="Verdana"/>
          <w:sz w:val="22"/>
          <w:szCs w:val="22"/>
        </w:rPr>
      </w:pPr>
      <w:r w:rsidRPr="007A22E7">
        <w:rPr>
          <w:rFonts w:ascii="Verdana" w:hAnsi="Verdana"/>
          <w:b/>
          <w:bCs/>
          <w:sz w:val="22"/>
          <w:szCs w:val="22"/>
        </w:rPr>
        <w:t>MARÍA TERESA SALAMANCA ACOSTA</w:t>
      </w:r>
    </w:p>
    <w:p w14:paraId="038EC815" w14:textId="77777777" w:rsidR="007A22E7" w:rsidRPr="007A22E7" w:rsidRDefault="007A22E7" w:rsidP="007A22E7">
      <w:pPr>
        <w:jc w:val="both"/>
        <w:rPr>
          <w:rFonts w:ascii="Verdana" w:hAnsi="Verdana"/>
          <w:sz w:val="22"/>
          <w:szCs w:val="22"/>
        </w:rPr>
      </w:pPr>
      <w:r w:rsidRPr="007A22E7">
        <w:rPr>
          <w:rFonts w:ascii="Verdana" w:hAnsi="Verdana"/>
          <w:sz w:val="22"/>
          <w:szCs w:val="22"/>
        </w:rPr>
        <w:t>Jefe Oficina Asesora Jurídica (E)</w:t>
      </w:r>
    </w:p>
    <w:p w14:paraId="711A712D" w14:textId="77777777" w:rsidR="007A22E7" w:rsidRDefault="007A22E7" w:rsidP="007A22E7">
      <w:pPr>
        <w:jc w:val="both"/>
        <w:rPr>
          <w:rFonts w:ascii="Verdana" w:hAnsi="Verdana"/>
          <w:sz w:val="22"/>
          <w:szCs w:val="22"/>
        </w:rPr>
      </w:pPr>
    </w:p>
    <w:p w14:paraId="0207EE18" w14:textId="646CFC5B" w:rsidR="007A22E7" w:rsidRPr="007A22E7" w:rsidRDefault="007A22E7" w:rsidP="007A22E7">
      <w:pPr>
        <w:jc w:val="both"/>
        <w:rPr>
          <w:rFonts w:ascii="Verdana" w:hAnsi="Verdana"/>
          <w:b/>
          <w:bCs/>
          <w:sz w:val="22"/>
          <w:szCs w:val="22"/>
          <w:lang w:val="pt-PT"/>
        </w:rPr>
      </w:pPr>
      <w:r w:rsidRPr="007A22E7">
        <w:rPr>
          <w:rFonts w:ascii="Verdana" w:hAnsi="Verdana"/>
          <w:b/>
          <w:bCs/>
          <w:sz w:val="22"/>
          <w:szCs w:val="22"/>
          <w:lang w:val="pt-PT"/>
        </w:rPr>
        <w:t>Notas pie de página:</w:t>
      </w:r>
    </w:p>
    <w:p w14:paraId="394F9D83" w14:textId="1E74CDCD" w:rsidR="007A22E7" w:rsidRPr="007A22E7" w:rsidRDefault="007A22E7" w:rsidP="007A22E7">
      <w:pPr>
        <w:jc w:val="both"/>
        <w:rPr>
          <w:rFonts w:ascii="Verdana" w:hAnsi="Verdana"/>
          <w:sz w:val="22"/>
          <w:szCs w:val="22"/>
          <w:lang w:val="pt-PT"/>
        </w:rPr>
      </w:pPr>
      <w:r w:rsidRPr="007A22E7">
        <w:rPr>
          <w:rFonts w:ascii="Verdana" w:hAnsi="Verdana"/>
          <w:sz w:val="22"/>
          <w:szCs w:val="22"/>
          <w:lang w:val="pt-PT"/>
        </w:rPr>
        <w:t>1. T-671-10 M.P. Dr. JORGE IGNACIO PRETEIT CHALJUB</w:t>
      </w:r>
    </w:p>
    <w:p w14:paraId="3E5A8195" w14:textId="43011C57" w:rsidR="007A22E7" w:rsidRPr="007A22E7" w:rsidRDefault="007A22E7" w:rsidP="007A22E7">
      <w:pPr>
        <w:jc w:val="both"/>
        <w:rPr>
          <w:rFonts w:ascii="Verdana" w:hAnsi="Verdana"/>
          <w:sz w:val="22"/>
          <w:szCs w:val="22"/>
        </w:rPr>
      </w:pPr>
      <w:r w:rsidRPr="007A22E7">
        <w:rPr>
          <w:rFonts w:ascii="Verdana" w:hAnsi="Verdana"/>
          <w:sz w:val="22"/>
          <w:szCs w:val="22"/>
        </w:rPr>
        <w:t>2. Artículo 4o de la Ley 1098 de 2006.</w:t>
      </w:r>
    </w:p>
    <w:p w14:paraId="312A068C" w14:textId="04D92458" w:rsidR="007A22E7" w:rsidRPr="007A22E7" w:rsidRDefault="007A22E7" w:rsidP="007A22E7">
      <w:pPr>
        <w:jc w:val="both"/>
        <w:rPr>
          <w:rFonts w:ascii="Verdana" w:hAnsi="Verdana"/>
          <w:sz w:val="22"/>
          <w:szCs w:val="22"/>
        </w:rPr>
      </w:pPr>
      <w:r w:rsidRPr="007A22E7">
        <w:rPr>
          <w:rFonts w:ascii="Verdana" w:hAnsi="Verdana"/>
          <w:sz w:val="22"/>
          <w:szCs w:val="22"/>
        </w:rPr>
        <w:t>3. Corte Constitucional. C- 149 del 11 de marzo de 2009. M P: Dr. Gabriel Eduardo Mendoza Martelo</w:t>
      </w:r>
    </w:p>
    <w:p w14:paraId="344A0566" w14:textId="4538C513" w:rsidR="007A22E7" w:rsidRPr="007A22E7" w:rsidRDefault="007A22E7" w:rsidP="007A22E7">
      <w:pPr>
        <w:jc w:val="both"/>
        <w:rPr>
          <w:rFonts w:ascii="Verdana" w:hAnsi="Verdana"/>
          <w:sz w:val="22"/>
          <w:szCs w:val="22"/>
        </w:rPr>
      </w:pPr>
      <w:r w:rsidRPr="007A22E7">
        <w:rPr>
          <w:rFonts w:ascii="Verdana" w:hAnsi="Verdana"/>
          <w:sz w:val="22"/>
          <w:szCs w:val="22"/>
        </w:rPr>
        <w:t>4. Corte Constitucional, sentencia C-690/08, expediente D-6939, M.p: Nilson Pinilla Pinilla</w:t>
      </w:r>
    </w:p>
    <w:p w14:paraId="16BDDA0C" w14:textId="48E8AA89" w:rsidR="007A22E7" w:rsidRPr="007A22E7" w:rsidRDefault="007A22E7" w:rsidP="007A22E7">
      <w:pPr>
        <w:jc w:val="both"/>
        <w:rPr>
          <w:rFonts w:ascii="Verdana" w:hAnsi="Verdana"/>
          <w:sz w:val="22"/>
          <w:szCs w:val="22"/>
        </w:rPr>
      </w:pPr>
      <w:r w:rsidRPr="007A22E7">
        <w:rPr>
          <w:rFonts w:ascii="Verdana" w:hAnsi="Verdana"/>
          <w:sz w:val="22"/>
          <w:szCs w:val="22"/>
        </w:rPr>
        <w:t xml:space="preserve">5 Artículo 44 Constitución Política,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w:t>
      </w:r>
      <w:r w:rsidRPr="007A22E7">
        <w:rPr>
          <w:rFonts w:ascii="Verdana" w:hAnsi="Verdana"/>
          <w:sz w:val="22"/>
          <w:szCs w:val="22"/>
        </w:rPr>
        <w:lastRenderedPageBreak/>
        <w:t>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0C62B67C" w14:textId="3B1FB3B5" w:rsidR="007A22E7" w:rsidRPr="007A22E7" w:rsidRDefault="007A22E7" w:rsidP="007A22E7">
      <w:pPr>
        <w:jc w:val="both"/>
        <w:rPr>
          <w:rFonts w:ascii="Verdana" w:hAnsi="Verdana"/>
          <w:sz w:val="22"/>
          <w:szCs w:val="22"/>
        </w:rPr>
      </w:pPr>
      <w:r w:rsidRPr="007A22E7">
        <w:rPr>
          <w:rFonts w:ascii="Verdana" w:hAnsi="Verdana"/>
          <w:sz w:val="22"/>
          <w:szCs w:val="22"/>
        </w:rPr>
        <w:t>6 Artículo 103 de la Ley 1098 da 2006.</w:t>
      </w:r>
    </w:p>
    <w:p w14:paraId="41FF6865" w14:textId="0464B389" w:rsidR="007A22E7" w:rsidRPr="007A22E7" w:rsidRDefault="007A22E7" w:rsidP="007A22E7">
      <w:pPr>
        <w:jc w:val="both"/>
        <w:rPr>
          <w:rFonts w:ascii="Verdana" w:hAnsi="Verdana"/>
          <w:sz w:val="22"/>
          <w:szCs w:val="22"/>
        </w:rPr>
      </w:pPr>
      <w:r w:rsidRPr="007A22E7">
        <w:rPr>
          <w:rFonts w:ascii="Verdana" w:hAnsi="Verdana"/>
          <w:sz w:val="22"/>
          <w:szCs w:val="22"/>
        </w:rPr>
        <w:t>7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2492C28C" w14:textId="77777777" w:rsidR="007A22E7" w:rsidRPr="007A22E7" w:rsidRDefault="007A22E7" w:rsidP="007A22E7">
      <w:pPr>
        <w:jc w:val="both"/>
        <w:rPr>
          <w:rFonts w:ascii="Verdana" w:hAnsi="Verdana"/>
          <w:sz w:val="22"/>
          <w:szCs w:val="22"/>
        </w:rPr>
      </w:pPr>
    </w:p>
    <w:sectPr w:rsidR="007A22E7" w:rsidRPr="007A22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E7"/>
    <w:rsid w:val="007A22E7"/>
    <w:rsid w:val="008A1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7956"/>
  <w15:chartTrackingRefBased/>
  <w15:docId w15:val="{5D5353A9-CF54-4F36-A34C-8C42E546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2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2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22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22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22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22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2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2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2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2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22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22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22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22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22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2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2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2E7"/>
    <w:rPr>
      <w:rFonts w:eastAsiaTheme="majorEastAsia" w:cstheme="majorBidi"/>
      <w:color w:val="272727" w:themeColor="text1" w:themeTint="D8"/>
    </w:rPr>
  </w:style>
  <w:style w:type="paragraph" w:styleId="Ttulo">
    <w:name w:val="Title"/>
    <w:basedOn w:val="Normal"/>
    <w:next w:val="Normal"/>
    <w:link w:val="TtuloCar"/>
    <w:uiPriority w:val="10"/>
    <w:qFormat/>
    <w:rsid w:val="007A2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2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2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2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2E7"/>
    <w:pPr>
      <w:spacing w:before="160"/>
      <w:jc w:val="center"/>
    </w:pPr>
    <w:rPr>
      <w:i/>
      <w:iCs/>
      <w:color w:val="404040" w:themeColor="text1" w:themeTint="BF"/>
    </w:rPr>
  </w:style>
  <w:style w:type="character" w:customStyle="1" w:styleId="CitaCar">
    <w:name w:val="Cita Car"/>
    <w:basedOn w:val="Fuentedeprrafopredeter"/>
    <w:link w:val="Cita"/>
    <w:uiPriority w:val="29"/>
    <w:rsid w:val="007A22E7"/>
    <w:rPr>
      <w:i/>
      <w:iCs/>
      <w:color w:val="404040" w:themeColor="text1" w:themeTint="BF"/>
    </w:rPr>
  </w:style>
  <w:style w:type="paragraph" w:styleId="Prrafodelista">
    <w:name w:val="List Paragraph"/>
    <w:basedOn w:val="Normal"/>
    <w:uiPriority w:val="34"/>
    <w:qFormat/>
    <w:rsid w:val="007A22E7"/>
    <w:pPr>
      <w:ind w:left="720"/>
      <w:contextualSpacing/>
    </w:pPr>
  </w:style>
  <w:style w:type="character" w:styleId="nfasisintenso">
    <w:name w:val="Intense Emphasis"/>
    <w:basedOn w:val="Fuentedeprrafopredeter"/>
    <w:uiPriority w:val="21"/>
    <w:qFormat/>
    <w:rsid w:val="007A22E7"/>
    <w:rPr>
      <w:i/>
      <w:iCs/>
      <w:color w:val="0F4761" w:themeColor="accent1" w:themeShade="BF"/>
    </w:rPr>
  </w:style>
  <w:style w:type="paragraph" w:styleId="Citadestacada">
    <w:name w:val="Intense Quote"/>
    <w:basedOn w:val="Normal"/>
    <w:next w:val="Normal"/>
    <w:link w:val="CitadestacadaCar"/>
    <w:uiPriority w:val="30"/>
    <w:qFormat/>
    <w:rsid w:val="007A2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22E7"/>
    <w:rPr>
      <w:i/>
      <w:iCs/>
      <w:color w:val="0F4761" w:themeColor="accent1" w:themeShade="BF"/>
    </w:rPr>
  </w:style>
  <w:style w:type="character" w:styleId="Referenciaintensa">
    <w:name w:val="Intense Reference"/>
    <w:basedOn w:val="Fuentedeprrafopredeter"/>
    <w:uiPriority w:val="32"/>
    <w:qFormat/>
    <w:rsid w:val="007A22E7"/>
    <w:rPr>
      <w:b/>
      <w:bCs/>
      <w:smallCaps/>
      <w:color w:val="0F4761" w:themeColor="accent1" w:themeShade="BF"/>
      <w:spacing w:val="5"/>
    </w:rPr>
  </w:style>
  <w:style w:type="character" w:styleId="Hipervnculo">
    <w:name w:val="Hyperlink"/>
    <w:basedOn w:val="Fuentedeprrafopredeter"/>
    <w:uiPriority w:val="99"/>
    <w:unhideWhenUsed/>
    <w:rsid w:val="007A22E7"/>
    <w:rPr>
      <w:color w:val="467886" w:themeColor="hyperlink"/>
      <w:u w:val="single"/>
    </w:rPr>
  </w:style>
  <w:style w:type="character" w:styleId="Mencinsinresolver">
    <w:name w:val="Unresolved Mention"/>
    <w:basedOn w:val="Fuentedeprrafopredeter"/>
    <w:uiPriority w:val="99"/>
    <w:semiHidden/>
    <w:unhideWhenUsed/>
    <w:rsid w:val="007A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EC8F9-4716-4F61-8767-587D80BF1308}"/>
</file>

<file path=customXml/itemProps2.xml><?xml version="1.0" encoding="utf-8"?>
<ds:datastoreItem xmlns:ds="http://schemas.openxmlformats.org/officeDocument/2006/customXml" ds:itemID="{4AB66F1D-2DEC-4D9E-9ACE-1246D395BD07}"/>
</file>

<file path=customXml/itemProps3.xml><?xml version="1.0" encoding="utf-8"?>
<ds:datastoreItem xmlns:ds="http://schemas.openxmlformats.org/officeDocument/2006/customXml" ds:itemID="{2C78E65D-6901-4978-A6A6-44773A9F2460}"/>
</file>

<file path=docProps/app.xml><?xml version="1.0" encoding="utf-8"?>
<Properties xmlns="http://schemas.openxmlformats.org/officeDocument/2006/extended-properties" xmlns:vt="http://schemas.openxmlformats.org/officeDocument/2006/docPropsVTypes">
  <Template>Normal</Template>
  <TotalTime>1</TotalTime>
  <Pages>1</Pages>
  <Words>2551</Words>
  <Characters>14036</Characters>
  <Application>Microsoft Office Word</Application>
  <DocSecurity>0</DocSecurity>
  <Lines>116</Lines>
  <Paragraphs>33</Paragraphs>
  <ScaleCrop>false</ScaleCrop>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2026-05-08T16:21:00Z</dcterms:created>
  <dcterms:modified xsi:type="dcterms:W3CDTF">2026-05-08T16:22:00Z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