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8F9" w:rsidP="008068F9" w:rsidRDefault="008068F9" w14:paraId="7D9BE818" w14:textId="604159FF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CONCEPTO No. 10 DE 2024</w:t>
      </w:r>
    </w:p>
    <w:p w:rsidRPr="008068F9" w:rsidR="008068F9" w:rsidP="008068F9" w:rsidRDefault="008068F9" w14:paraId="4D430622" w14:textId="1544B3C0">
      <w:pPr>
        <w:jc w:val="center"/>
        <w:rPr>
          <w:rFonts w:ascii="Verdana" w:hAnsi="Verdana"/>
          <w:sz w:val="22"/>
          <w:szCs w:val="22"/>
        </w:rPr>
      </w:pPr>
      <w:r w:rsidRPr="3BF86E82" w:rsidR="44176B3B">
        <w:rPr>
          <w:rFonts w:ascii="Verdana" w:hAnsi="Verdana"/>
          <w:sz w:val="22"/>
          <w:szCs w:val="22"/>
        </w:rPr>
        <w:t>(26 de diciembre)</w:t>
      </w:r>
    </w:p>
    <w:p w:rsidR="008068F9" w:rsidP="3BF86E82" w:rsidRDefault="008068F9" w14:paraId="36116B28" w14:textId="15D3206C">
      <w:pPr>
        <w:pStyle w:val="Normal"/>
        <w:jc w:val="center"/>
        <w:rPr>
          <w:rFonts w:ascii="Verdana" w:hAnsi="Verdana" w:eastAsia="Verdana" w:cs="Verdana"/>
          <w:noProof w:val="0"/>
          <w:sz w:val="22"/>
          <w:szCs w:val="22"/>
          <w:lang w:val="es-CO"/>
        </w:rPr>
      </w:pPr>
      <w:r w:rsidRPr="3BF86E82" w:rsidR="1627DE9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INSTITUTO COLOMBIANO DE BIENESTAR FAMILIAR</w:t>
      </w:r>
    </w:p>
    <w:p w:rsidRPr="008068F9" w:rsidR="008068F9" w:rsidP="008068F9" w:rsidRDefault="008068F9" w14:paraId="5C857C58" w14:textId="77777777">
      <w:pPr>
        <w:rPr>
          <w:rFonts w:ascii="Verdana" w:hAnsi="Verdana"/>
          <w:b/>
          <w:bCs/>
          <w:sz w:val="22"/>
          <w:szCs w:val="22"/>
        </w:rPr>
      </w:pPr>
      <w:r w:rsidRPr="008068F9">
        <w:rPr>
          <w:rFonts w:ascii="Verdana" w:hAnsi="Verdana"/>
          <w:b/>
          <w:bCs/>
          <w:sz w:val="22"/>
          <w:szCs w:val="22"/>
        </w:rPr>
        <w:t xml:space="preserve">Asunto: </w:t>
      </w:r>
      <w:r w:rsidRPr="008068F9">
        <w:rPr>
          <w:rFonts w:ascii="Verdana" w:hAnsi="Verdana"/>
          <w:sz w:val="22"/>
          <w:szCs w:val="22"/>
        </w:rPr>
        <w:t>Concepto jurídico artículo 37 de la Ley 361 de 1997</w:t>
      </w:r>
    </w:p>
    <w:p w:rsidRPr="008068F9" w:rsidR="008068F9" w:rsidP="008068F9" w:rsidRDefault="008068F9" w14:paraId="457365D1" w14:textId="1C9106D5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La Oficina Asesora Jurídica, en atención al Plan de Acción a Nivel Nacional del MEDD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en la categoría de discapacidad, en el cual se asignaron acciones a realizar por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parte de esta Oficina, de manera atenta y de conformidad con lo previsto en los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artículos 26 del Código Civil, Ley 1755 de 2015, y el artículo 6, numeral 4, del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Decreto 987 de 2012 se permite emitir concepto respecto del artículo 37 de la Ley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361 de 1997 para dar cumplimiento a la acción del MEDD que indica:</w:t>
      </w:r>
    </w:p>
    <w:p w:rsidRPr="008068F9" w:rsidR="008068F9" w:rsidP="008068F9" w:rsidRDefault="008068F9" w14:paraId="6327C309" w14:textId="451F7FE3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“</w:t>
      </w:r>
      <w:r w:rsidRPr="008068F9">
        <w:rPr>
          <w:rFonts w:ascii="Verdana" w:hAnsi="Verdana"/>
          <w:b/>
          <w:bCs/>
          <w:i/>
          <w:iCs/>
          <w:sz w:val="22"/>
          <w:szCs w:val="22"/>
        </w:rPr>
        <w:t xml:space="preserve">1.5.6 </w:t>
      </w:r>
      <w:r w:rsidRPr="008068F9">
        <w:rPr>
          <w:rFonts w:ascii="Verdana" w:hAnsi="Verdana"/>
          <w:i/>
          <w:iCs/>
          <w:sz w:val="22"/>
          <w:szCs w:val="22"/>
        </w:rPr>
        <w:t xml:space="preserve">Establecer y elaborar la estrategia jurídica más efectiva para ser </w:t>
      </w:r>
      <w:r>
        <w:rPr>
          <w:rFonts w:ascii="Verdana" w:hAnsi="Verdana"/>
          <w:i/>
          <w:iCs/>
          <w:sz w:val="22"/>
          <w:szCs w:val="22"/>
        </w:rPr>
        <w:t>e</w:t>
      </w:r>
      <w:r w:rsidRPr="008068F9">
        <w:rPr>
          <w:rFonts w:ascii="Verdana" w:hAnsi="Verdana"/>
          <w:i/>
          <w:iCs/>
          <w:sz w:val="22"/>
          <w:szCs w:val="22"/>
        </w:rPr>
        <w:t>jercida y que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permita el ajuste normativo del artículo 37 de la Ley 361 de 1997, a partir de un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análisis jurídico y de conveniencia</w:t>
      </w:r>
      <w:r w:rsidRPr="008068F9">
        <w:rPr>
          <w:rFonts w:ascii="Verdana" w:hAnsi="Verdana"/>
          <w:sz w:val="22"/>
          <w:szCs w:val="22"/>
        </w:rPr>
        <w:t>”.</w:t>
      </w:r>
    </w:p>
    <w:p w:rsidR="008068F9" w:rsidP="008068F9" w:rsidRDefault="008068F9" w14:paraId="75ADA519" w14:textId="6800E36C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En ese orden de ideas, se propone para dar una respuesta a la acción designada 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esta oficina, el siguiente plan metodológico: (i) análisis general de la Ley 361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1997; (</w:t>
      </w:r>
      <w:proofErr w:type="spellStart"/>
      <w:r w:rsidRPr="008068F9">
        <w:rPr>
          <w:rFonts w:ascii="Verdana" w:hAnsi="Verdana"/>
          <w:sz w:val="22"/>
          <w:szCs w:val="22"/>
        </w:rPr>
        <w:t>ii</w:t>
      </w:r>
      <w:proofErr w:type="spellEnd"/>
      <w:r w:rsidRPr="008068F9">
        <w:rPr>
          <w:rFonts w:ascii="Verdana" w:hAnsi="Verdana"/>
          <w:sz w:val="22"/>
          <w:szCs w:val="22"/>
        </w:rPr>
        <w:t>) análisis del artículo 37 de la precitada norma; (</w:t>
      </w:r>
      <w:proofErr w:type="spellStart"/>
      <w:r w:rsidRPr="008068F9">
        <w:rPr>
          <w:rFonts w:ascii="Verdana" w:hAnsi="Verdana"/>
          <w:sz w:val="22"/>
          <w:szCs w:val="22"/>
        </w:rPr>
        <w:t>iii</w:t>
      </w:r>
      <w:proofErr w:type="spellEnd"/>
      <w:r w:rsidRPr="008068F9">
        <w:rPr>
          <w:rFonts w:ascii="Verdana" w:hAnsi="Verdana"/>
          <w:sz w:val="22"/>
          <w:szCs w:val="22"/>
        </w:rPr>
        <w:t>) establecer el alcance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normativo actual del artículo 37; (</w:t>
      </w:r>
      <w:proofErr w:type="spellStart"/>
      <w:r w:rsidRPr="008068F9">
        <w:rPr>
          <w:rFonts w:ascii="Verdana" w:hAnsi="Verdana"/>
          <w:sz w:val="22"/>
          <w:szCs w:val="22"/>
        </w:rPr>
        <w:t>iv</w:t>
      </w:r>
      <w:proofErr w:type="spellEnd"/>
      <w:r w:rsidRPr="008068F9">
        <w:rPr>
          <w:rFonts w:ascii="Verdana" w:hAnsi="Verdana"/>
          <w:sz w:val="22"/>
          <w:szCs w:val="22"/>
        </w:rPr>
        <w:t>) las propuestas procesales para el caso; y (v)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las recomendaciones y conclusiones.</w:t>
      </w:r>
    </w:p>
    <w:p w:rsidR="008068F9" w:rsidP="008068F9" w:rsidRDefault="008068F9" w14:paraId="74B6427B" w14:textId="77777777">
      <w:pPr>
        <w:jc w:val="both"/>
        <w:rPr>
          <w:rFonts w:ascii="Verdana" w:hAnsi="Verdana"/>
          <w:sz w:val="22"/>
          <w:szCs w:val="22"/>
        </w:rPr>
      </w:pPr>
    </w:p>
    <w:p w:rsidRPr="008068F9" w:rsidR="008068F9" w:rsidP="008068F9" w:rsidRDefault="008068F9" w14:paraId="427C1911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8068F9">
        <w:rPr>
          <w:rFonts w:ascii="Verdana" w:hAnsi="Verdana"/>
          <w:b/>
          <w:bCs/>
          <w:sz w:val="22"/>
          <w:szCs w:val="22"/>
        </w:rPr>
        <w:t>1. Ley 361 de 1997</w:t>
      </w:r>
    </w:p>
    <w:p w:rsidRPr="008068F9" w:rsidR="008068F9" w:rsidP="008068F9" w:rsidRDefault="008068F9" w14:paraId="3834B90E" w14:textId="77777777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La Ley 361 de 1997 fue expedida con la finalidad constitucional de establecer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mecanismos de integración social para las personas en situación de discapacidad,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generando un marco normativo encaminado a garantizar los derechos de este grupo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vulnerable de personas desde la generación de diferentes acciones institucionales;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como la rehabilitación y el bienestar social, asegurando la prevalencia de sus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derechos en ámbitos como el educativo y el laboral, así como también promoviendo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la accesibilidad a los espacios y ambientes. Así pues, el objeto de la Ley en comento</w:t>
      </w:r>
    </w:p>
    <w:p w:rsidRPr="008068F9" w:rsidR="008068F9" w:rsidP="008068F9" w:rsidRDefault="008068F9" w14:paraId="68619DE1" w14:textId="5CD882C4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es establecer un marco jurídico que garantice la protección, promoción y realización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los derechos fundamentales, económicos, sociales y culturales de las personas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con discapacidad en Colombia.</w:t>
      </w:r>
    </w:p>
    <w:p w:rsidRPr="008068F9" w:rsidR="008068F9" w:rsidP="008068F9" w:rsidRDefault="008068F9" w14:paraId="3F594767" w14:textId="4C59D7C9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Tal como está señalado en su artículo 11 es una Ley inspirada en los artículos de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 xml:space="preserve">Constitución Política de Colombia: 13 (derecho a la igualdad), 47 (obligación </w:t>
      </w:r>
      <w:r w:rsidRPr="008068F9">
        <w:rPr>
          <w:rFonts w:ascii="Verdana" w:hAnsi="Verdana"/>
          <w:sz w:val="22"/>
          <w:szCs w:val="22"/>
        </w:rPr>
        <w:lastRenderedPageBreak/>
        <w:t>del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Estado de políticas de previsión, rehabilitación e integración social), 54 (integración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laboral de las personas con discapacidad) y 68 (derecho a la educación)2.</w:t>
      </w:r>
    </w:p>
    <w:p w:rsidRPr="008068F9" w:rsidR="008068F9" w:rsidP="008068F9" w:rsidRDefault="008068F9" w14:paraId="55143C0E" w14:textId="77777777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Si bien es cierto que esta Ley, conocida como Ley Clopatofsky, busca promover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igualdad de oportunidades para las personas con discapacidad, facilitar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 xml:space="preserve">rehabilitación </w:t>
      </w:r>
      <w:r w:rsidRPr="008068F9">
        <w:rPr>
          <w:rFonts w:ascii="Verdana" w:hAnsi="Verdana"/>
          <w:sz w:val="22"/>
          <w:szCs w:val="22"/>
        </w:rPr>
        <w:t>y la inclusión efectiva de las personas con discapacidad en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sociedad, combatir cualquier forma de discriminación, garantizar el acceso a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educación, promover políticas que faciliten la inserción laboral de las personas con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discapacidad, proporcionar la asistencia y protección necesarias para las personas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con discapacidades severas y profundas3 garantizando su bienestar y calidad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vida, en su redacción original acogió el Modelo Médico o Rehabilitador4 el cual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implica entender la discapacidad como la presencia de un diagnóstico médico,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equiparando discapacidad con enfermedad, otorgándole al Estado la función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consecuencia la exclusión5.</w:t>
      </w:r>
    </w:p>
    <w:p w:rsidRPr="008068F9" w:rsidR="008068F9" w:rsidP="008068F9" w:rsidRDefault="008068F9" w14:paraId="37958E2A" w14:textId="5F4AF933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Sin embargo, debe resaltarse su importancia en materias como la laboral, en donde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ha sido continuamente empleada para garantizar los fueros especiales de los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trabajadores con discapacidad ante despidos injustificados o en razón a su condición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salud, lo cual ha sido reiterado en amplia jurisprudencia constitucional (entre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otras, véase T-434 de 2008, T-277 de 2020, SU-087 de 2022).</w:t>
      </w:r>
    </w:p>
    <w:p w:rsidRPr="008068F9" w:rsidR="008068F9" w:rsidP="008068F9" w:rsidRDefault="008068F9" w14:paraId="05E2B61D" w14:textId="2EC22969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La enunciada Ley ha sido modificada por el Decreto 19 de 20126, la Ley 1316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20097, Ley 1287 de 20098, Ley 1145 de 20079 y la Ley 982 de 200510 y en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actualidad se encuentra vigente, aunque debe ser interpretada a la luz de un nuevo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modelo o enfoque de entender la discapacidad en Colombia y a nivel internacional.</w:t>
      </w:r>
    </w:p>
    <w:p w:rsidRPr="008068F9" w:rsidR="008068F9" w:rsidP="008068F9" w:rsidRDefault="008068F9" w14:paraId="657134F3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8068F9">
        <w:rPr>
          <w:rFonts w:ascii="Verdana" w:hAnsi="Verdana"/>
          <w:b/>
          <w:bCs/>
          <w:sz w:val="22"/>
          <w:szCs w:val="22"/>
        </w:rPr>
        <w:t>2. Artículo 37 de la Ley 361 de 1997</w:t>
      </w:r>
    </w:p>
    <w:p w:rsidRPr="008068F9" w:rsidR="008068F9" w:rsidP="008068F9" w:rsidRDefault="008068F9" w14:paraId="53182444" w14:textId="578C912D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En lo que respecta al artículo 37 de la Ley 361 de 1997, el cual es objeto del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presente concepto, el mismo indica:</w:t>
      </w:r>
    </w:p>
    <w:p w:rsidR="008068F9" w:rsidP="008068F9" w:rsidRDefault="008068F9" w14:paraId="0DF5B2E8" w14:textId="14A95C85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b/>
          <w:bCs/>
          <w:i/>
          <w:iCs/>
          <w:sz w:val="22"/>
          <w:szCs w:val="22"/>
        </w:rPr>
        <w:t xml:space="preserve">ARTÍCULO 37. </w:t>
      </w:r>
      <w:r w:rsidRPr="008068F9">
        <w:rPr>
          <w:rFonts w:ascii="Verdana" w:hAnsi="Verdana"/>
          <w:i/>
          <w:iCs/>
          <w:sz w:val="22"/>
          <w:szCs w:val="22"/>
        </w:rPr>
        <w:t>El Gobierno a través del Instituto Colombiano de Bienestar Familiar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en cooperación con las organizaciones de personas en situación de discapacidad,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apropiará los recursos necesarios para crear una red nacional de residencias, hogares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comunitarios y escuelas de trabajo cuyo objetivo será atender las necesidades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aquellas personas en situación de discapacidad severas, carentes de familia, o que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aun teniéndola adolezcan de severos problemas de integración.</w:t>
      </w:r>
    </w:p>
    <w:p w:rsidRPr="008068F9" w:rsidR="008068F9" w:rsidP="008068F9" w:rsidRDefault="008068F9" w14:paraId="2B805BC9" w14:textId="675278A7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Así pues, desde una interpretación gramatical11 de la norma, es posible establecer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que el artículo incluye una serie de acciones dirigidas al Gobierno Nacional y al ICBF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las cuales corresponden a:</w:t>
      </w:r>
    </w:p>
    <w:p w:rsidRPr="008068F9" w:rsidR="008068F9" w:rsidP="008068F9" w:rsidRDefault="008068F9" w14:paraId="764E0070" w14:textId="6512ED5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lastRenderedPageBreak/>
        <w:t>Realizar una apropiación presupuestal.</w:t>
      </w:r>
    </w:p>
    <w:p w:rsidRPr="008068F9" w:rsidR="008068F9" w:rsidP="008068F9" w:rsidRDefault="008068F9" w14:paraId="5A886DB1" w14:textId="5479DF53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Lo anterior, con la finalidad o destinación específica de crear una red nacional</w:t>
      </w:r>
      <w:r w:rsidRPr="008068F9"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residencias, hogares comunitarios y escuelas de trabajo.</w:t>
      </w:r>
    </w:p>
    <w:p w:rsidRPr="008068F9" w:rsidR="008068F9" w:rsidP="008068F9" w:rsidRDefault="008068F9" w14:paraId="742AA9BC" w14:textId="20E7E4F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La red nacional está dirigida a brindar asistencia a las necesidades de</w:t>
      </w:r>
      <w:r w:rsidRPr="008068F9"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aquellas personas en situación de discapacidad severas y profundas.</w:t>
      </w:r>
    </w:p>
    <w:p w:rsidRPr="008068F9" w:rsidR="008068F9" w:rsidP="008068F9" w:rsidRDefault="008068F9" w14:paraId="5F5C9EA1" w14:textId="55895C6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Estas personas además deben carecer de familia o, aun teniéndola, adolecer</w:t>
      </w:r>
      <w:r w:rsidRPr="008068F9"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severos problemas de integración.</w:t>
      </w:r>
    </w:p>
    <w:p w:rsidRPr="008068F9" w:rsidR="008068F9" w:rsidP="008068F9" w:rsidRDefault="008068F9" w14:paraId="1D7C52C9" w14:textId="1F5A70F3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Se observa que es un artículo con un llamado a la creación de infraestructura, a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institucionalización, proponiendo la creación de una red nacional de residencias,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hogares comunitarios y escuelas de trabajo posicionando al ICBF como la entidad 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través de la que se ejecutará la medida, fortaleciendo su rol en la protección de los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derechos de las personas en situación de discapacidad.</w:t>
      </w:r>
    </w:p>
    <w:p w:rsidRPr="008068F9" w:rsidR="008068F9" w:rsidP="008068F9" w:rsidRDefault="008068F9" w14:paraId="4221029A" w14:textId="2D327944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Ahora bien, es preciso señalar que la norma se encuentra ubicada dentro de la Ley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 xml:space="preserve">en el capítulo denominado como </w:t>
      </w:r>
      <w:r w:rsidRPr="008068F9">
        <w:rPr>
          <w:rFonts w:ascii="Verdana" w:hAnsi="Verdana"/>
          <w:i/>
          <w:iCs/>
          <w:sz w:val="22"/>
          <w:szCs w:val="22"/>
        </w:rPr>
        <w:t xml:space="preserve">Del Bienestar Social, </w:t>
      </w:r>
      <w:r w:rsidRPr="008068F9">
        <w:rPr>
          <w:rFonts w:ascii="Verdana" w:hAnsi="Verdana"/>
          <w:sz w:val="22"/>
          <w:szCs w:val="22"/>
        </w:rPr>
        <w:t>lo cual, a voces del artículo 35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la misma codificación, corresponde a la atención social que requieran las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personas en condición de discapacidad, según su grado de limitación, incluyendo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servicios de información y orientación familiar, así como la instalación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residencias, hogares comunitarios y la realización de actividades culturales,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deportivas y recreativas.</w:t>
      </w:r>
    </w:p>
    <w:p w:rsidR="008068F9" w:rsidP="008068F9" w:rsidRDefault="008068F9" w14:paraId="3709F14D" w14:textId="302269DE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Sin embargo, sin desconocer la Ley 361 de 1997 y su importancia en la eficacia y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garantía de los derechos de las personas en condición de discapacidad, lo cierto es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que muchas de sus disposiciones, y en particular el artículo 37, deben ser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interpretadas y aplicadas de manera armónica con los avances normativos que han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modificado su alcance, como la Ley 1145 de 2007, la Ley 1306 de 2009, la Ley 1346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2009, la Ley 1618 de 2013 y la Ley 1996 de 2019. En concepto de esta Oficina, el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análisis del alcance de este artículo no puede realizarse únicamente de forma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individual ni directa, sino que requiere articular sus disposiciones con el conjunto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normativo vigente en materia de discapacidad, atendiendo a un sistema que, desde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1997, ha evolucionado hacia un enfoque más amplio y coordinado con entidades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nacionales, departamentales, municipales y locales.</w:t>
      </w:r>
    </w:p>
    <w:p w:rsidRPr="008068F9" w:rsidR="008068F9" w:rsidP="008068F9" w:rsidRDefault="008068F9" w14:paraId="0E832C4E" w14:textId="0EC4BD31">
      <w:pPr>
        <w:jc w:val="both"/>
        <w:rPr>
          <w:rFonts w:ascii="Verdana" w:hAnsi="Verdana"/>
          <w:b/>
          <w:bCs/>
          <w:sz w:val="22"/>
          <w:szCs w:val="22"/>
        </w:rPr>
      </w:pPr>
      <w:r w:rsidRPr="008068F9">
        <w:rPr>
          <w:rFonts w:ascii="Verdana" w:hAnsi="Verdana"/>
          <w:b/>
          <w:bCs/>
          <w:sz w:val="22"/>
          <w:szCs w:val="22"/>
        </w:rPr>
        <w:t>3. Alcance del artículo 37 de la Ley 361 de 1997 en el marco normativo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8068F9">
        <w:rPr>
          <w:rFonts w:ascii="Verdana" w:hAnsi="Verdana"/>
          <w:b/>
          <w:bCs/>
          <w:sz w:val="22"/>
          <w:szCs w:val="22"/>
        </w:rPr>
        <w:t>vigente</w:t>
      </w:r>
    </w:p>
    <w:p w:rsidRPr="008068F9" w:rsidR="008068F9" w:rsidP="008068F9" w:rsidRDefault="008068F9" w14:paraId="1C6895BB" w14:textId="0C455F9E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Desde una interpretación por contexto12, a la luz de los avances normativos que se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han venido desarrollando desde la promulgación de la Ley 361 de 1997, esta oficina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encuentra tres grandes argumentos para aseverar que el alcance del artículo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analizado varia sustancialmente en la actualidad frente al momento en que fue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expedido:</w:t>
      </w:r>
    </w:p>
    <w:p w:rsidRPr="008068F9" w:rsidR="008068F9" w:rsidP="008068F9" w:rsidRDefault="008068F9" w14:paraId="022D97C8" w14:textId="37FC5B87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lastRenderedPageBreak/>
        <w:t>i) La acción de apropiación presupuestal indicada en el artículo 37 y la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destinación específica de los recursos, hoy en día no son una competencia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exclusiva o privativa del Instituto Colombiano de Bienestar Familiar.</w:t>
      </w:r>
    </w:p>
    <w:p w:rsidRPr="008068F9" w:rsidR="008068F9" w:rsidP="008068F9" w:rsidRDefault="008068F9" w14:paraId="62AAD8BE" w14:textId="688F8316">
      <w:pPr>
        <w:jc w:val="both"/>
        <w:rPr>
          <w:rFonts w:ascii="Verdana" w:hAnsi="Verdana"/>
          <w:sz w:val="22"/>
          <w:szCs w:val="22"/>
        </w:rPr>
      </w:pPr>
      <w:proofErr w:type="spellStart"/>
      <w:r w:rsidRPr="008068F9">
        <w:rPr>
          <w:rFonts w:ascii="Verdana" w:hAnsi="Verdana"/>
          <w:sz w:val="22"/>
          <w:szCs w:val="22"/>
        </w:rPr>
        <w:t>ii</w:t>
      </w:r>
      <w:proofErr w:type="spellEnd"/>
      <w:r w:rsidRPr="008068F9">
        <w:rPr>
          <w:rFonts w:ascii="Verdana" w:hAnsi="Verdana"/>
          <w:sz w:val="22"/>
          <w:szCs w:val="22"/>
        </w:rPr>
        <w:t>) Respecto a la materialidad de la destinación específica de los recursos, al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ICBF no se le han concedido competencias en la política de discapacidad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relacionadas con la habilitación y la rehabilitación integral.</w:t>
      </w:r>
    </w:p>
    <w:p w:rsidRPr="008068F9" w:rsidR="008068F9" w:rsidP="008068F9" w:rsidRDefault="008068F9" w14:paraId="4F49D1AE" w14:textId="77777777">
      <w:pPr>
        <w:jc w:val="both"/>
        <w:rPr>
          <w:rFonts w:ascii="Verdana" w:hAnsi="Verdana"/>
          <w:sz w:val="22"/>
          <w:szCs w:val="22"/>
        </w:rPr>
      </w:pPr>
      <w:proofErr w:type="spellStart"/>
      <w:r w:rsidRPr="008068F9">
        <w:rPr>
          <w:rFonts w:ascii="Verdana" w:hAnsi="Verdana"/>
          <w:sz w:val="22"/>
          <w:szCs w:val="22"/>
        </w:rPr>
        <w:t>iii</w:t>
      </w:r>
      <w:proofErr w:type="spellEnd"/>
      <w:r w:rsidRPr="008068F9">
        <w:rPr>
          <w:rFonts w:ascii="Verdana" w:hAnsi="Verdana"/>
          <w:sz w:val="22"/>
          <w:szCs w:val="22"/>
        </w:rPr>
        <w:t>) El artículo 37 de la Ley 361 de 1997 presenta una derogatoria tácita.</w:t>
      </w:r>
    </w:p>
    <w:p w:rsidRPr="008068F9" w:rsidR="008068F9" w:rsidP="008068F9" w:rsidRDefault="008068F9" w14:paraId="7074A171" w14:textId="222A6000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 xml:space="preserve">A continuación, se explican estos puntos realizando un análisis del marco </w:t>
      </w:r>
      <w:r>
        <w:rPr>
          <w:rFonts w:ascii="Verdana" w:hAnsi="Verdana"/>
          <w:sz w:val="22"/>
          <w:szCs w:val="22"/>
        </w:rPr>
        <w:t>n</w:t>
      </w:r>
      <w:r w:rsidRPr="008068F9">
        <w:rPr>
          <w:rFonts w:ascii="Verdana" w:hAnsi="Verdana"/>
          <w:sz w:val="22"/>
          <w:szCs w:val="22"/>
        </w:rPr>
        <w:t>ormativo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aplicable:</w:t>
      </w:r>
    </w:p>
    <w:p w:rsidRPr="008068F9" w:rsidR="008068F9" w:rsidP="008068F9" w:rsidRDefault="008068F9" w14:paraId="697E66C6" w14:textId="125E885A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i) Apropiación presupuestal a la luz de las disposiciones de la Ley 1145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2007 y la Ley 1618 de 2013:</w:t>
      </w:r>
    </w:p>
    <w:p w:rsidRPr="008068F9" w:rsidR="008068F9" w:rsidP="008068F9" w:rsidRDefault="008068F9" w14:paraId="4604AA32" w14:textId="7DCA32F2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La acción de apropiación presupuestal indicada en el artículo y la destinación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específica de los recursos, hoy en día no son una competencia exclusiva o privativa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del Instituto Colombiano de Bienestar Familiar, dado que para ello debe atenderse el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surgimiento del Sistema Nacional de Discapacidad con la Ley 1145 de 2007 y las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disposiciones normativas para garantizar el pleno ejercicio de los derechos de las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personas con discapacidad establecidas en la Ley 1618 de 2013.</w:t>
      </w:r>
    </w:p>
    <w:p w:rsidR="008068F9" w:rsidP="008068F9" w:rsidRDefault="008068F9" w14:paraId="5CF2032D" w14:textId="69D8A1A2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Tal como lo indica el artículo 2 de la Ley 1145 de 2007, el Sistema Nacional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 xml:space="preserve">Discapacidad (SND) corresponde al </w:t>
      </w:r>
      <w:r w:rsidRPr="008068F9">
        <w:rPr>
          <w:rFonts w:ascii="Verdana" w:hAnsi="Verdana"/>
          <w:i/>
          <w:iCs/>
          <w:sz w:val="22"/>
          <w:szCs w:val="22"/>
        </w:rPr>
        <w:t>conjunto de orientaciones, normas, actividades,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recursos, programas e instituciones que permiten la puesta en marcha de 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 xml:space="preserve">principios generales de la discapacidad, </w:t>
      </w:r>
      <w:r w:rsidRPr="008068F9">
        <w:rPr>
          <w:rFonts w:ascii="Verdana" w:hAnsi="Verdana"/>
          <w:sz w:val="22"/>
          <w:szCs w:val="22"/>
        </w:rPr>
        <w:t>así como también el artículo 5 de la misma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Ley indica que la estructura de este sistema se basa en un articulación nacional y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territorial de las políticas, los recursos y la atención a la población con y en situación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 discapacidad, para lo cual el SND es el:</w:t>
      </w:r>
    </w:p>
    <w:p w:rsidRPr="008068F9" w:rsidR="008068F9" w:rsidP="008068F9" w:rsidRDefault="008068F9" w14:paraId="1725C7FC" w14:textId="66E01888">
      <w:pPr>
        <w:jc w:val="both"/>
        <w:rPr>
          <w:rFonts w:ascii="Verdana" w:hAnsi="Verdana"/>
          <w:i/>
          <w:iCs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 xml:space="preserve">[…] </w:t>
      </w:r>
      <w:r w:rsidRPr="008068F9">
        <w:rPr>
          <w:rFonts w:ascii="Verdana" w:hAnsi="Verdana"/>
          <w:i/>
          <w:iCs/>
          <w:sz w:val="22"/>
          <w:szCs w:val="22"/>
        </w:rPr>
        <w:t>mecanismo de coordinación de los diferentes actores que intervienen en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integración social de esta población, en el marco de los Derechos Humanos, con el fin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de racionalizar los esfuerzos, aumentar la cobertura y organizar la oferta de programas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y servicios, promover la participación de la población fortaleciendo su organización, así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como la de las organizaciones públicas y de la sociedad civil que actúan mediante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diversas estrategias de planeación, administración, normalización,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promoción/prevención, habilitación/rehabilitación, investigación, y equiparación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oportunidades.</w:t>
      </w:r>
    </w:p>
    <w:p w:rsidRPr="008068F9" w:rsidR="008068F9" w:rsidP="008068F9" w:rsidRDefault="008068F9" w14:paraId="0D64FAE1" w14:textId="0BA89788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A su vez, este espacio de articulación posee un nivel consultor y de asesoría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denominado el Consejo Nacional de Discapacidad (CND), carácter permanente, para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la coordinación, planificación, concertación, adopción y evaluación de las políticas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públicas generales y sectoriales para el sector de la discapacidad en Colombia (art.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 xml:space="preserve">9 de la Ley 1145 de 2007), el cual además tiene dentro de sus </w:t>
      </w:r>
      <w:r w:rsidRPr="008068F9">
        <w:rPr>
          <w:rFonts w:ascii="Verdana" w:hAnsi="Verdana"/>
          <w:sz w:val="22"/>
          <w:szCs w:val="22"/>
        </w:rPr>
        <w:lastRenderedPageBreak/>
        <w:t>competencias la de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“Promover la apropiación de presupuestos en las entidades nacionales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territoriales que conforman el Sistema, en búsqueda de garantizar los recursos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>necesarios para ejecutar los planes, programas y proyectos del Plan Nacional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068F9">
        <w:rPr>
          <w:rFonts w:ascii="Verdana" w:hAnsi="Verdana"/>
          <w:i/>
          <w:iCs/>
          <w:sz w:val="22"/>
          <w:szCs w:val="22"/>
        </w:rPr>
        <w:t xml:space="preserve">Discapacidad” </w:t>
      </w:r>
      <w:r w:rsidRPr="008068F9">
        <w:rPr>
          <w:rFonts w:ascii="Verdana" w:hAnsi="Verdana"/>
          <w:sz w:val="22"/>
          <w:szCs w:val="22"/>
        </w:rPr>
        <w:t>(</w:t>
      </w:r>
      <w:proofErr w:type="spellStart"/>
      <w:r w:rsidRPr="008068F9">
        <w:rPr>
          <w:rFonts w:ascii="Verdana" w:hAnsi="Verdana"/>
          <w:sz w:val="22"/>
          <w:szCs w:val="22"/>
        </w:rPr>
        <w:t>num</w:t>
      </w:r>
      <w:proofErr w:type="spellEnd"/>
      <w:r w:rsidRPr="008068F9">
        <w:rPr>
          <w:rFonts w:ascii="Verdana" w:hAnsi="Verdana"/>
          <w:sz w:val="22"/>
          <w:szCs w:val="22"/>
        </w:rPr>
        <w:t>. 6 del art. 12 de la Ley 1145 de 2007).</w:t>
      </w:r>
    </w:p>
    <w:p w:rsidRPr="008068F9" w:rsidR="008068F9" w:rsidP="008068F9" w:rsidRDefault="008068F9" w14:paraId="3C4B51A2" w14:textId="726DEE0E">
      <w:pPr>
        <w:jc w:val="both"/>
        <w:rPr>
          <w:rFonts w:ascii="Verdana" w:hAnsi="Verdana"/>
          <w:sz w:val="22"/>
          <w:szCs w:val="22"/>
        </w:rPr>
      </w:pPr>
      <w:r w:rsidRPr="008068F9">
        <w:rPr>
          <w:rFonts w:ascii="Verdana" w:hAnsi="Verdana"/>
          <w:sz w:val="22"/>
          <w:szCs w:val="22"/>
        </w:rPr>
        <w:t>Por otra parte, la Ley 1618 de 2013 estableció disposiciones legales para garantizar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el pleno ejercicio de los derechos de las personas con discapacidad, lo cual también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implicó disposiciones de índole presupuestal que fueron expedidas para todas las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entidades del Estado, y que implican la asignación de recursos en sus presupuestos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y planes de inversiones de temas relacionados con los derechos de personas en</w:t>
      </w:r>
      <w:r>
        <w:rPr>
          <w:rFonts w:ascii="Verdana" w:hAnsi="Verdana"/>
          <w:sz w:val="22"/>
          <w:szCs w:val="22"/>
        </w:rPr>
        <w:t xml:space="preserve"> </w:t>
      </w:r>
      <w:r w:rsidRPr="008068F9">
        <w:rPr>
          <w:rFonts w:ascii="Verdana" w:hAnsi="Verdana"/>
          <w:sz w:val="22"/>
          <w:szCs w:val="22"/>
        </w:rPr>
        <w:t>condición de discapacidad, indicando:</w:t>
      </w:r>
    </w:p>
    <w:p w:rsidRPr="008068F9" w:rsidR="008068F9" w:rsidP="00C03E02" w:rsidRDefault="008068F9" w14:paraId="5DB3A290" w14:textId="780B960B">
      <w:pPr>
        <w:ind w:left="567"/>
        <w:jc w:val="both"/>
        <w:rPr>
          <w:rFonts w:ascii="Verdana" w:hAnsi="Verdana"/>
          <w:i/>
          <w:iCs/>
          <w:sz w:val="20"/>
          <w:szCs w:val="20"/>
        </w:rPr>
      </w:pPr>
      <w:r w:rsidRPr="008068F9">
        <w:rPr>
          <w:rFonts w:ascii="Verdana" w:hAnsi="Verdana"/>
          <w:b/>
          <w:bCs/>
          <w:i/>
          <w:iCs/>
          <w:sz w:val="20"/>
          <w:szCs w:val="20"/>
        </w:rPr>
        <w:t>Artículo 5°. Garantía del ejercicio efectivo de todos los derechos de las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b/>
          <w:bCs/>
          <w:i/>
          <w:iCs/>
          <w:sz w:val="20"/>
          <w:szCs w:val="20"/>
        </w:rPr>
        <w:t>personas con discapacidad y de su inclusión</w:t>
      </w:r>
      <w:r w:rsidRPr="008068F9">
        <w:rPr>
          <w:rFonts w:ascii="Verdana" w:hAnsi="Verdana"/>
          <w:i/>
          <w:iCs/>
          <w:sz w:val="20"/>
          <w:szCs w:val="20"/>
        </w:rPr>
        <w:t>. Las entidades públicas del orden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nacional, departamental, municipal, distrital y local, en el marco del Sistema Nacional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de Discapacidad, son responsables de la inclusión real y efectiva de las personas con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discapacidad, debiendo asegurar que todas las políticas, planes y programas,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garanticen el ejercicio total y efectivo de sus derechos, de conformidad con el artículo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 xml:space="preserve">3° literal c), de Ley 1346 de 2009. Para tal fin, las </w:t>
      </w:r>
      <w:proofErr w:type="gramStart"/>
      <w:r w:rsidRPr="008068F9">
        <w:rPr>
          <w:rFonts w:ascii="Verdana" w:hAnsi="Verdana"/>
          <w:i/>
          <w:iCs/>
          <w:sz w:val="20"/>
          <w:szCs w:val="20"/>
        </w:rPr>
        <w:t>autoridades públicas</w:t>
      </w:r>
      <w:proofErr w:type="gramEnd"/>
      <w:r w:rsidRPr="008068F9">
        <w:rPr>
          <w:rFonts w:ascii="Verdana" w:hAnsi="Verdana"/>
          <w:i/>
          <w:iCs/>
          <w:sz w:val="20"/>
          <w:szCs w:val="20"/>
        </w:rPr>
        <w:t xml:space="preserve"> deberán, entre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otras, implementar las siguientes acciones:</w:t>
      </w:r>
    </w:p>
    <w:p w:rsidRPr="008068F9" w:rsidR="008068F9" w:rsidP="00C03E02" w:rsidRDefault="008068F9" w14:paraId="4F704FCB" w14:textId="77777777">
      <w:pPr>
        <w:ind w:left="567"/>
        <w:jc w:val="both"/>
        <w:rPr>
          <w:rFonts w:ascii="Verdana" w:hAnsi="Verdana"/>
          <w:i/>
          <w:iCs/>
          <w:sz w:val="20"/>
          <w:szCs w:val="20"/>
        </w:rPr>
      </w:pPr>
      <w:r w:rsidRPr="008068F9">
        <w:rPr>
          <w:rFonts w:ascii="Verdana" w:hAnsi="Verdana"/>
          <w:i/>
          <w:iCs/>
          <w:sz w:val="20"/>
          <w:szCs w:val="20"/>
        </w:rPr>
        <w:t>[…]</w:t>
      </w:r>
    </w:p>
    <w:p w:rsidRPr="008068F9" w:rsidR="008068F9" w:rsidP="00C03E02" w:rsidRDefault="008068F9" w14:paraId="0C7CB72E" w14:textId="054179FD">
      <w:pPr>
        <w:ind w:left="567"/>
        <w:jc w:val="both"/>
        <w:rPr>
          <w:rFonts w:ascii="Verdana" w:hAnsi="Verdana"/>
          <w:i/>
          <w:iCs/>
          <w:sz w:val="20"/>
          <w:szCs w:val="20"/>
        </w:rPr>
      </w:pPr>
      <w:r w:rsidRPr="008068F9">
        <w:rPr>
          <w:rFonts w:ascii="Verdana" w:hAnsi="Verdana"/>
          <w:i/>
          <w:iCs/>
          <w:sz w:val="20"/>
          <w:szCs w:val="20"/>
        </w:rPr>
        <w:t>4. Incorporar en su presupuesto y planes de inversiones, los recursos necesarios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destinados para implementar los ajustes razonables que se requieran para que las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personas con discapacidad puedan acceder a un determinado bien o servicio social, y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8068F9">
        <w:rPr>
          <w:rFonts w:ascii="Verdana" w:hAnsi="Verdana"/>
          <w:i/>
          <w:iCs/>
          <w:sz w:val="20"/>
          <w:szCs w:val="20"/>
        </w:rPr>
        <w:t>publicar esta información para consulta de los ciudadanos.</w:t>
      </w:r>
    </w:p>
    <w:p w:rsidR="008068F9" w:rsidP="00C03E02" w:rsidRDefault="008068F9" w14:paraId="28BE02C5" w14:textId="278C0D92">
      <w:pPr>
        <w:ind w:left="567"/>
        <w:jc w:val="both"/>
        <w:rPr>
          <w:rFonts w:ascii="Verdana" w:hAnsi="Verdana"/>
          <w:i/>
          <w:iCs/>
          <w:sz w:val="20"/>
          <w:szCs w:val="20"/>
        </w:rPr>
      </w:pPr>
      <w:r w:rsidRPr="008068F9">
        <w:rPr>
          <w:rFonts w:ascii="Verdana" w:hAnsi="Verdana"/>
          <w:i/>
          <w:iCs/>
          <w:sz w:val="20"/>
          <w:szCs w:val="20"/>
        </w:rPr>
        <w:t>[…]</w:t>
      </w:r>
    </w:p>
    <w:p w:rsidRPr="00C03E02" w:rsidR="00C03E02" w:rsidP="00C03E02" w:rsidRDefault="00C03E02" w14:paraId="1275E3DF" w14:textId="2F26FB82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i/>
          <w:iCs/>
          <w:sz w:val="22"/>
          <w:szCs w:val="22"/>
        </w:rPr>
        <w:t>8. Todos los Ministerios, en concordancia con la directriz del Ministerio de Hacienda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Crédito Público y el Departamento Nacional de Planeación, elaborarán un plan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interinstitucional en un término no mayor a dos (2) años en el que, se determinen 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recursos requeridos para la protección de los derechos de las personas con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discapacidad. El Gobierno Nacional apropiará los recursos necesarios en concordancia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con el Acto Legislativo número 03 de 2011.</w:t>
      </w:r>
    </w:p>
    <w:p w:rsidRPr="00C03E02" w:rsidR="00C03E02" w:rsidP="00C03E02" w:rsidRDefault="00C03E02" w14:paraId="4FB39DE1" w14:textId="77777777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i/>
          <w:iCs/>
          <w:sz w:val="22"/>
          <w:szCs w:val="22"/>
        </w:rPr>
        <w:t>9. El Ministerio de Hacienda y Crédito Público y el Departamento Nacional de</w:t>
      </w:r>
    </w:p>
    <w:p w:rsidRPr="00C03E02" w:rsidR="00C03E02" w:rsidP="00C03E02" w:rsidRDefault="00C03E02" w14:paraId="692E6AC9" w14:textId="5E28833B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i/>
          <w:iCs/>
          <w:sz w:val="22"/>
          <w:szCs w:val="22"/>
        </w:rPr>
        <w:t>Planeación, elaborarán anualmente los estudios económicos requeridos que permitan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establecer progresivamente, en el marco fiscal de mediano plazo, los montos de 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recursos necesarios a incluir dentro del presupuesto nacional destinados al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cumplimiento de las políticas, planes, programas y proyectos que garanticen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ejercicio total y efectivo de los derechos de las personas con discapacidad. En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concordancia con las obligaciones adquiridas </w:t>
      </w:r>
      <w:r w:rsidRPr="00C03E02">
        <w:rPr>
          <w:rFonts w:ascii="Verdana" w:hAnsi="Verdana"/>
          <w:i/>
          <w:iCs/>
          <w:sz w:val="22"/>
          <w:szCs w:val="22"/>
        </w:rPr>
        <w:lastRenderedPageBreak/>
        <w:t>por Colombia en los numerales 1° literal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a, y 2°, del artículo 4°, Ley 1346 de 2009.</w:t>
      </w:r>
    </w:p>
    <w:p w:rsidRPr="00C03E02" w:rsidR="00C03E02" w:rsidP="00C03E02" w:rsidRDefault="00C03E02" w14:paraId="166E9F2C" w14:textId="72F4FCFA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i/>
          <w:iCs/>
          <w:sz w:val="22"/>
          <w:szCs w:val="22"/>
        </w:rPr>
        <w:t xml:space="preserve">10. Las entidades públicas del orden nacional, departamental, municipal, </w:t>
      </w:r>
      <w:proofErr w:type="gramStart"/>
      <w:r w:rsidRPr="00C03E02">
        <w:rPr>
          <w:rFonts w:ascii="Verdana" w:hAnsi="Verdana"/>
          <w:i/>
          <w:iCs/>
          <w:sz w:val="22"/>
          <w:szCs w:val="22"/>
        </w:rPr>
        <w:t xml:space="preserve">distrital </w:t>
      </w:r>
      <w:r>
        <w:rPr>
          <w:rFonts w:ascii="Verdana" w:hAnsi="Verdana"/>
          <w:i/>
          <w:iCs/>
          <w:sz w:val="22"/>
          <w:szCs w:val="22"/>
        </w:rPr>
        <w:t xml:space="preserve"> y</w:t>
      </w:r>
      <w:proofErr w:type="gramEnd"/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local incluirán en sus presupuestos anuales, en forma progresiva, en el marco fiscal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mediano plazo, las partidas necesarias para hacer efectivas las acciones contenidas en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favor del ejercicio de los derechos de las personas con discapacidad.</w:t>
      </w:r>
    </w:p>
    <w:p w:rsidRPr="00C03E02" w:rsidR="00C03E02" w:rsidP="00C03E02" w:rsidRDefault="00C03E02" w14:paraId="36CC972E" w14:textId="77544A19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Así las cosas, el surgimiento del SND y las obligaciones del Estado para garantizar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los derechos de las personas con discapacidad, implicó que la política de esta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población sea más compleja en el sentido que no obedece a una sola entidad la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responsabilidad de su implementación, ejecución y seguimiento; sino que atiende 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competencias de todas las entidades en coordinación del SND. Es decir que, por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ejemplo, en materia presupuestal la destinación de recursos para garantizar los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derechos de la población en condición de discapacidad no es un asunto que sea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exclusivo de una sola entidad, sino que el mismo atiende a criterios territoriales en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los cuales todas las entidades deben contribuir a dicha garantía de derechos, tal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como se desprende de las normas anteriormente citadas.</w:t>
      </w:r>
    </w:p>
    <w:p w:rsidRPr="00C03E02" w:rsidR="00C03E02" w:rsidP="00C03E02" w:rsidRDefault="00C03E02" w14:paraId="248EE013" w14:textId="0AC27E1F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Siguiendo lo anterior, debe entenderse que hoy en día la apropiación presupuestal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para la política nacional de discapacidad está en cabeza de todos los niveles del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Estado y no solo de una entidad, dado que todas las entidades poseen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competencias en la materia.</w:t>
      </w:r>
    </w:p>
    <w:p w:rsidR="00C03E02" w:rsidP="00C03E02" w:rsidRDefault="00C03E02" w14:paraId="6CE91F7C" w14:textId="2DAC158D">
      <w:pPr>
        <w:jc w:val="both"/>
        <w:rPr>
          <w:rFonts w:ascii="Verdana" w:hAnsi="Verdana"/>
          <w:sz w:val="22"/>
          <w:szCs w:val="22"/>
        </w:rPr>
      </w:pPr>
      <w:proofErr w:type="spellStart"/>
      <w:r w:rsidRPr="00C03E02">
        <w:rPr>
          <w:rFonts w:ascii="Verdana" w:hAnsi="Verdana"/>
          <w:sz w:val="22"/>
          <w:szCs w:val="22"/>
        </w:rPr>
        <w:t>ii</w:t>
      </w:r>
      <w:proofErr w:type="spellEnd"/>
      <w:r w:rsidRPr="00C03E02">
        <w:rPr>
          <w:rFonts w:ascii="Verdana" w:hAnsi="Verdana"/>
          <w:sz w:val="22"/>
          <w:szCs w:val="22"/>
        </w:rPr>
        <w:t>) Competencias en la política de discapacidad relacionadas con la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habilitación y la rehabilitación integral en el marco de la Ley 1618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2013:</w:t>
      </w:r>
    </w:p>
    <w:p w:rsidRPr="00C03E02" w:rsidR="00C03E02" w:rsidP="00C03E02" w:rsidRDefault="00C03E02" w14:paraId="32F76327" w14:textId="5156CA1D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Ahora bien, en cuanto al tema de la materialidad de la destinación específica de los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recursos, referido a la red de residencias, en concepto de esta Oficina, este tema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debe estar comprendido en el componente de la política de discapacidad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habilitación y rehabilitación integral, precisamente por la finalidad que busca la red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y la atención institucional en los espacios que propone el artículo 37 analizado.</w:t>
      </w:r>
    </w:p>
    <w:p w:rsidRPr="00C03E02" w:rsidR="00C03E02" w:rsidP="00C03E02" w:rsidRDefault="00C03E02" w14:paraId="2D338276" w14:textId="3862950F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Así pues, tenemos que en la Política Nacional de Discapacidad e Inclusión Social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2013-2022, establecida en el CONPES 166 de 2013, al ICBF solo se le asignó la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 xml:space="preserve">tarea, en concordancia con las competencias de la Ley 1618 de 2013, de </w:t>
      </w:r>
      <w:r w:rsidRPr="00C03E02">
        <w:rPr>
          <w:rFonts w:ascii="Verdana" w:hAnsi="Verdana"/>
          <w:i/>
          <w:iCs/>
          <w:sz w:val="22"/>
          <w:szCs w:val="22"/>
        </w:rPr>
        <w:t>construir 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implementar un programa de atención a familias de </w:t>
      </w:r>
      <w:proofErr w:type="spellStart"/>
      <w:r w:rsidRPr="00C03E02">
        <w:rPr>
          <w:rFonts w:ascii="Verdana" w:hAnsi="Verdana"/>
          <w:i/>
          <w:iCs/>
          <w:sz w:val="22"/>
          <w:szCs w:val="22"/>
        </w:rPr>
        <w:t>PcD</w:t>
      </w:r>
      <w:proofErr w:type="spellEnd"/>
      <w:r w:rsidRPr="00C03E02">
        <w:rPr>
          <w:rFonts w:ascii="Verdana" w:hAnsi="Verdana"/>
          <w:i/>
          <w:iCs/>
          <w:sz w:val="22"/>
          <w:szCs w:val="22"/>
        </w:rPr>
        <w:t xml:space="preserve"> en situación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vulnerabilidad, que promueva su inclusión y atención social, </w:t>
      </w:r>
      <w:r w:rsidRPr="00C03E02">
        <w:rPr>
          <w:rFonts w:ascii="Verdana" w:hAnsi="Verdana"/>
          <w:sz w:val="22"/>
          <w:szCs w:val="22"/>
        </w:rPr>
        <w:t>esto sumado a las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competencias generales del Instituto en materia de niños, niñas y adolescentes y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sus familias que posean algún tipo de discapacidad y con sus derechos vulnerados o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en riesgo.</w:t>
      </w:r>
    </w:p>
    <w:p w:rsidRPr="00C03E02" w:rsidR="00C03E02" w:rsidP="00C03E02" w:rsidRDefault="00C03E02" w14:paraId="2D71EEC3" w14:textId="7197A958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lastRenderedPageBreak/>
        <w:t>Concretamente la Ley 1618 de 2013 le designó a este Instituto, precisas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competencias en materia de acompañamiento a las familias, medidas referidas a (i)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apoyar programas orientados a desarrollar las capacidades de la persona, la familia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y la comunidad en el autocuidado y en la identificación de los riesgos que producen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discapacidad; (</w:t>
      </w:r>
      <w:proofErr w:type="spellStart"/>
      <w:r w:rsidRPr="00C03E02">
        <w:rPr>
          <w:rFonts w:ascii="Verdana" w:hAnsi="Verdana"/>
          <w:sz w:val="22"/>
          <w:szCs w:val="22"/>
        </w:rPr>
        <w:t>ii</w:t>
      </w:r>
      <w:proofErr w:type="spellEnd"/>
      <w:r w:rsidRPr="00C03E02">
        <w:rPr>
          <w:rFonts w:ascii="Verdana" w:hAnsi="Verdana"/>
          <w:sz w:val="22"/>
          <w:szCs w:val="22"/>
        </w:rPr>
        <w:t>) establecer programas de apoyo y acompañamiento a las familias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 las personas con discapacidad, que debe articularse con otras estrategias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inclusión, desarrollo social y de superación de la pobreza; y (</w:t>
      </w:r>
      <w:proofErr w:type="spellStart"/>
      <w:r w:rsidRPr="00C03E02">
        <w:rPr>
          <w:rFonts w:ascii="Verdana" w:hAnsi="Verdana"/>
          <w:sz w:val="22"/>
          <w:szCs w:val="22"/>
        </w:rPr>
        <w:t>iii</w:t>
      </w:r>
      <w:proofErr w:type="spellEnd"/>
      <w:r w:rsidRPr="00C03E02">
        <w:rPr>
          <w:rFonts w:ascii="Verdana" w:hAnsi="Verdana"/>
          <w:sz w:val="22"/>
          <w:szCs w:val="22"/>
        </w:rPr>
        <w:t>) programas de apoyo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y formación a los cuidadores, relacionados con el cuidado de las personas con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discapacidad, en alianza con el SENA y demás instancias que integran el sistema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nacional de discapacidad (numerales 1, 2, 3 del artículo 8 de la Ley 1618 de 2013).</w:t>
      </w:r>
    </w:p>
    <w:p w:rsidRPr="00C03E02" w:rsidR="00C03E02" w:rsidP="00C03E02" w:rsidRDefault="00C03E02" w14:paraId="0A1DDAC8" w14:textId="392CD6FC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Sin embargo, al ICBF no se le han otorgado competencias en la política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 relacionadas con la habilitación y la rehabilitación integral. En cambio,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lo referido a atenciones como las definidas en instituciones del artículo 37, en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materia de habilitación y rehabilitación integral, se observa que la Ley 1618 de 2013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dejó estas competencias en las entidades prestadores de salud y las alcaldías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municipales y locales, de conformidad con lo establecido en el numeral 5 del artículo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9 y el inciso segundo del artículo 22 de la norma en cita, los cuales indican:</w:t>
      </w:r>
    </w:p>
    <w:p w:rsidRPr="00C03E02" w:rsidR="00C03E02" w:rsidP="00C03E02" w:rsidRDefault="00C03E02" w14:paraId="2C2A265F" w14:textId="14680986">
      <w:pPr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b/>
          <w:bCs/>
          <w:i/>
          <w:iCs/>
          <w:sz w:val="22"/>
          <w:szCs w:val="22"/>
        </w:rPr>
        <w:t xml:space="preserve">Artículo 9. </w:t>
      </w:r>
      <w:r w:rsidRPr="00C03E02">
        <w:rPr>
          <w:rFonts w:ascii="Verdana" w:hAnsi="Verdana"/>
          <w:i/>
          <w:iCs/>
          <w:sz w:val="22"/>
          <w:szCs w:val="22"/>
        </w:rPr>
        <w:t>[…] 5. El Ministerio de Salud y Protección Social o quien haga sus veces,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garantizará que las entidades prestadoras de salud implementen servicios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asistencia domiciliaria, residencial y otros servicios de apoyo de la comunidad,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incluida la asistencia personal que sea necesaria para facilitar su vida digna y su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inclusión en la comunidad, evitando su aislamiento.</w:t>
      </w:r>
    </w:p>
    <w:p w:rsidR="00C03E02" w:rsidP="00C03E02" w:rsidRDefault="00C03E02" w14:paraId="121EFC51" w14:textId="680ED942">
      <w:pPr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i/>
          <w:iCs/>
          <w:sz w:val="22"/>
          <w:szCs w:val="22"/>
        </w:rPr>
        <w:t>[…]</w:t>
      </w:r>
    </w:p>
    <w:p w:rsidRPr="00C03E02" w:rsidR="00C03E02" w:rsidP="00C03E02" w:rsidRDefault="00C03E02" w14:paraId="29AFD065" w14:textId="2AD00489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b/>
          <w:bCs/>
          <w:i/>
          <w:iCs/>
          <w:sz w:val="22"/>
          <w:szCs w:val="22"/>
        </w:rPr>
        <w:t xml:space="preserve">Artículo 22. </w:t>
      </w:r>
      <w:r w:rsidRPr="00C03E02">
        <w:rPr>
          <w:rFonts w:ascii="Verdana" w:hAnsi="Verdana"/>
          <w:i/>
          <w:iCs/>
          <w:sz w:val="22"/>
          <w:szCs w:val="22"/>
        </w:rPr>
        <w:t>[…] Las alcaldías municipales y locales deberán implementar programas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especiales de promoción de acciones comunitarias, servicios de apoyo de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comunidad y de asistencia domiciliaria y residencial, que faciliten la integración,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relación y participación de las personas con discapacidad con los demás ciudadanos,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incluida la asistencia personal para facilitar la vida digna, evitando el aislamiento,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garantizando el acceso y la participación según sus necesidades. </w:t>
      </w:r>
      <w:r w:rsidRPr="00C03E02">
        <w:rPr>
          <w:rFonts w:ascii="Verdana" w:hAnsi="Verdana"/>
          <w:sz w:val="22"/>
          <w:szCs w:val="22"/>
        </w:rPr>
        <w:t>(Subrayado fuera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del texto original)</w:t>
      </w:r>
    </w:p>
    <w:p w:rsidRPr="00C03E02" w:rsidR="00C03E02" w:rsidP="00C03E02" w:rsidRDefault="00C03E02" w14:paraId="20307C8F" w14:textId="4366BE00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Por tanto, considera esta Oficina que la competencia o materialidad de las acciones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del artículo 37 están hoy en día en cabeza de las entidades promotoras de salud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(EPS) y de las alcaldías municipales y locales.</w:t>
      </w:r>
    </w:p>
    <w:p w:rsidRPr="00C03E02" w:rsidR="00C03E02" w:rsidP="00C03E02" w:rsidRDefault="00C03E02" w14:paraId="4C311806" w14:textId="712C0020">
      <w:pPr>
        <w:jc w:val="both"/>
        <w:rPr>
          <w:rFonts w:ascii="Verdana" w:hAnsi="Verdana"/>
          <w:sz w:val="22"/>
          <w:szCs w:val="22"/>
        </w:rPr>
      </w:pPr>
      <w:proofErr w:type="spellStart"/>
      <w:r w:rsidRPr="00C03E02">
        <w:rPr>
          <w:rFonts w:ascii="Verdana" w:hAnsi="Verdana"/>
          <w:sz w:val="22"/>
          <w:szCs w:val="22"/>
        </w:rPr>
        <w:t>iii</w:t>
      </w:r>
      <w:proofErr w:type="spellEnd"/>
      <w:r w:rsidRPr="00C03E02">
        <w:rPr>
          <w:rFonts w:ascii="Verdana" w:hAnsi="Verdana"/>
          <w:sz w:val="22"/>
          <w:szCs w:val="22"/>
        </w:rPr>
        <w:t>) Derogatoria tácita del artículo 37 de la Ley 361 de 1997 a la luz de la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Convención sobre los Derechos de las Personas con Discapacidad, la Ley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1996 de 2019 y otros marcos normativos vigentes:</w:t>
      </w:r>
    </w:p>
    <w:p w:rsidRPr="00C03E02" w:rsidR="00C03E02" w:rsidP="00C03E02" w:rsidRDefault="00C03E02" w14:paraId="51D24A04" w14:textId="622C6131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lastRenderedPageBreak/>
        <w:t>Si bien es cierto el artículo 37 objeto de análisis actualmente no cuenta con una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derogatoria expresa, es importante hacer las siguientes precisiones y exponer las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siguientes consideraciones, de conformidad con lo expuesto previamente:</w:t>
      </w:r>
    </w:p>
    <w:p w:rsidR="00C03E02" w:rsidP="00C03E02" w:rsidRDefault="00C03E02" w14:paraId="5EC04C0C" w14:textId="7AA94E3E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Congruente con el artículo 37, el objeto de la Ley 1306 de 2009 era la protección 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inclusión social de toda persona natural con discapacidad mental o que adopte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conductas que la inhabiliten para su normal desempeño en la sociedad13, y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conformidad con las estipulaciones del entonces artículo 18 de esta Ley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correspondía al Instituto Colombiano de Bienestar Familiar, por intermedio del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Defensor de Familia, prestar asistencia personal y jurídica a los sujetos con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 mental absoluta de cualquier edad, de oficio o por denuncia que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cualquier persona hiciese ante la Entidad.</w:t>
      </w:r>
    </w:p>
    <w:p w:rsidRPr="00C03E02" w:rsidR="00C03E02" w:rsidP="00C03E02" w:rsidRDefault="00C03E02" w14:paraId="1F8FD9E7" w14:textId="56DE3A3F">
      <w:pPr>
        <w:jc w:val="both"/>
        <w:rPr>
          <w:rFonts w:ascii="Verdana" w:hAnsi="Verdana"/>
          <w:i/>
          <w:iCs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El alcance de la obligación del ICBF frente a las personas en situación de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 mental estaba pues “</w:t>
      </w:r>
      <w:r w:rsidRPr="00C03E02">
        <w:rPr>
          <w:rFonts w:ascii="Verdana" w:hAnsi="Verdana"/>
          <w:i/>
          <w:iCs/>
          <w:sz w:val="22"/>
          <w:szCs w:val="22"/>
        </w:rPr>
        <w:t>determinado por el deber constitucional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otorgar una especial protección a dicha población, [lo] cual a su vez está cualificado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por las obligaciones del Estado adquiridas con la celebración de tratados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internacionales y por las demás obligaciones especiales recogidas en disposiciones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legales y reglamentarias. En ese sentido, al ICBF le </w:t>
      </w:r>
      <w:proofErr w:type="spellStart"/>
      <w:r w:rsidRPr="00C03E02">
        <w:rPr>
          <w:rFonts w:ascii="Verdana" w:hAnsi="Verdana"/>
          <w:i/>
          <w:iCs/>
          <w:sz w:val="22"/>
          <w:szCs w:val="22"/>
        </w:rPr>
        <w:t>correspond</w:t>
      </w:r>
      <w:proofErr w:type="spellEnd"/>
      <w:r w:rsidRPr="00C03E02">
        <w:rPr>
          <w:rFonts w:ascii="Verdana" w:hAnsi="Verdana"/>
          <w:i/>
          <w:iCs/>
          <w:sz w:val="22"/>
          <w:szCs w:val="22"/>
        </w:rPr>
        <w:t>[</w:t>
      </w:r>
      <w:proofErr w:type="spellStart"/>
      <w:r w:rsidRPr="00C03E02">
        <w:rPr>
          <w:rFonts w:ascii="Verdana" w:hAnsi="Verdana"/>
          <w:i/>
          <w:iCs/>
          <w:sz w:val="22"/>
          <w:szCs w:val="22"/>
        </w:rPr>
        <w:t>ía</w:t>
      </w:r>
      <w:proofErr w:type="spellEnd"/>
      <w:r w:rsidRPr="00C03E02">
        <w:rPr>
          <w:rFonts w:ascii="Verdana" w:hAnsi="Verdana"/>
          <w:i/>
          <w:iCs/>
          <w:sz w:val="22"/>
          <w:szCs w:val="22"/>
        </w:rPr>
        <w:t>] prestar asistencia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 xml:space="preserve">personal y jurídica a los individuos de cualquier edad que </w:t>
      </w:r>
      <w:proofErr w:type="spellStart"/>
      <w:r w:rsidRPr="00C03E02">
        <w:rPr>
          <w:rFonts w:ascii="Verdana" w:hAnsi="Verdana"/>
          <w:i/>
          <w:iCs/>
          <w:sz w:val="22"/>
          <w:szCs w:val="22"/>
        </w:rPr>
        <w:t>sufr</w:t>
      </w:r>
      <w:proofErr w:type="spellEnd"/>
      <w:r w:rsidRPr="00C03E02">
        <w:rPr>
          <w:rFonts w:ascii="Verdana" w:hAnsi="Verdana"/>
          <w:i/>
          <w:iCs/>
          <w:sz w:val="22"/>
          <w:szCs w:val="22"/>
        </w:rPr>
        <w:t>[</w:t>
      </w:r>
      <w:proofErr w:type="spellStart"/>
      <w:r w:rsidRPr="00C03E02">
        <w:rPr>
          <w:rFonts w:ascii="Verdana" w:hAnsi="Verdana"/>
          <w:i/>
          <w:iCs/>
          <w:sz w:val="22"/>
          <w:szCs w:val="22"/>
        </w:rPr>
        <w:t>iesen</w:t>
      </w:r>
      <w:proofErr w:type="spellEnd"/>
      <w:r w:rsidRPr="00C03E02">
        <w:rPr>
          <w:rFonts w:ascii="Verdana" w:hAnsi="Verdana"/>
          <w:i/>
          <w:iCs/>
          <w:sz w:val="22"/>
          <w:szCs w:val="22"/>
        </w:rPr>
        <w:t>] una afección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patología severa o profunda de aprendizaje, comportamiento o deterioro mental,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para efectos de interponer las acciones judiciales pertinentes o tomar las medidas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de restablecimiento de derechos contenidas en el Código de la Infancia y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Adolescencia, en cuanto [fuesen] pertinentes y adecuadas a las condiciones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particulares del sujeto afectado, logrando también la concurrencia y coordinación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C03E02">
        <w:rPr>
          <w:rFonts w:ascii="Verdana" w:hAnsi="Verdana"/>
          <w:i/>
          <w:iCs/>
          <w:sz w:val="22"/>
          <w:szCs w:val="22"/>
        </w:rPr>
        <w:t>sus acciones con los demás organismos públicos y privados competentes”.14</w:t>
      </w:r>
    </w:p>
    <w:p w:rsidRPr="00C03E02" w:rsidR="00C03E02" w:rsidP="00C03E02" w:rsidRDefault="00C03E02" w14:paraId="67473685" w14:textId="4E6567E7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Sumario a esto, en lo que refería a la libertad y el internamiento de las personas con</w:t>
      </w:r>
      <w:r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discapacidad, el artículo 20 de la Ley 1306 de 2009 establecía:</w:t>
      </w:r>
    </w:p>
    <w:p w:rsidRPr="00262487" w:rsidR="00C03E02" w:rsidP="00262487" w:rsidRDefault="00C03E02" w14:paraId="54A995FE" w14:textId="48A0A2FA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262487">
        <w:rPr>
          <w:rFonts w:ascii="Verdana" w:hAnsi="Verdana"/>
          <w:b/>
          <w:bCs/>
          <w:i/>
          <w:iCs/>
          <w:sz w:val="20"/>
          <w:szCs w:val="20"/>
        </w:rPr>
        <w:t xml:space="preserve">ARTÍCULO 20. LIBERTAD E INTERNAMIENTO. </w:t>
      </w:r>
      <w:r w:rsidRPr="00262487">
        <w:rPr>
          <w:rFonts w:ascii="Verdana" w:hAnsi="Verdana"/>
          <w:i/>
          <w:iCs/>
          <w:sz w:val="20"/>
          <w:szCs w:val="20"/>
        </w:rPr>
        <w:t>Las personas con discapacidad</w:t>
      </w:r>
      <w:r w:rsidRP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mental absoluta gozarán de libertad, a menos que su internamiento por causa de su</w:t>
      </w:r>
      <w:r w:rsidRP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discapacidad sea imprescindible para la salud y terapia del paciente o por</w:t>
      </w:r>
      <w:r w:rsidRP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tranquilidad y seguridad ciudadana.</w:t>
      </w:r>
    </w:p>
    <w:p w:rsidRPr="00262487" w:rsidR="00C03E02" w:rsidP="00262487" w:rsidRDefault="00C03E02" w14:paraId="08EC23D8" w14:textId="77777777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262487">
        <w:rPr>
          <w:rFonts w:ascii="Verdana" w:hAnsi="Verdana"/>
          <w:i/>
          <w:iCs/>
          <w:sz w:val="20"/>
          <w:szCs w:val="20"/>
        </w:rPr>
        <w:t>El internamiento de los pacientes será de urgencia o autorizado judicialmente.</w:t>
      </w:r>
    </w:p>
    <w:p w:rsidRPr="00262487" w:rsidR="00C03E02" w:rsidP="00262487" w:rsidRDefault="00C03E02" w14:paraId="3693C9FB" w14:textId="7587E6C8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262487">
        <w:rPr>
          <w:rFonts w:ascii="Verdana" w:hAnsi="Verdana"/>
          <w:i/>
          <w:iCs/>
          <w:sz w:val="20"/>
          <w:szCs w:val="20"/>
        </w:rPr>
        <w:t>PARÁGRAFO. La libertad de locomoción que se reconoce en el presente artículo</w:t>
      </w:r>
      <w:r w:rsidRPr="00262487" w:rsid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incluye la posibilidad de trasladarse a cualquier lugar del país y del exterior, para lo</w:t>
      </w:r>
      <w:r w:rsidRPr="00262487" w:rsid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cual, las autoridades proporcionarán los documentos y el apoyo que sea necesario</w:t>
      </w:r>
      <w:r w:rsidRPr="00262487" w:rsid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para el efecto y tomarán referencia de su ubicación únicamente para efectos de su</w:t>
      </w:r>
      <w:r w:rsidRPr="00262487" w:rsidR="00262487">
        <w:rPr>
          <w:rFonts w:ascii="Verdana" w:hAnsi="Verdana"/>
          <w:i/>
          <w:iCs/>
          <w:sz w:val="20"/>
          <w:szCs w:val="20"/>
        </w:rPr>
        <w:t xml:space="preserve"> </w:t>
      </w:r>
      <w:r w:rsidRPr="00262487">
        <w:rPr>
          <w:rFonts w:ascii="Verdana" w:hAnsi="Verdana"/>
          <w:i/>
          <w:iCs/>
          <w:sz w:val="20"/>
          <w:szCs w:val="20"/>
        </w:rPr>
        <w:t>protección (subrayado fuera del texto original)</w:t>
      </w:r>
    </w:p>
    <w:p w:rsidR="00262487" w:rsidP="00262487" w:rsidRDefault="00262487" w14:paraId="0FCE06AC" w14:textId="77777777">
      <w:pPr>
        <w:jc w:val="both"/>
        <w:rPr>
          <w:rFonts w:ascii="Verdana" w:hAnsi="Verdana"/>
          <w:i/>
          <w:iCs/>
          <w:sz w:val="20"/>
          <w:szCs w:val="20"/>
        </w:rPr>
      </w:pPr>
    </w:p>
    <w:p w:rsidRPr="00C03E02" w:rsidR="00C03E02" w:rsidP="00C03E02" w:rsidRDefault="00C03E02" w14:paraId="2E4D8EB9" w14:textId="52C369D7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lastRenderedPageBreak/>
        <w:t>Así pues, se observa como estas normativas señalan “problemas de integración”,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internamiento “por la tranquilidad y seguridad ciudadana” enfocándose en la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condición del individuo y no en el desarrollo de estrategias para la eliminación de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barreras que le permitan la participación social.</w:t>
      </w:r>
    </w:p>
    <w:p w:rsidRPr="00C03E02" w:rsidR="00C03E02" w:rsidP="00C03E02" w:rsidRDefault="00C03E02" w14:paraId="7852C752" w14:textId="26647FA7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Sin embargo, las disposiciones del señalado artículo 20 y la mayoría de</w:t>
      </w:r>
      <w:r w:rsidR="00262487">
        <w:rPr>
          <w:rFonts w:ascii="Verdana" w:hAnsi="Verdana"/>
          <w:sz w:val="22"/>
          <w:szCs w:val="22"/>
        </w:rPr>
        <w:t xml:space="preserve"> </w:t>
      </w:r>
      <w:proofErr w:type="gramStart"/>
      <w:r w:rsidRPr="00C03E02">
        <w:rPr>
          <w:rFonts w:ascii="Verdana" w:hAnsi="Verdana"/>
          <w:sz w:val="22"/>
          <w:szCs w:val="22"/>
        </w:rPr>
        <w:t>disposiciones</w:t>
      </w:r>
      <w:proofErr w:type="gramEnd"/>
      <w:r w:rsidRPr="00C03E02">
        <w:rPr>
          <w:rFonts w:ascii="Verdana" w:hAnsi="Verdana"/>
          <w:sz w:val="22"/>
          <w:szCs w:val="22"/>
        </w:rPr>
        <w:t xml:space="preserve"> de la enunciada Ley 1306 de 2009 fueron expresamente derogadas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por el artículo 61 de la Ley 1996 de 2019, Ley cuya parte motiva busca atender el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Modelo Social de Discapacidad desarrollado en la Convención de las Naciones</w:t>
      </w:r>
    </w:p>
    <w:p w:rsidRPr="00C03E02" w:rsidR="00C03E02" w:rsidP="00C03E02" w:rsidRDefault="00C03E02" w14:paraId="67DC081C" w14:textId="34F0875C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Unidas Sobre los Derechos de las Personas con Discapacidad (CDPD), Convención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firmada por el Estado Colombiano el 30 de marzo de 2007, aprobada por el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Congreso de la República a través de la Ley 1346 de 2009 y finalmente ratificada el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10 de mayo de 2011.</w:t>
      </w:r>
    </w:p>
    <w:p w:rsidR="00C03E02" w:rsidP="00C03E02" w:rsidRDefault="00C03E02" w14:paraId="3D8316C5" w14:textId="50F42B85">
      <w:pPr>
        <w:jc w:val="both"/>
        <w:rPr>
          <w:rFonts w:ascii="Verdana" w:hAnsi="Verdana"/>
          <w:sz w:val="22"/>
          <w:szCs w:val="22"/>
        </w:rPr>
      </w:pPr>
      <w:r w:rsidRPr="00C03E02">
        <w:rPr>
          <w:rFonts w:ascii="Verdana" w:hAnsi="Verdana"/>
          <w:sz w:val="22"/>
          <w:szCs w:val="22"/>
        </w:rPr>
        <w:t>En lo que respecta al Modelo Social de Discapacidad, este entiende la discapacidad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como el resultado de la interacción entre las personas con esta condición y las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barreras sociales, dejando de lado la atención en el individuo y enfocándose en el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rol principal de la sociedad como responsable de la eliminación de dichas barreras,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creando un entorno inclusivo y accesible que permita promover la vida autónoma,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asegurar a esta comunidad el reconocimiento de la capacidad jurídica y el acceso a</w:t>
      </w:r>
      <w:r w:rsidR="00262487">
        <w:rPr>
          <w:rFonts w:ascii="Verdana" w:hAnsi="Verdana"/>
          <w:sz w:val="22"/>
          <w:szCs w:val="22"/>
        </w:rPr>
        <w:t xml:space="preserve"> </w:t>
      </w:r>
      <w:r w:rsidRPr="00C03E02">
        <w:rPr>
          <w:rFonts w:ascii="Verdana" w:hAnsi="Verdana"/>
          <w:sz w:val="22"/>
          <w:szCs w:val="22"/>
        </w:rPr>
        <w:t>la justicia.</w:t>
      </w:r>
    </w:p>
    <w:p w:rsidRPr="00262487" w:rsidR="00262487" w:rsidP="00262487" w:rsidRDefault="00262487" w14:paraId="7FC677BF" w14:textId="5C2845BD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La ratificación de la CDPD implicó para Colombia la obligación internacional de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garantizar los derechos humanos de la población de personas con discapacidad y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armonizar su legislación interna para asegurar el goce efectivo de dichos derechos.</w:t>
      </w:r>
    </w:p>
    <w:p w:rsidRPr="00262487" w:rsidR="00262487" w:rsidP="00262487" w:rsidRDefault="00262487" w14:paraId="3BEC7A4F" w14:textId="4E33BD4E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Está Convención al tratarse de un instrumento internacional debidamente ratificado,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en atención a las disposiciones del artículo 93 de la Carta Política Colombiana, se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entiende incorporada al bloque de constitucionalidad y por tanto sus disposiciones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prevalecen en el orden interno. En consideración, con la ratificación de la CDPD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surgió para Colombia la obligación de efectuar todas las modificaciones necesarias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que hagan efectiva la igualdad material para las personas con discapacidad a través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de la abolición de barreras que obstaculicen el desarrollo individual y la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participación social de esta población.</w:t>
      </w:r>
    </w:p>
    <w:p w:rsidRPr="00262487" w:rsidR="00262487" w:rsidP="00262487" w:rsidRDefault="00262487" w14:paraId="10F15060" w14:textId="5D09EA28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Así pues, tras la promulgación de la Ley 1996 de 2019, la competencia que había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 xml:space="preserve">sido otorgada por la Ley 1306 del 2009 al Instituto Colombiano de </w:t>
      </w:r>
      <w:proofErr w:type="gramStart"/>
      <w:r w:rsidRPr="00262487">
        <w:rPr>
          <w:rFonts w:ascii="Verdana" w:hAnsi="Verdana"/>
          <w:sz w:val="22"/>
          <w:szCs w:val="22"/>
        </w:rPr>
        <w:t xml:space="preserve">Bienestar </w:t>
      </w:r>
      <w:r>
        <w:rPr>
          <w:rFonts w:ascii="Verdana" w:hAnsi="Verdana"/>
          <w:sz w:val="22"/>
          <w:szCs w:val="22"/>
        </w:rPr>
        <w:t xml:space="preserve"> f</w:t>
      </w:r>
      <w:r w:rsidRPr="00262487">
        <w:rPr>
          <w:rFonts w:ascii="Verdana" w:hAnsi="Verdana"/>
          <w:sz w:val="22"/>
          <w:szCs w:val="22"/>
        </w:rPr>
        <w:t>amiliar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(ICBF) a través de los Defensores de Familia para atender a la población con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discapacidad mental absoluta fue eliminada. La Ley 1996 estableció el régimen para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el ejercicio de la capacidad legal de las personas con discapacidad mayores de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edad, por lo tanto, a partir de esta disposición, dicha población quedó por fuera del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ámbito de competencia del ICBF. La nueva Ley se refiere al ente rector de la política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 xml:space="preserve">nacional de discapacidad como el encargado de </w:t>
      </w:r>
      <w:r w:rsidRPr="00262487">
        <w:rPr>
          <w:rFonts w:ascii="Verdana" w:hAnsi="Verdana"/>
          <w:sz w:val="22"/>
          <w:szCs w:val="22"/>
        </w:rPr>
        <w:lastRenderedPageBreak/>
        <w:t>establecer los lineamientos y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protocolos que regirán la atención a la población con discapacidad mental absoluta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y designa a entidades como la Defensoría del Pueblo, la Personería y los entes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territoriales para que presten los denominados servicios de valorización de apoyos a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partir de los cuales se busca soportar las necesidades de la población en cuestión.</w:t>
      </w:r>
    </w:p>
    <w:p w:rsidR="00262487" w:rsidP="00262487" w:rsidRDefault="00262487" w14:paraId="3B12075C" w14:textId="0CBCF257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Además de lo anterior, es importante traer a colación la Ley 2281 de 2023 mediante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la cual se creó el Ministerio de Igualdad y Equidad como cabeza de un nuevo sector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administrativo en Colombia, asumiendo competencias relacionadas con la población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con discapacidad. De acuerdo con los artículos 3 y 5 de esta Ley, el Ministerio tiene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como objeto diseñar, formular, adoptar, dirigir, coordinar, articular, ejecutar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fortalecer y evaluar las políticas, planes, programas, estrategias, proyectos y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medidas para contribuir en la eliminación de las desigualdades económicas,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políticas y sociales, promoviendo la defensa de los derechos de diversos grupos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poblacionales, entre ellos las personas con discapacidad, quienes son sujetos de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especial protección constitucional15.</w:t>
      </w:r>
    </w:p>
    <w:p w:rsidRPr="00262487" w:rsidR="00262487" w:rsidP="00262487" w:rsidRDefault="00262487" w14:paraId="2E8477D9" w14:textId="1CBD867B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El artículo 5 especifica que el Ministerio velará por la protección de los derechos de: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mujeres en todas sus diversidades, población LGTBIQ+, pueblos afrodescendientes,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 xml:space="preserve">negros, raizales, palanqueros, indígenas y </w:t>
      </w:r>
      <w:proofErr w:type="spellStart"/>
      <w:r w:rsidRPr="00262487">
        <w:rPr>
          <w:rFonts w:ascii="Verdana" w:hAnsi="Verdana"/>
          <w:sz w:val="22"/>
          <w:szCs w:val="22"/>
        </w:rPr>
        <w:t>Rrom</w:t>
      </w:r>
      <w:proofErr w:type="spellEnd"/>
      <w:r w:rsidRPr="00262487">
        <w:rPr>
          <w:rFonts w:ascii="Verdana" w:hAnsi="Verdana"/>
          <w:sz w:val="22"/>
          <w:szCs w:val="22"/>
        </w:rPr>
        <w:t xml:space="preserve">, </w:t>
      </w:r>
      <w:proofErr w:type="gramStart"/>
      <w:r w:rsidRPr="00262487">
        <w:rPr>
          <w:rFonts w:ascii="Verdana" w:hAnsi="Verdana"/>
          <w:sz w:val="22"/>
          <w:szCs w:val="22"/>
        </w:rPr>
        <w:t>Campesinos y campesinas</w:t>
      </w:r>
      <w:proofErr w:type="gramEnd"/>
      <w:r w:rsidRPr="0026248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jóvenes, miembros de hogares en situación de pobreza y pobreza extrema,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personas con discapacidad, habitantes de calle, población en territorios excluidos,</w:t>
      </w:r>
      <w:r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mujeres cabeza, de familia, adultos mayores, familias y niñez. De esta manera, el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Ministerio de Igualdad y Equidad asumió un rol clave en la articulación de las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políticas públicas dirigidas a la inclusión y el bienestar de estos grupos.</w:t>
      </w:r>
    </w:p>
    <w:p w:rsidRPr="00262487" w:rsidR="00262487" w:rsidP="00262487" w:rsidRDefault="00262487" w14:paraId="45BA8FAC" w14:textId="1643B9DA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Sin embargo, mediante la Sentencia C–161 de 202416, la Corte Constitucional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declaró inexequible la Ley 2281 de 2023, debido a vicios de procedimiento en su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formación. La Corte, no obstante, decidió diferir los efectos de la sentencia por dos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legislaturas, lo que implica que una vez culmine la legislatura 2025-2026, la Ley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2281 de 2023 dejará de producir efectos definitivamente y no formará parte del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ordenamiento jurídico colombiano. En consecuencia, en tanto finaliza la legislatura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2025–2026, el Ministerio de Igualdad y Equidad mantiene sus competencias frente a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la población con discapacidad.</w:t>
      </w:r>
    </w:p>
    <w:p w:rsidRPr="00262487" w:rsidR="00262487" w:rsidP="00262487" w:rsidRDefault="00262487" w14:paraId="3C3AE838" w14:textId="0DC6B455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t>De otra parte, el Comité sobre los Derechos de las Personas con Discapacidad ha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señalado que los Estados, incluyendo a Colombia, deben reconocer la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institucionalización como una forma de violencia contra las personas con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discapacidad17. Además, en sus observaciones finales a Colombia en 2016, este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Comité recomendó que Colombia, incluyendo al ICBF, adopte un plan para la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desinstitucionalización de niñas y niños con discapacidad, incluidos aquellos que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están institucionalizados sobre la base de medidas de protección, y desarrolle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servicios basados en la comunidad y apoyo a las familias, especialmente a los</w:t>
      </w:r>
    </w:p>
    <w:p w:rsidRPr="00262487" w:rsidR="00262487" w:rsidP="00262487" w:rsidRDefault="00262487" w14:paraId="76B2FFD3" w14:textId="0A35B4DB">
      <w:pPr>
        <w:jc w:val="both"/>
        <w:rPr>
          <w:rFonts w:ascii="Verdana" w:hAnsi="Verdana"/>
          <w:sz w:val="22"/>
          <w:szCs w:val="22"/>
        </w:rPr>
      </w:pPr>
      <w:r w:rsidRPr="00262487">
        <w:rPr>
          <w:rFonts w:ascii="Verdana" w:hAnsi="Verdana"/>
          <w:sz w:val="22"/>
          <w:szCs w:val="22"/>
        </w:rPr>
        <w:lastRenderedPageBreak/>
        <w:t>hogares encabezados por madres solteras, para garantizar el derecho de los niños</w:t>
      </w:r>
      <w:r w:rsidR="00650D91">
        <w:rPr>
          <w:rFonts w:ascii="Verdana" w:hAnsi="Verdana"/>
          <w:sz w:val="22"/>
          <w:szCs w:val="22"/>
        </w:rPr>
        <w:t xml:space="preserve"> </w:t>
      </w:r>
      <w:r w:rsidRPr="00262487">
        <w:rPr>
          <w:rFonts w:ascii="Verdana" w:hAnsi="Verdana"/>
          <w:sz w:val="22"/>
          <w:szCs w:val="22"/>
        </w:rPr>
        <w:t>con discapacidad a crecer en un entorno familiar y tener una vida familiar:</w:t>
      </w:r>
    </w:p>
    <w:p w:rsidRPr="00650D91" w:rsidR="00650D91" w:rsidP="00650D91" w:rsidRDefault="00262487" w14:paraId="3CE59CA0" w14:textId="49A8BA99">
      <w:pPr>
        <w:jc w:val="both"/>
        <w:rPr>
          <w:rFonts w:ascii="Verdana" w:hAnsi="Verdana"/>
          <w:i/>
          <w:iCs/>
          <w:sz w:val="22"/>
          <w:szCs w:val="22"/>
        </w:rPr>
      </w:pPr>
      <w:r w:rsidRPr="00262487">
        <w:rPr>
          <w:rFonts w:ascii="Verdana" w:hAnsi="Verdana"/>
          <w:i/>
          <w:iCs/>
          <w:sz w:val="22"/>
          <w:szCs w:val="22"/>
        </w:rPr>
        <w:t>El Comité insta al Estado parte a que fortalezca la recopilación sistemática de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262487">
        <w:rPr>
          <w:rFonts w:ascii="Verdana" w:hAnsi="Verdana"/>
          <w:i/>
          <w:iCs/>
          <w:sz w:val="22"/>
          <w:szCs w:val="22"/>
        </w:rPr>
        <w:t xml:space="preserve">información sobre </w:t>
      </w:r>
      <w:proofErr w:type="gramStart"/>
      <w:r w:rsidRPr="00262487">
        <w:rPr>
          <w:rFonts w:ascii="Verdana" w:hAnsi="Verdana"/>
          <w:i/>
          <w:iCs/>
          <w:sz w:val="22"/>
          <w:szCs w:val="22"/>
        </w:rPr>
        <w:t>los niños y niñas</w:t>
      </w:r>
      <w:proofErr w:type="gramEnd"/>
      <w:r w:rsidRPr="00262487">
        <w:rPr>
          <w:rFonts w:ascii="Verdana" w:hAnsi="Verdana"/>
          <w:i/>
          <w:iCs/>
          <w:sz w:val="22"/>
          <w:szCs w:val="22"/>
        </w:rPr>
        <w:t xml:space="preserve"> con discapacidad y que adopte medidas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262487">
        <w:rPr>
          <w:rFonts w:ascii="Verdana" w:hAnsi="Verdana"/>
          <w:i/>
          <w:iCs/>
          <w:sz w:val="22"/>
          <w:szCs w:val="22"/>
        </w:rPr>
        <w:t>para prevenir el abandono, maltrato y la institucionalización de estos niños.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262487">
        <w:rPr>
          <w:rFonts w:ascii="Verdana" w:hAnsi="Verdana"/>
          <w:i/>
          <w:iCs/>
          <w:sz w:val="22"/>
          <w:szCs w:val="22"/>
        </w:rPr>
        <w:t>Lo alienta a adoptar un plan para la desinstitucionalización de niños y niñas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262487">
        <w:rPr>
          <w:rFonts w:ascii="Verdana" w:hAnsi="Verdana"/>
          <w:i/>
          <w:iCs/>
          <w:sz w:val="22"/>
          <w:szCs w:val="22"/>
        </w:rPr>
        <w:t>con discapacidad, incluyendo aquellos que están institucionalizados sobre la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base de medidas de protección ordenadas por el Instituto Colombiano de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Bienestar Familiar, y a desarrollar servicios basados en la comunidad y el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suministro de apoyo a las familias, especialmente hogares encabezados por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madres solteras, para garantizar el derecho de los niños con discapacidad a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crecer en un entorno familiar y el derecho a tener una vida familiar. El Comité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recomienda que derogue la disposición en el Código Civil que otorga a los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 xml:space="preserve">adultos cuidadores de </w:t>
      </w:r>
      <w:proofErr w:type="gramStart"/>
      <w:r w:rsidRPr="00650D91" w:rsidR="00650D91">
        <w:rPr>
          <w:rFonts w:ascii="Verdana" w:hAnsi="Verdana"/>
          <w:i/>
          <w:iCs/>
          <w:sz w:val="22"/>
          <w:szCs w:val="22"/>
        </w:rPr>
        <w:t>niños y niñas</w:t>
      </w:r>
      <w:proofErr w:type="gramEnd"/>
      <w:r w:rsidRPr="00650D91" w:rsidR="00650D91">
        <w:rPr>
          <w:rFonts w:ascii="Verdana" w:hAnsi="Verdana"/>
          <w:i/>
          <w:iCs/>
          <w:sz w:val="22"/>
          <w:szCs w:val="22"/>
        </w:rPr>
        <w:t xml:space="preserve"> la facultad de corregir y sancionarlos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moderadamente, y que prohíba absolutamente el castigo corporal en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cualquier entorno, incluyendo el familiar y en las comunidades indígenas y</w:t>
      </w:r>
      <w:r w:rsid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 w:rsidR="00650D91">
        <w:rPr>
          <w:rFonts w:ascii="Verdana" w:hAnsi="Verdana"/>
          <w:i/>
          <w:iCs/>
          <w:sz w:val="22"/>
          <w:szCs w:val="22"/>
        </w:rPr>
        <w:t>remotas18.</w:t>
      </w:r>
    </w:p>
    <w:p w:rsidRPr="00650D91" w:rsidR="00650D91" w:rsidP="00650D91" w:rsidRDefault="00650D91" w14:paraId="49C55CF5" w14:textId="76D5D73B">
      <w:p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Por consiguiente, sin desconocer las competencias legales de las autoridades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judiciales, la OAJ conceptúa que en virtud de (i) la entrada en funcionamiento del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Sistema Nacional de Discapacidad (SND) las competencias asignadas a todas las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entidades del Estado en la materia, lo cual incluye la apropiación presupuestal; (</w:t>
      </w:r>
      <w:proofErr w:type="spellStart"/>
      <w:r w:rsidRPr="00650D91">
        <w:rPr>
          <w:rFonts w:ascii="Verdana" w:hAnsi="Verdana"/>
          <w:sz w:val="22"/>
          <w:szCs w:val="22"/>
        </w:rPr>
        <w:t>ii</w:t>
      </w:r>
      <w:proofErr w:type="spellEnd"/>
      <w:r w:rsidRPr="00650D91">
        <w:rPr>
          <w:rFonts w:ascii="Verdana" w:hAnsi="Verdana"/>
          <w:sz w:val="22"/>
          <w:szCs w:val="22"/>
        </w:rPr>
        <w:t>) la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asignación de funciones de servicios de asistencia domiciliaria y residencial 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personas en condición de discapacidad a las entidades promotoras de salud y las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alcaldías municipales y locales; y (</w:t>
      </w:r>
      <w:proofErr w:type="spellStart"/>
      <w:r w:rsidRPr="00650D91">
        <w:rPr>
          <w:rFonts w:ascii="Verdana" w:hAnsi="Verdana"/>
          <w:sz w:val="22"/>
          <w:szCs w:val="22"/>
        </w:rPr>
        <w:t>iii</w:t>
      </w:r>
      <w:proofErr w:type="spellEnd"/>
      <w:r w:rsidRPr="00650D91">
        <w:rPr>
          <w:rFonts w:ascii="Verdana" w:hAnsi="Verdana"/>
          <w:sz w:val="22"/>
          <w:szCs w:val="22"/>
        </w:rPr>
        <w:t>) la eliminación de competencias del ICBF en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temas relacionados con restablecer los derechos a todas las personas en condición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 discapacidad; (</w:t>
      </w:r>
      <w:proofErr w:type="spellStart"/>
      <w:r w:rsidRPr="00650D91">
        <w:rPr>
          <w:rFonts w:ascii="Verdana" w:hAnsi="Verdana"/>
          <w:sz w:val="22"/>
          <w:szCs w:val="22"/>
        </w:rPr>
        <w:t>iv</w:t>
      </w:r>
      <w:proofErr w:type="spellEnd"/>
      <w:r w:rsidRPr="00650D91">
        <w:rPr>
          <w:rFonts w:ascii="Verdana" w:hAnsi="Verdana"/>
          <w:sz w:val="22"/>
          <w:szCs w:val="22"/>
        </w:rPr>
        <w:t>) las actuales competencias del Ministerio de Igualdad frente a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esta población y (v) la implementación del modelo social de discapacidad, que es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contrario a la institucionalización del artículo 37, es probable que las disposiciones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normativas contenidas en el artículo 37 de la Ley 361 de 1997 se encuentren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derogadas tácitamente por la entrada en vigencia de nueva normativa que no es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compatible con la norma analizada.</w:t>
      </w:r>
    </w:p>
    <w:p w:rsidRPr="00650D91" w:rsidR="00650D91" w:rsidP="00650D91" w:rsidRDefault="00650D91" w14:paraId="338BF401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650D91">
        <w:rPr>
          <w:rFonts w:ascii="Verdana" w:hAnsi="Verdana"/>
          <w:b/>
          <w:bCs/>
          <w:sz w:val="22"/>
          <w:szCs w:val="22"/>
        </w:rPr>
        <w:t>4. Medidas procesales</w:t>
      </w:r>
    </w:p>
    <w:p w:rsidRPr="00650D91" w:rsidR="00650D91" w:rsidP="00650D91" w:rsidRDefault="00650D91" w14:paraId="364CF3E5" w14:textId="61630EE0">
      <w:p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Teniendo en cuenta todo lo anterior, para lograr un pronunciamiento judicial que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evidencie la vigencia del artículo 37 de la Ley 361 de 1997 y su alcance, puede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existir la siguiente vía:</w:t>
      </w:r>
    </w:p>
    <w:p w:rsidRPr="00650D91" w:rsidR="00650D91" w:rsidP="00650D91" w:rsidRDefault="00650D91" w14:paraId="76B0D898" w14:textId="6DA4D203">
      <w:pPr>
        <w:pStyle w:val="Prrafodelista"/>
        <w:numPr>
          <w:ilvl w:val="0"/>
          <w:numId w:val="5"/>
        </w:numPr>
        <w:jc w:val="both"/>
        <w:rPr>
          <w:rFonts w:ascii="Verdana" w:hAnsi="Verdana"/>
          <w:i/>
          <w:iCs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Demanda de inconstitucionalidad ante la Corte Constitucional. Tal como lo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señala la Sentencia C-932 de 2004, el sistema constitucional colombiano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consagra como principal mecanismo para el ejercicio del control de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 xml:space="preserve">constitucionalidad abstracto la acción de inconstitucionalidad, que otorga </w:t>
      </w:r>
      <w:r w:rsidRPr="00650D91">
        <w:rPr>
          <w:rFonts w:ascii="Verdana" w:hAnsi="Verdana"/>
          <w:sz w:val="22"/>
          <w:szCs w:val="22"/>
        </w:rPr>
        <w:lastRenderedPageBreak/>
        <w:t>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todo ciudadano en ejercicio la facultad de acusar ante el máximo órgano de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la jurisdicción constitucional, normas de inferior jerarquía que se estiman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contrarias al ordenamiento superior, a fin de que sean declarados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inexequibles mediante una providencia que hace tránsito a cosa juzgada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constitucional.</w:t>
      </w:r>
    </w:p>
    <w:p w:rsidRPr="00650D91" w:rsidR="00650D91" w:rsidP="00650D91" w:rsidRDefault="00650D91" w14:paraId="7564453C" w14:textId="26FB59E5">
      <w:p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En este caso, podría argumentarse que la norma en cuestión es incompatible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con el nuevo modelo social de discapacidad, desarrollado en la Convención de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las Naciones Unidas Sobre los Derechos de las Personas con Discapacidad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(CDPD), Convención aprobada por el Congreso de la República a través de la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Ley 1346 de 2009, por tanto, incorporado al bloque de constitucionalidad y el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cual riñe directamente con el enfoque institucionalista del artículo 37. Sin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embargo, es preciso realizar un análisis de la necesidad de la acción pública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 inconstitucionalidad y verificar si a la fecha se han generado impactos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presupuestales efectivos o significativos. Este análisis deberá demostrar que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existen elementos concretos y suficientes para llevar a cabo esta acción, sin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que ello implique un uso desproporcionado de los recursos judiciales.</w:t>
      </w:r>
    </w:p>
    <w:p w:rsidRPr="00650D91" w:rsidR="00650D91" w:rsidP="00650D91" w:rsidRDefault="00650D91" w14:paraId="234EA91C" w14:textId="56E290C7">
      <w:pPr>
        <w:pStyle w:val="Prrafodelista"/>
        <w:numPr>
          <w:ilvl w:val="0"/>
          <w:numId w:val="5"/>
        </w:numPr>
        <w:jc w:val="both"/>
        <w:rPr>
          <w:rFonts w:ascii="Verdana" w:hAnsi="Verdana"/>
          <w:i/>
          <w:iCs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No obstante la acción anteriormente señalada, en virtud de la interpretación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doctrinal de que trata el artículo 2619 del Código Civil Colombiano, que faculta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 los funcionarios públicos para realizar tal interpretación de la ley, en un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escenario práctico, se podría plantear la aplicación de la excepción de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inconstitucionalidad o el control de constitucionalidad por vía de excepción el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cual encuentra su fundamento en el artículo 4 de la Constitución Política,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cuya aplicación se alega para que en caso de presentarse contradicción entre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una norma de rango legal y otra de rango constitucional, se aplique esta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última, con el fin de preservar las garantías constitucionales, que sólo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procede para resolver casos o situaciones concretas o subjetivas, de modo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que quien la hace efectiva es la autoridad que conoce del correspondiente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 xml:space="preserve">caso y sus efectos, por consiguiente, son subjetivos o </w:t>
      </w:r>
      <w:proofErr w:type="spellStart"/>
      <w:r w:rsidRPr="00650D91">
        <w:rPr>
          <w:rFonts w:ascii="Verdana" w:hAnsi="Verdana"/>
          <w:i/>
          <w:iCs/>
          <w:sz w:val="22"/>
          <w:szCs w:val="22"/>
        </w:rPr>
        <w:t>interpartes</w:t>
      </w:r>
      <w:proofErr w:type="spellEnd"/>
      <w:r w:rsidRPr="00650D91">
        <w:rPr>
          <w:rFonts w:ascii="Verdana" w:hAnsi="Verdana"/>
          <w:i/>
          <w:iCs/>
          <w:sz w:val="22"/>
          <w:szCs w:val="22"/>
        </w:rPr>
        <w:t>. (…) Ahora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bien, para hacer uso de este medio excepcional es necesario que la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contradicción sea manifiesta, esto es, que la norma constitucional y la legal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riñan de tal manera que del simple cotejo resulte absolutamente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incompatible su aplicación simultánea</w:t>
      </w:r>
      <w:r w:rsidRPr="00650D91">
        <w:rPr>
          <w:rFonts w:ascii="Verdana" w:hAnsi="Verdana"/>
          <w:sz w:val="22"/>
          <w:szCs w:val="22"/>
        </w:rPr>
        <w:t>20. La Corte Constitucional ha definido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 xml:space="preserve">que </w:t>
      </w:r>
      <w:r w:rsidRPr="00650D91">
        <w:rPr>
          <w:rFonts w:ascii="Verdana" w:hAnsi="Verdana"/>
          <w:i/>
          <w:iCs/>
          <w:sz w:val="22"/>
          <w:szCs w:val="22"/>
        </w:rPr>
        <w:t>esta herramienta se usa con el fin de proteger, en un caso concreto y con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 xml:space="preserve">efecto </w:t>
      </w:r>
      <w:proofErr w:type="gramStart"/>
      <w:r w:rsidRPr="00650D91">
        <w:rPr>
          <w:rFonts w:ascii="Verdana" w:hAnsi="Verdana"/>
          <w:i/>
          <w:iCs/>
          <w:sz w:val="22"/>
          <w:szCs w:val="22"/>
        </w:rPr>
        <w:t>inter partes</w:t>
      </w:r>
      <w:proofErr w:type="gramEnd"/>
      <w:r w:rsidRPr="00650D91">
        <w:rPr>
          <w:rFonts w:ascii="Verdana" w:hAnsi="Verdana"/>
          <w:i/>
          <w:iCs/>
          <w:sz w:val="22"/>
          <w:szCs w:val="22"/>
        </w:rPr>
        <w:t>, los derechos fundamentales que se vean en riesgo por la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aplicación de una norma de inferior jerarquía y que, de forma clara y</w:t>
      </w:r>
      <w:r w:rsidRPr="00650D91">
        <w:rPr>
          <w:rFonts w:ascii="Verdana" w:hAnsi="Verdana"/>
          <w:i/>
          <w:iCs/>
          <w:sz w:val="22"/>
          <w:szCs w:val="22"/>
        </w:rPr>
        <w:t xml:space="preserve"> </w:t>
      </w:r>
      <w:r w:rsidRPr="00650D91">
        <w:rPr>
          <w:rFonts w:ascii="Verdana" w:hAnsi="Verdana"/>
          <w:i/>
          <w:iCs/>
          <w:sz w:val="22"/>
          <w:szCs w:val="22"/>
        </w:rPr>
        <w:t>evidente, contraría las normas contenidas dentro de la Constitución Política21.</w:t>
      </w:r>
    </w:p>
    <w:p w:rsidRPr="00650D91" w:rsidR="00650D91" w:rsidP="00650D91" w:rsidRDefault="00650D91" w14:paraId="1D922B88" w14:textId="4F644F0D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Finalmente, debe considerarse que no necesariamente será imprescindible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promover alguna acción procesal, ya que podría argumentarse la existencia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 una derogatoria tácita del artículo 37.</w:t>
      </w:r>
    </w:p>
    <w:p w:rsidRPr="00650D91" w:rsidR="00650D91" w:rsidP="00650D91" w:rsidRDefault="00650D91" w14:paraId="0B9CC558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650D91">
        <w:rPr>
          <w:rFonts w:ascii="Verdana" w:hAnsi="Verdana"/>
          <w:b/>
          <w:bCs/>
          <w:sz w:val="22"/>
          <w:szCs w:val="22"/>
        </w:rPr>
        <w:lastRenderedPageBreak/>
        <w:t>5. Conclusiones</w:t>
      </w:r>
    </w:p>
    <w:p w:rsidRPr="00650D91" w:rsidR="00650D91" w:rsidP="00650D91" w:rsidRDefault="00650D91" w14:paraId="184B78A5" w14:textId="77777777">
      <w:p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En virtud de todo lo que precede, la OAJ se permite concluir:</w:t>
      </w:r>
    </w:p>
    <w:p w:rsidRPr="00954490" w:rsidR="00650D91" w:rsidP="00954490" w:rsidRDefault="00650D91" w14:paraId="3C375A6F" w14:textId="733CC71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954490">
        <w:rPr>
          <w:rFonts w:ascii="Verdana" w:hAnsi="Verdana"/>
          <w:sz w:val="22"/>
          <w:szCs w:val="22"/>
        </w:rPr>
        <w:t>El artículo 37 de la Ley 361 de 1997 debe considerarse derogado tácitamente</w:t>
      </w:r>
      <w:r w:rsidRPr="00954490"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por la creación de un nuevo sistema normativo a favor de las personas con</w:t>
      </w:r>
      <w:r w:rsidRPr="00954490"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discapacidad o, eventualmente, interpretado en consonancia con la nueva</w:t>
      </w:r>
      <w:r w:rsidRPr="00954490"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normatividad.</w:t>
      </w:r>
    </w:p>
    <w:p w:rsidRPr="00954490" w:rsidR="00650D91" w:rsidP="00954490" w:rsidRDefault="00650D91" w14:paraId="32951D4E" w14:textId="12085D17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954490">
        <w:rPr>
          <w:rFonts w:ascii="Verdana" w:hAnsi="Verdana"/>
          <w:sz w:val="22"/>
          <w:szCs w:val="22"/>
        </w:rPr>
        <w:t xml:space="preserve">Lo anterior, se puede sustentar </w:t>
      </w:r>
      <w:proofErr w:type="gramStart"/>
      <w:r w:rsidRPr="00954490">
        <w:rPr>
          <w:rFonts w:ascii="Verdana" w:hAnsi="Verdana"/>
          <w:sz w:val="22"/>
          <w:szCs w:val="22"/>
        </w:rPr>
        <w:t>en virtud a</w:t>
      </w:r>
      <w:proofErr w:type="gramEnd"/>
      <w:r w:rsidRPr="00954490">
        <w:rPr>
          <w:rFonts w:ascii="Verdana" w:hAnsi="Verdana"/>
          <w:sz w:val="22"/>
          <w:szCs w:val="22"/>
        </w:rPr>
        <w:t>:</w:t>
      </w:r>
    </w:p>
    <w:p w:rsidRPr="00650D91" w:rsidR="00650D91" w:rsidP="00954490" w:rsidRDefault="00650D91" w14:paraId="077DBC74" w14:textId="498ECE4E">
      <w:pPr>
        <w:ind w:left="720"/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 xml:space="preserve">(i) la </w:t>
      </w:r>
      <w:proofErr w:type="gramStart"/>
      <w:r w:rsidRPr="00650D91">
        <w:rPr>
          <w:rFonts w:ascii="Verdana" w:hAnsi="Verdana"/>
          <w:sz w:val="22"/>
          <w:szCs w:val="22"/>
        </w:rPr>
        <w:t>entrada en vigencia</w:t>
      </w:r>
      <w:proofErr w:type="gramEnd"/>
      <w:r w:rsidRPr="00650D91">
        <w:rPr>
          <w:rFonts w:ascii="Verdana" w:hAnsi="Verdana"/>
          <w:sz w:val="22"/>
          <w:szCs w:val="22"/>
        </w:rPr>
        <w:t xml:space="preserve"> del sistema nacional de discapacidad (SND) y las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actuales competencias del Ministerio de Igualdad y Equidad;</w:t>
      </w:r>
    </w:p>
    <w:p w:rsidRPr="00650D91" w:rsidR="00650D91" w:rsidP="00954490" w:rsidRDefault="00650D91" w14:paraId="68949AF6" w14:textId="7970075A">
      <w:pPr>
        <w:ind w:left="720"/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(</w:t>
      </w:r>
      <w:proofErr w:type="spellStart"/>
      <w:r w:rsidRPr="00650D91">
        <w:rPr>
          <w:rFonts w:ascii="Verdana" w:hAnsi="Verdana"/>
          <w:sz w:val="22"/>
          <w:szCs w:val="22"/>
        </w:rPr>
        <w:t>ii</w:t>
      </w:r>
      <w:proofErr w:type="spellEnd"/>
      <w:r w:rsidRPr="00650D91">
        <w:rPr>
          <w:rFonts w:ascii="Verdana" w:hAnsi="Verdana"/>
          <w:sz w:val="22"/>
          <w:szCs w:val="22"/>
        </w:rPr>
        <w:t>) las competencias de las EPS y las alcaldía locales y municipales en temas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 habilitación y rehabilitación integral;</w:t>
      </w:r>
    </w:p>
    <w:p w:rsidRPr="00650D91" w:rsidR="00650D91" w:rsidP="00954490" w:rsidRDefault="00650D91" w14:paraId="18818757" w14:textId="28234211">
      <w:pPr>
        <w:ind w:left="720"/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(</w:t>
      </w:r>
      <w:proofErr w:type="spellStart"/>
      <w:r w:rsidRPr="00650D91">
        <w:rPr>
          <w:rFonts w:ascii="Verdana" w:hAnsi="Verdana"/>
          <w:sz w:val="22"/>
          <w:szCs w:val="22"/>
        </w:rPr>
        <w:t>iii</w:t>
      </w:r>
      <w:proofErr w:type="spellEnd"/>
      <w:r w:rsidRPr="00650D91">
        <w:rPr>
          <w:rFonts w:ascii="Verdana" w:hAnsi="Verdana"/>
          <w:sz w:val="22"/>
          <w:szCs w:val="22"/>
        </w:rPr>
        <w:t xml:space="preserve">) la </w:t>
      </w:r>
      <w:proofErr w:type="gramStart"/>
      <w:r w:rsidRPr="00650D91">
        <w:rPr>
          <w:rFonts w:ascii="Verdana" w:hAnsi="Verdana"/>
          <w:sz w:val="22"/>
          <w:szCs w:val="22"/>
        </w:rPr>
        <w:t>entrada en vigencia</w:t>
      </w:r>
      <w:proofErr w:type="gramEnd"/>
      <w:r w:rsidRPr="00650D91">
        <w:rPr>
          <w:rFonts w:ascii="Verdana" w:hAnsi="Verdana"/>
          <w:sz w:val="22"/>
          <w:szCs w:val="22"/>
        </w:rPr>
        <w:t xml:space="preserve"> del modelo social de discapacidad que riñe con el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sistema institucional del artículo 37.</w:t>
      </w:r>
    </w:p>
    <w:p w:rsidRPr="00650D91" w:rsidR="00650D91" w:rsidP="00650D91" w:rsidRDefault="00650D91" w14:paraId="18E6621F" w14:textId="507EFAB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A la luz del modelo social de discapacidad desarrollado en la Convención de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las Naciones Unidas Sobre los Derechos de las Personas con Discapacidad,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actualmente las modalidades y servicios proporcionados por el ICBF deben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fomentar la inclusión social de niñas, niños y adolescentes con discapacidad,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promover la corresponsabilidad de la comunidad y sus familias, y apoyar la</w:t>
      </w:r>
      <w:r w:rsidRPr="00650D91"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creación de proyectos de vida autónomos.</w:t>
      </w:r>
    </w:p>
    <w:p w:rsidRPr="00954490" w:rsidR="00954490" w:rsidP="00954490" w:rsidRDefault="00650D91" w14:paraId="7A984A19" w14:textId="7B8B706F">
      <w:pPr>
        <w:jc w:val="both"/>
        <w:rPr>
          <w:rFonts w:ascii="Verdana" w:hAnsi="Verdana"/>
          <w:sz w:val="22"/>
          <w:szCs w:val="22"/>
        </w:rPr>
      </w:pPr>
      <w:r w:rsidRPr="00650D91">
        <w:rPr>
          <w:rFonts w:ascii="Verdana" w:hAnsi="Verdana"/>
          <w:sz w:val="22"/>
          <w:szCs w:val="22"/>
        </w:rPr>
        <w:t>Se debe evitar el acogimiento en instituciones que excluyen y segregan, así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como la permanencia prolongada o indefinida en tales instituciones. Las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personas con discapacidad deben cumplir con los planes de atención y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acceder a ofertas inclusivas de otros sectores, en función de su etapa de vida,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intereses, necesidades y capacidades. La institucionalización es contraria al</w:t>
      </w:r>
      <w:r>
        <w:rPr>
          <w:rFonts w:ascii="Verdana" w:hAnsi="Verdana"/>
          <w:sz w:val="22"/>
          <w:szCs w:val="22"/>
        </w:rPr>
        <w:t xml:space="preserve"> </w:t>
      </w:r>
      <w:r w:rsidRPr="00650D91">
        <w:rPr>
          <w:rFonts w:ascii="Verdana" w:hAnsi="Verdana"/>
          <w:sz w:val="22"/>
          <w:szCs w:val="22"/>
        </w:rPr>
        <w:t>derecho de las personas con discapacidad a vivir de forma independiente y a</w:t>
      </w:r>
      <w:r w:rsidR="00954490">
        <w:rPr>
          <w:rFonts w:ascii="Verdana" w:hAnsi="Verdana"/>
          <w:sz w:val="22"/>
          <w:szCs w:val="22"/>
        </w:rPr>
        <w:t xml:space="preserve"> </w:t>
      </w:r>
      <w:r w:rsidRPr="00954490" w:rsidR="00954490">
        <w:rPr>
          <w:rFonts w:ascii="Verdana" w:hAnsi="Verdana"/>
          <w:sz w:val="22"/>
          <w:szCs w:val="22"/>
        </w:rPr>
        <w:t>ser incluidas en la comunidad, y se considera una práctica discriminatoria que</w:t>
      </w:r>
      <w:r w:rsidR="00954490">
        <w:rPr>
          <w:rFonts w:ascii="Verdana" w:hAnsi="Verdana"/>
          <w:sz w:val="22"/>
          <w:szCs w:val="22"/>
        </w:rPr>
        <w:t xml:space="preserve"> </w:t>
      </w:r>
      <w:r w:rsidRPr="00954490" w:rsidR="00954490">
        <w:rPr>
          <w:rFonts w:ascii="Verdana" w:hAnsi="Verdana"/>
          <w:sz w:val="22"/>
          <w:szCs w:val="22"/>
        </w:rPr>
        <w:t>niega de facto la capacidad jurídica de estas personas.</w:t>
      </w:r>
    </w:p>
    <w:p w:rsidR="00954490" w:rsidP="00954490" w:rsidRDefault="00954490" w14:paraId="5D1F72C4" w14:textId="57B511FE">
      <w:pPr>
        <w:jc w:val="both"/>
        <w:rPr>
          <w:rFonts w:ascii="Verdana" w:hAnsi="Verdana"/>
          <w:sz w:val="22"/>
          <w:szCs w:val="22"/>
        </w:rPr>
      </w:pPr>
      <w:r w:rsidRPr="00954490">
        <w:rPr>
          <w:rFonts w:ascii="Verdana" w:hAnsi="Verdana"/>
          <w:sz w:val="22"/>
          <w:szCs w:val="22"/>
        </w:rPr>
        <w:t>El presente tiene naturaleza de concepto jurídico y constituye un criterio auxiliar de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interpretación de conformidad con lo establecido en los artículos 26 del Código Civil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y 28 del Código de Procedimiento Administrativo y de lo Contencioso Administrativo,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sustituido por el artículo 1º de la Ley 1755 de 2015. No obstante lo anterior, tiene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carácter vinculante para las dependencias internas del Instituto y terceros que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colaboren en la prestación del servicio público o en el desarrollo de la función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administrativa de competencia del ICBF, en virtud de la función asignada a la Oficina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Asesora Jurídica de mantener la unidad doctrinaria e impartir las directrices jurídicas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 xml:space="preserve">necesarias para el desarrollo de las funciones </w:t>
      </w:r>
      <w:r w:rsidRPr="00954490">
        <w:rPr>
          <w:rFonts w:ascii="Verdana" w:hAnsi="Verdana"/>
          <w:sz w:val="22"/>
          <w:szCs w:val="22"/>
        </w:rPr>
        <w:lastRenderedPageBreak/>
        <w:t>del Instituto, de conformidad con los</w:t>
      </w:r>
      <w:r>
        <w:rPr>
          <w:rFonts w:ascii="Verdana" w:hAnsi="Verdana"/>
          <w:sz w:val="22"/>
          <w:szCs w:val="22"/>
        </w:rPr>
        <w:t xml:space="preserve"> </w:t>
      </w:r>
      <w:r w:rsidRPr="00954490">
        <w:rPr>
          <w:rFonts w:ascii="Verdana" w:hAnsi="Verdana"/>
          <w:sz w:val="22"/>
          <w:szCs w:val="22"/>
        </w:rPr>
        <w:t>numerales 8 y 15 del Artículo 6º del Decreto 987 de 2012.</w:t>
      </w:r>
    </w:p>
    <w:p w:rsidRPr="00954490" w:rsidR="00954490" w:rsidP="00954490" w:rsidRDefault="00954490" w14:paraId="45C08B00" w14:textId="77777777">
      <w:pPr>
        <w:jc w:val="both"/>
        <w:rPr>
          <w:rFonts w:ascii="Verdana" w:hAnsi="Verdana"/>
          <w:sz w:val="22"/>
          <w:szCs w:val="22"/>
        </w:rPr>
      </w:pPr>
    </w:p>
    <w:p w:rsidR="00954490" w:rsidP="00954490" w:rsidRDefault="00954490" w14:paraId="1A82BD45" w14:textId="77777777">
      <w:pPr>
        <w:jc w:val="both"/>
        <w:rPr>
          <w:rFonts w:ascii="Verdana" w:hAnsi="Verdana"/>
          <w:sz w:val="22"/>
          <w:szCs w:val="22"/>
        </w:rPr>
      </w:pPr>
      <w:r w:rsidRPr="00954490">
        <w:rPr>
          <w:rFonts w:ascii="Verdana" w:hAnsi="Verdana"/>
          <w:sz w:val="22"/>
          <w:szCs w:val="22"/>
        </w:rPr>
        <w:t>Cordialmente,</w:t>
      </w:r>
    </w:p>
    <w:p w:rsidR="00954490" w:rsidP="00954490" w:rsidRDefault="00954490" w14:paraId="77A8F876" w14:textId="77777777">
      <w:pPr>
        <w:jc w:val="both"/>
        <w:rPr>
          <w:rFonts w:ascii="Verdana" w:hAnsi="Verdana"/>
          <w:sz w:val="22"/>
          <w:szCs w:val="22"/>
        </w:rPr>
      </w:pPr>
    </w:p>
    <w:p w:rsidRPr="00954490" w:rsidR="00954490" w:rsidP="00954490" w:rsidRDefault="00954490" w14:paraId="24A3C168" w14:textId="77777777">
      <w:pPr>
        <w:jc w:val="center"/>
        <w:rPr>
          <w:rFonts w:ascii="Verdana" w:hAnsi="Verdana"/>
          <w:b/>
          <w:bCs/>
          <w:sz w:val="22"/>
          <w:szCs w:val="22"/>
        </w:rPr>
      </w:pPr>
      <w:r w:rsidRPr="00954490">
        <w:rPr>
          <w:rFonts w:ascii="Verdana" w:hAnsi="Verdana"/>
          <w:b/>
          <w:bCs/>
          <w:sz w:val="22"/>
          <w:szCs w:val="22"/>
        </w:rPr>
        <w:t>LEONARDO ALFONSO PÉREZ MEDINA</w:t>
      </w:r>
    </w:p>
    <w:p w:rsidRPr="00650D91" w:rsidR="00650D91" w:rsidP="00954490" w:rsidRDefault="00954490" w14:paraId="59437043" w14:textId="393F753E">
      <w:pPr>
        <w:jc w:val="center"/>
        <w:rPr>
          <w:rFonts w:ascii="Verdana" w:hAnsi="Verdana"/>
          <w:sz w:val="22"/>
          <w:szCs w:val="22"/>
        </w:rPr>
      </w:pPr>
      <w:r w:rsidRPr="00954490">
        <w:rPr>
          <w:rFonts w:ascii="Verdana" w:hAnsi="Verdana"/>
          <w:sz w:val="22"/>
          <w:szCs w:val="22"/>
        </w:rPr>
        <w:t>Jefe Oficina Asesora Jurídica (E)</w:t>
      </w:r>
    </w:p>
    <w:sectPr w:rsidRPr="00650D91" w:rsidR="00650D9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8DD"/>
    <w:multiLevelType w:val="hybridMultilevel"/>
    <w:tmpl w:val="6BBEEFA8"/>
    <w:lvl w:ilvl="0" w:tplc="3ACE5196">
      <w:start w:val="4"/>
      <w:numFmt w:val="bullet"/>
      <w:lvlText w:val="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D3B28"/>
    <w:multiLevelType w:val="hybridMultilevel"/>
    <w:tmpl w:val="7EB08C1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9A77D4"/>
    <w:multiLevelType w:val="hybridMultilevel"/>
    <w:tmpl w:val="882C7AA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292508"/>
    <w:multiLevelType w:val="hybridMultilevel"/>
    <w:tmpl w:val="C3CE4E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44E87"/>
    <w:multiLevelType w:val="hybridMultilevel"/>
    <w:tmpl w:val="BD7E1A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7E0D99"/>
    <w:multiLevelType w:val="hybridMultilevel"/>
    <w:tmpl w:val="BA106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3FC"/>
    <w:multiLevelType w:val="hybridMultilevel"/>
    <w:tmpl w:val="CD24791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7263173">
    <w:abstractNumId w:val="5"/>
  </w:num>
  <w:num w:numId="2" w16cid:durableId="2092388099">
    <w:abstractNumId w:val="3"/>
  </w:num>
  <w:num w:numId="3" w16cid:durableId="247731717">
    <w:abstractNumId w:val="6"/>
  </w:num>
  <w:num w:numId="4" w16cid:durableId="1874152933">
    <w:abstractNumId w:val="0"/>
  </w:num>
  <w:num w:numId="5" w16cid:durableId="594627911">
    <w:abstractNumId w:val="1"/>
  </w:num>
  <w:num w:numId="6" w16cid:durableId="1463963074">
    <w:abstractNumId w:val="2"/>
  </w:num>
  <w:num w:numId="7" w16cid:durableId="1195342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9"/>
    <w:rsid w:val="00262487"/>
    <w:rsid w:val="00650D91"/>
    <w:rsid w:val="008068F9"/>
    <w:rsid w:val="00836D88"/>
    <w:rsid w:val="00954490"/>
    <w:rsid w:val="00C03E02"/>
    <w:rsid w:val="1627DE9C"/>
    <w:rsid w:val="3BF86E82"/>
    <w:rsid w:val="441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1221"/>
  <w15:chartTrackingRefBased/>
  <w15:docId w15:val="{61427F1B-659F-434D-9E36-03D5E2F5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8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8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068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068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068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068F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068F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068F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068F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068F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06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8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068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0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8F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068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8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8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8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68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E1A69-644B-48AA-B0B4-34E9686A09E7}"/>
</file>

<file path=customXml/itemProps2.xml><?xml version="1.0" encoding="utf-8"?>
<ds:datastoreItem xmlns:ds="http://schemas.openxmlformats.org/officeDocument/2006/customXml" ds:itemID="{65C6418E-05C4-4504-825E-B7D397513EA7}"/>
</file>

<file path=customXml/itemProps3.xml><?xml version="1.0" encoding="utf-8"?>
<ds:datastoreItem xmlns:ds="http://schemas.openxmlformats.org/officeDocument/2006/customXml" ds:itemID="{BCB13E6E-ABFA-4879-ABC8-DDBCEB7B93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2026-04-22T19:00:00Z</dcterms:created>
  <dcterms:modified xsi:type="dcterms:W3CDTF">2026-05-05T16:00:54Z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