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CB6E" w14:textId="178E1AAE" w:rsidR="00392BF0" w:rsidRPr="00392BF0" w:rsidRDefault="00392BF0" w:rsidP="00392BF0">
      <w:pPr>
        <w:jc w:val="center"/>
        <w:rPr>
          <w:rFonts w:ascii="Verdana" w:hAnsi="Verdana"/>
          <w:b/>
          <w:bCs/>
        </w:rPr>
      </w:pPr>
      <w:r w:rsidRPr="00392BF0">
        <w:rPr>
          <w:rFonts w:ascii="Verdana" w:hAnsi="Verdana"/>
          <w:b/>
          <w:bCs/>
        </w:rPr>
        <w:t>CONCEPTO 1 DE 2016</w:t>
      </w:r>
    </w:p>
    <w:p w14:paraId="7103D881" w14:textId="41A23BC2" w:rsidR="00392BF0" w:rsidRPr="00392BF0" w:rsidRDefault="00392BF0" w:rsidP="00392BF0">
      <w:pPr>
        <w:jc w:val="center"/>
        <w:rPr>
          <w:rFonts w:ascii="Verdana" w:hAnsi="Verdana"/>
        </w:rPr>
      </w:pPr>
      <w:r w:rsidRPr="00392BF0">
        <w:rPr>
          <w:rFonts w:ascii="Verdana" w:hAnsi="Verdana"/>
        </w:rPr>
        <w:t>(enero 4)</w:t>
      </w:r>
    </w:p>
    <w:p w14:paraId="0D77506C" w14:textId="07DB6450" w:rsidR="00392BF0" w:rsidRPr="00392BF0" w:rsidRDefault="00392BF0" w:rsidP="00392BF0">
      <w:pPr>
        <w:jc w:val="center"/>
        <w:rPr>
          <w:rFonts w:ascii="Verdana" w:hAnsi="Verdana"/>
          <w:b/>
          <w:bCs/>
        </w:rPr>
      </w:pPr>
      <w:r w:rsidRPr="00392BF0">
        <w:rPr>
          <w:rFonts w:ascii="Verdana" w:hAnsi="Verdana"/>
          <w:b/>
          <w:bCs/>
        </w:rPr>
        <w:t>INSTITUTO COLOMBIANO DE BIENESTAR FAMILIAR – ICBF</w:t>
      </w:r>
    </w:p>
    <w:p w14:paraId="79138EC6" w14:textId="06A3F495" w:rsidR="000B4793" w:rsidRDefault="00392BF0" w:rsidP="00392BF0">
      <w:pPr>
        <w:jc w:val="center"/>
        <w:rPr>
          <w:rFonts w:ascii="Verdana" w:hAnsi="Verdana"/>
        </w:rPr>
      </w:pPr>
      <w:r w:rsidRPr="00392BF0">
        <w:rPr>
          <w:rFonts w:ascii="Verdana" w:hAnsi="Verdana"/>
        </w:rPr>
        <w:t>MEMORANDO</w:t>
      </w:r>
    </w:p>
    <w:p w14:paraId="4C026B7B" w14:textId="77777777" w:rsidR="00392BF0" w:rsidRPr="00392BF0" w:rsidRDefault="00392BF0" w:rsidP="00392BF0">
      <w:pPr>
        <w:jc w:val="both"/>
        <w:rPr>
          <w:rFonts w:ascii="Verdana" w:hAnsi="Verdana"/>
        </w:rPr>
      </w:pPr>
      <w:r w:rsidRPr="00392BF0">
        <w:rPr>
          <w:rFonts w:ascii="Verdana" w:hAnsi="Verdana"/>
          <w:b/>
          <w:bCs/>
        </w:rPr>
        <w:t>PARA:</w:t>
      </w:r>
      <w:r w:rsidRPr="00392BF0">
        <w:rPr>
          <w:rFonts w:ascii="Verdana" w:hAnsi="Verdana"/>
        </w:rPr>
        <w:tab/>
        <w:t>Coordinadora Grupo Jurídico</w:t>
      </w:r>
    </w:p>
    <w:p w14:paraId="13E238C2" w14:textId="77777777" w:rsidR="00392BF0" w:rsidRPr="00392BF0" w:rsidRDefault="00392BF0" w:rsidP="00392BF0">
      <w:pPr>
        <w:jc w:val="both"/>
        <w:rPr>
          <w:rFonts w:ascii="Verdana" w:hAnsi="Verdana"/>
        </w:rPr>
      </w:pPr>
      <w:r w:rsidRPr="00392BF0">
        <w:rPr>
          <w:rFonts w:ascii="Verdana" w:hAnsi="Verdana"/>
        </w:rPr>
        <w:t>Regional ICBF Sucre</w:t>
      </w:r>
    </w:p>
    <w:p w14:paraId="68A8339B" w14:textId="77777777" w:rsidR="00392BF0" w:rsidRPr="00392BF0" w:rsidRDefault="00392BF0" w:rsidP="00392BF0">
      <w:pPr>
        <w:jc w:val="both"/>
        <w:rPr>
          <w:rFonts w:ascii="Verdana" w:hAnsi="Verdana"/>
        </w:rPr>
      </w:pPr>
      <w:r w:rsidRPr="00392BF0">
        <w:rPr>
          <w:rFonts w:ascii="Verdana" w:hAnsi="Verdana"/>
          <w:b/>
          <w:bCs/>
        </w:rPr>
        <w:t>ASUNTO:</w:t>
      </w:r>
      <w:r w:rsidRPr="00392BF0">
        <w:rPr>
          <w:rFonts w:ascii="Verdana" w:hAnsi="Verdana"/>
        </w:rPr>
        <w:tab/>
        <w:t>Solicitud de concepto de acuerdo radicado en el ICBF No. 531764 del 11 de diciembre de 2015.</w:t>
      </w:r>
    </w:p>
    <w:p w14:paraId="3A7ABFDB" w14:textId="08FDECBC" w:rsidR="00392BF0" w:rsidRPr="00392BF0" w:rsidRDefault="00392BF0" w:rsidP="00392BF0">
      <w:pPr>
        <w:jc w:val="both"/>
        <w:rPr>
          <w:rFonts w:ascii="Verdana" w:hAnsi="Verdana"/>
        </w:rPr>
      </w:pPr>
      <w:r w:rsidRPr="00392BF0">
        <w:rPr>
          <w:rFonts w:ascii="Verdana" w:hAnsi="Verdana"/>
        </w:rPr>
        <w:t>De manera atentar en relación con el asunto de la referencia, en los términos previstos en los artículos 26 del Código Civil, Ley 1755 de 2015, y el artículo 6o, numeral 4, del Decreto 987 de 2012, se responde la consulta, sobre el caso en cuestión, en los términos que siguen:</w:t>
      </w:r>
    </w:p>
    <w:p w14:paraId="49B5108A" w14:textId="106FA9B6" w:rsidR="00392BF0" w:rsidRPr="00392BF0" w:rsidRDefault="00392BF0" w:rsidP="00392BF0">
      <w:pPr>
        <w:jc w:val="both"/>
        <w:rPr>
          <w:rFonts w:ascii="Verdana" w:hAnsi="Verdana"/>
          <w:b/>
          <w:bCs/>
        </w:rPr>
      </w:pPr>
      <w:r w:rsidRPr="00392BF0">
        <w:rPr>
          <w:rFonts w:ascii="Verdana" w:hAnsi="Verdana"/>
          <w:b/>
          <w:bCs/>
        </w:rPr>
        <w:t>1. CONSULTA</w:t>
      </w:r>
    </w:p>
    <w:p w14:paraId="6EC521B6" w14:textId="26CE748C" w:rsidR="00392BF0" w:rsidRPr="00392BF0" w:rsidRDefault="00392BF0" w:rsidP="00392BF0">
      <w:pPr>
        <w:jc w:val="both"/>
        <w:rPr>
          <w:rFonts w:ascii="Verdana" w:hAnsi="Verdana"/>
        </w:rPr>
      </w:pPr>
      <w:r w:rsidRPr="00392BF0">
        <w:rPr>
          <w:rFonts w:ascii="Verdana" w:hAnsi="Verdana"/>
        </w:rPr>
        <w:t>¿Deben todas las modalidades del ICBF contar con licencia de funcionamiento para prestar el servicio público de bienestar familiar?</w:t>
      </w:r>
    </w:p>
    <w:p w14:paraId="0FBEE687" w14:textId="5959F8FF" w:rsidR="00392BF0" w:rsidRPr="00392BF0" w:rsidRDefault="00392BF0" w:rsidP="00392BF0">
      <w:pPr>
        <w:jc w:val="both"/>
        <w:rPr>
          <w:rFonts w:ascii="Verdana" w:hAnsi="Verdana"/>
          <w:b/>
          <w:bCs/>
        </w:rPr>
      </w:pPr>
      <w:r w:rsidRPr="00392BF0">
        <w:rPr>
          <w:rFonts w:ascii="Verdana" w:hAnsi="Verdana"/>
          <w:b/>
          <w:bCs/>
        </w:rPr>
        <w:t>2. ANÁLISIS</w:t>
      </w:r>
    </w:p>
    <w:p w14:paraId="42241495" w14:textId="6BB23C2E" w:rsidR="00392BF0" w:rsidRPr="00392BF0" w:rsidRDefault="00392BF0" w:rsidP="00392BF0">
      <w:pPr>
        <w:jc w:val="both"/>
        <w:rPr>
          <w:rFonts w:ascii="Verdana" w:hAnsi="Verdana"/>
        </w:rPr>
      </w:pPr>
      <w:r w:rsidRPr="00392BF0">
        <w:rPr>
          <w:rFonts w:ascii="Verdana" w:hAnsi="Verdana"/>
        </w:rPr>
        <w:t>El presente problema jurídico se abordará de la siguiente forma: (2.1) El Servicio Público de Bienestar Familiar; (2.2) Competencia del ICBF en la expedición de licencias de funcionamiento y (2.3) Concepto de Acto Administrativo expedición, vigencia y obligatoriedad de los mismos.</w:t>
      </w:r>
    </w:p>
    <w:p w14:paraId="2A2146E6" w14:textId="2FBB9FFB" w:rsidR="00392BF0" w:rsidRPr="00392BF0" w:rsidRDefault="00392BF0" w:rsidP="00392BF0">
      <w:pPr>
        <w:jc w:val="both"/>
        <w:rPr>
          <w:rFonts w:ascii="Verdana" w:hAnsi="Verdana"/>
        </w:rPr>
      </w:pPr>
      <w:r w:rsidRPr="00392BF0">
        <w:rPr>
          <w:rFonts w:ascii="Verdana" w:hAnsi="Verdana"/>
        </w:rPr>
        <w:t>(2.1) El Servicio Público de Bienestar Familiar</w:t>
      </w:r>
    </w:p>
    <w:p w14:paraId="603D1611" w14:textId="4BF52FFB" w:rsidR="00392BF0" w:rsidRPr="00392BF0" w:rsidRDefault="00392BF0" w:rsidP="00392BF0">
      <w:pPr>
        <w:jc w:val="both"/>
        <w:rPr>
          <w:rFonts w:ascii="Verdana" w:hAnsi="Verdana"/>
        </w:rPr>
      </w:pPr>
      <w:r w:rsidRPr="00392BF0">
        <w:rPr>
          <w:rFonts w:ascii="Verdana" w:hAnsi="Verdana"/>
        </w:rPr>
        <w:t>Se entiende como Servicio Público de Bienestar Familiar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familiar.[1]</w:t>
      </w:r>
    </w:p>
    <w:p w14:paraId="513F029A" w14:textId="183E9B2F" w:rsidR="00392BF0" w:rsidRPr="00392BF0" w:rsidRDefault="00392BF0" w:rsidP="00392BF0">
      <w:pPr>
        <w:jc w:val="both"/>
        <w:rPr>
          <w:rFonts w:ascii="Verdana" w:hAnsi="Verdana"/>
        </w:rPr>
      </w:pPr>
      <w:r w:rsidRPr="00392BF0">
        <w:rPr>
          <w:rFonts w:ascii="Verdana" w:hAnsi="Verdana"/>
        </w:rPr>
        <w:t>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los mismos en los ámbitos nacional, departamental, distrital y municipal.</w:t>
      </w:r>
    </w:p>
    <w:p w14:paraId="17B4EE93" w14:textId="34D41C3D" w:rsidR="00392BF0" w:rsidRPr="00392BF0" w:rsidRDefault="00392BF0" w:rsidP="00392BF0">
      <w:pPr>
        <w:jc w:val="both"/>
        <w:rPr>
          <w:rFonts w:ascii="Verdana" w:hAnsi="Verdana"/>
        </w:rPr>
      </w:pPr>
      <w:r w:rsidRPr="00392BF0">
        <w:rPr>
          <w:rFonts w:ascii="Verdana" w:hAnsi="Verdana"/>
        </w:rPr>
        <w:t>El Decreto 936 de 2013 indica los principios rectores del sistema Nacional de Bienestar Familiar, indicando que:</w:t>
      </w:r>
    </w:p>
    <w:p w14:paraId="6509CCEC" w14:textId="484C128C" w:rsidR="00392BF0" w:rsidRPr="00392BF0" w:rsidRDefault="00392BF0" w:rsidP="00392BF0">
      <w:pPr>
        <w:jc w:val="both"/>
        <w:rPr>
          <w:rFonts w:ascii="Verdana" w:hAnsi="Verdana"/>
        </w:rPr>
      </w:pPr>
      <w:r w:rsidRPr="00392BF0">
        <w:rPr>
          <w:rFonts w:ascii="Verdana" w:hAnsi="Verdana"/>
        </w:rPr>
        <w:t xml:space="preserve">“El Sistema Nacional de Bienestar Familiar está regido por las normas constitucionales de garantía de los derechos de niños, niñas y adolescentes, y de prevalencia de los derechos de la niñez, establecidos en el artículo 44 de la </w:t>
      </w:r>
      <w:r w:rsidRPr="00392BF0">
        <w:rPr>
          <w:rFonts w:ascii="Verdana" w:hAnsi="Verdana"/>
        </w:rPr>
        <w:lastRenderedPageBreak/>
        <w:t>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7, 8, 9, 10, 11 y 12 de la Ley 1098 de 2006 y por los principios rectores de las políticas públicas de infancia, adolescencia y familia previstos en el artículo 203 de la misma ley''.</w:t>
      </w:r>
    </w:p>
    <w:p w14:paraId="6851BDBF" w14:textId="29705C27" w:rsidR="00392BF0" w:rsidRPr="00392BF0" w:rsidRDefault="00392BF0" w:rsidP="00392BF0">
      <w:pPr>
        <w:jc w:val="both"/>
        <w:rPr>
          <w:rFonts w:ascii="Verdana" w:hAnsi="Verdana"/>
        </w:rPr>
      </w:pPr>
      <w:r w:rsidRPr="00392BF0">
        <w:rPr>
          <w:rFonts w:ascii="Verdana" w:hAnsi="Verdana"/>
        </w:rPr>
        <w:t>En el marco de la necesaria articulación y coordinación el mismo Decreto dispone los objetivos del Sistema Nacional de Bienestar Familiar, así:</w:t>
      </w:r>
    </w:p>
    <w:p w14:paraId="6523591E" w14:textId="568C0F18" w:rsidR="00392BF0" w:rsidRPr="00392BF0" w:rsidRDefault="00392BF0" w:rsidP="00392BF0">
      <w:pPr>
        <w:jc w:val="both"/>
        <w:rPr>
          <w:rFonts w:ascii="Verdana" w:hAnsi="Verdana"/>
        </w:rPr>
      </w:pPr>
      <w:r w:rsidRPr="00392BF0">
        <w:rPr>
          <w:rFonts w:ascii="Verdana" w:hAnsi="Verdana"/>
        </w:rPr>
        <w:t>1. Lograr la protección integral de la primera infancia, la infancia y la adolescencia y promover el fortalecimiento familiar a través de una respuesta articulada y oportuna del Estado bajo el principio de corresponsabilidad con la familia y la sociedad.</w:t>
      </w:r>
    </w:p>
    <w:p w14:paraId="719EFC68" w14:textId="562BFE22" w:rsidR="00392BF0" w:rsidRPr="00392BF0" w:rsidRDefault="00392BF0" w:rsidP="00392BF0">
      <w:pPr>
        <w:jc w:val="both"/>
        <w:rPr>
          <w:rFonts w:ascii="Verdana" w:hAnsi="Verdana"/>
        </w:rPr>
      </w:pPr>
      <w:r w:rsidRPr="00392BF0">
        <w:rPr>
          <w:rFonts w:ascii="Verdana" w:hAnsi="Verdana"/>
        </w:rPr>
        <w:t>2. Promover la formulación, implementación, seguimiento y evaluación de políticas de primera infancia, infancia y adolescencia y fortalecimiento familiar en los ámbitos nacional y territorial con enfoque diferencial.</w:t>
      </w:r>
    </w:p>
    <w:p w14:paraId="4CEE8E28" w14:textId="70C14633" w:rsidR="00392BF0" w:rsidRPr="00392BF0" w:rsidRDefault="00392BF0" w:rsidP="00392BF0">
      <w:pPr>
        <w:jc w:val="both"/>
        <w:rPr>
          <w:rFonts w:ascii="Verdana" w:hAnsi="Verdana"/>
        </w:rPr>
      </w:pPr>
      <w:r w:rsidRPr="00392BF0">
        <w:rPr>
          <w:rFonts w:ascii="Verdana" w:hAnsi="Verdana"/>
        </w:rPr>
        <w:t>3. Lograr que la primera infancia, la infancia y la adolescencia y el fortalecimiento familiar sean una prioridad social, política, técnica y financiera en el ámbito nacional y territorial.</w:t>
      </w:r>
    </w:p>
    <w:p w14:paraId="33A015C6" w14:textId="41AF094A" w:rsidR="00392BF0" w:rsidRPr="00392BF0" w:rsidRDefault="00392BF0" w:rsidP="00392BF0">
      <w:pPr>
        <w:jc w:val="both"/>
        <w:rPr>
          <w:rFonts w:ascii="Verdana" w:hAnsi="Verdana"/>
        </w:rPr>
      </w:pPr>
      <w:r w:rsidRPr="00392BF0">
        <w:rPr>
          <w:rFonts w:ascii="Verdana" w:hAnsi="Verdana"/>
        </w:rPr>
        <w:t>4. Mejorar el ejercicio de la participación y movilización social en torno a la protección integral de la primera infancia, la infancia, la adolescencia y el fortalecimiento familiar en los niveles nacional y territorial.</w:t>
      </w:r>
    </w:p>
    <w:p w14:paraId="2A41BF9F" w14:textId="730431F9" w:rsidR="00392BF0" w:rsidRPr="00392BF0" w:rsidRDefault="00392BF0" w:rsidP="00392BF0">
      <w:pPr>
        <w:jc w:val="both"/>
        <w:rPr>
          <w:rFonts w:ascii="Verdana" w:hAnsi="Verdana"/>
        </w:rPr>
      </w:pPr>
      <w:r w:rsidRPr="00392BF0">
        <w:rPr>
          <w:rFonts w:ascii="Verdana" w:hAnsi="Verdana"/>
        </w:rPr>
        <w:t>5. Evaluar y hacer seguimiento del estado de realización de derechos de los niños, niñas y adolescentes.</w:t>
      </w:r>
    </w:p>
    <w:p w14:paraId="2136FC16" w14:textId="02FE1259" w:rsidR="00392BF0" w:rsidRPr="00392BF0" w:rsidRDefault="00392BF0" w:rsidP="00392BF0">
      <w:pPr>
        <w:jc w:val="both"/>
        <w:rPr>
          <w:rFonts w:ascii="Verdana" w:hAnsi="Verdana"/>
        </w:rPr>
      </w:pPr>
      <w:r w:rsidRPr="00392BF0">
        <w:rPr>
          <w:rFonts w:ascii="Verdana" w:hAnsi="Verdana"/>
        </w:rPr>
        <w:t>(2.2) Competencia del ICBF en la expedición de licencias de funcionamiento</w:t>
      </w:r>
    </w:p>
    <w:p w14:paraId="02113479" w14:textId="6812A198" w:rsidR="00392BF0" w:rsidRPr="00392BF0" w:rsidRDefault="00392BF0" w:rsidP="00392BF0">
      <w:pPr>
        <w:jc w:val="both"/>
        <w:rPr>
          <w:rFonts w:ascii="Verdana" w:hAnsi="Verdana"/>
        </w:rPr>
      </w:pPr>
      <w:r w:rsidRPr="00392BF0">
        <w:rPr>
          <w:rFonts w:ascii="Verdana" w:hAnsi="Verdana"/>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291C5A42" w14:textId="2DCE2614" w:rsidR="00392BF0" w:rsidRPr="00392BF0" w:rsidRDefault="00392BF0" w:rsidP="00392BF0">
      <w:pPr>
        <w:jc w:val="both"/>
        <w:rPr>
          <w:rFonts w:ascii="Verdana" w:hAnsi="Verdana"/>
        </w:rPr>
      </w:pPr>
      <w:r w:rsidRPr="00392BF0">
        <w:rPr>
          <w:rFonts w:ascii="Verdana" w:hAnsi="Verdana"/>
        </w:rPr>
        <w:t xml:space="preserve">El artículo 21 de la Ley 7[2] de 1979, al señalar las funciones asignadas al ICBF, incluyó en el numeral 6 la de asistir al presidente de la </w:t>
      </w:r>
      <w:proofErr w:type="gramStart"/>
      <w:r w:rsidRPr="00392BF0">
        <w:rPr>
          <w:rFonts w:ascii="Verdana" w:hAnsi="Verdana"/>
        </w:rPr>
        <w:t>República[</w:t>
      </w:r>
      <w:proofErr w:type="gramEnd"/>
      <w:r w:rsidRPr="00392BF0">
        <w:rPr>
          <w:rFonts w:ascii="Verdana" w:hAnsi="Verdana"/>
        </w:rPr>
        <w:t>3] en la inspección y vigilancia sobre las instituciones de utilidad común que tengan como objetivo la protección de la familia, los niños, las niñas y los adolescentes. Dicha función fue fortalecida en al artículo 16 de la Ley 1098 de 2006 al señalar que: “todas las personas naturales o jurídicas, con personería jurídica expedida por el Instituto Colombiano de Bienestar Familiar o sin ella, que aún con autorización de los padres o representantes legales alberguen o cuiden a los niños, niñas y adolescentes son sujetos de la vigilancia del Estado”.</w:t>
      </w:r>
    </w:p>
    <w:p w14:paraId="2A68C22F" w14:textId="5897A049" w:rsidR="00392BF0" w:rsidRPr="00392BF0" w:rsidRDefault="00392BF0" w:rsidP="00392BF0">
      <w:pPr>
        <w:jc w:val="both"/>
        <w:rPr>
          <w:rFonts w:ascii="Verdana" w:hAnsi="Verdana"/>
        </w:rPr>
      </w:pPr>
      <w:r w:rsidRPr="00392BF0">
        <w:rPr>
          <w:rFonts w:ascii="Verdana" w:hAnsi="Verdana"/>
        </w:rPr>
        <w:lastRenderedPageBreak/>
        <w:t>En cumplimiento de lo anterior el numeral 8 del artículo 21 de la Ley 7 de 1979 le atribuyó al ICBF la facultad de otorgar personería jurídica a las instituciones que tienen por objeto la protección de los niños, niñas y adolescentes, así como de conceder, suspender y cancelar las licencias de funcionamiento para establecimientos públicos o privados de protección al menor de edad y a la familia y a las instituciones que desarrollen programas de adopción.</w:t>
      </w:r>
    </w:p>
    <w:p w14:paraId="42131E5A" w14:textId="4BECF440" w:rsidR="00392BF0" w:rsidRPr="00392BF0" w:rsidRDefault="00392BF0" w:rsidP="00392BF0">
      <w:pPr>
        <w:jc w:val="both"/>
        <w:rPr>
          <w:rFonts w:ascii="Verdana" w:hAnsi="Verdana"/>
        </w:rPr>
      </w:pPr>
      <w:proofErr w:type="gramStart"/>
      <w:r w:rsidRPr="00392BF0">
        <w:rPr>
          <w:rFonts w:ascii="Verdana" w:hAnsi="Verdana"/>
        </w:rPr>
        <w:t>Igualmente</w:t>
      </w:r>
      <w:proofErr w:type="gramEnd"/>
      <w:r w:rsidRPr="00392BF0">
        <w:rPr>
          <w:rFonts w:ascii="Verdana" w:hAnsi="Verdana"/>
        </w:rPr>
        <w:t xml:space="preserve"> el Decreto 276[4] de 1988, estableció en su artículo 2 como una de las funciones del ICBF (...) n) Otorgar, conceder y suspender personerías jurídicas y licencias de funcionamiento a las Instituciones de utilidad común, que presten el servicio de Bienestar Familiar.</w:t>
      </w:r>
    </w:p>
    <w:p w14:paraId="3A23E206" w14:textId="5C630C05" w:rsidR="00392BF0" w:rsidRPr="00392BF0" w:rsidRDefault="00392BF0" w:rsidP="00392BF0">
      <w:pPr>
        <w:jc w:val="both"/>
        <w:rPr>
          <w:rFonts w:ascii="Verdana" w:hAnsi="Verdana"/>
        </w:rPr>
      </w:pPr>
      <w:r w:rsidRPr="00392BF0">
        <w:rPr>
          <w:rFonts w:ascii="Verdana" w:hAnsi="Verdana"/>
        </w:rPr>
        <w:t>El inciso 2 del artículo 16 del Código de la Infancia y la Adolescencia señala: “(...)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3A061556" w14:textId="5ED114AD" w:rsidR="00392BF0" w:rsidRPr="00392BF0" w:rsidRDefault="00392BF0" w:rsidP="00392BF0">
      <w:pPr>
        <w:jc w:val="both"/>
        <w:rPr>
          <w:rFonts w:ascii="Verdana" w:hAnsi="Verdana"/>
        </w:rPr>
      </w:pPr>
      <w:r w:rsidRPr="00392BF0">
        <w:rPr>
          <w:rFonts w:ascii="Verdana" w:hAnsi="Verdana"/>
        </w:rPr>
        <w:t>En este sentido mediante Resolución No. 3899 del 8 de septiembre de 2010,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desarrollar el Programa de adopción internacional.</w:t>
      </w:r>
    </w:p>
    <w:p w14:paraId="7BAB29B6" w14:textId="16130A2A" w:rsidR="00392BF0" w:rsidRPr="00392BF0" w:rsidRDefault="00392BF0" w:rsidP="00392BF0">
      <w:pPr>
        <w:jc w:val="both"/>
        <w:rPr>
          <w:rFonts w:ascii="Verdana" w:hAnsi="Verdana"/>
        </w:rPr>
      </w:pPr>
      <w:r w:rsidRPr="00392BF0">
        <w:rPr>
          <w:rFonts w:ascii="Verdana" w:hAnsi="Verdana"/>
        </w:rPr>
        <w:t>En razón a lo anterior y respecto a la expedición de la licencia de funcionamiento el ICBF ha establecido:</w:t>
      </w:r>
    </w:p>
    <w:p w14:paraId="028166A0" w14:textId="7379B483" w:rsidR="00392BF0" w:rsidRPr="00392BF0" w:rsidRDefault="00392BF0" w:rsidP="00392BF0">
      <w:pPr>
        <w:jc w:val="both"/>
        <w:rPr>
          <w:rFonts w:ascii="Verdana" w:hAnsi="Verdana"/>
        </w:rPr>
      </w:pPr>
      <w:r w:rsidRPr="00392BF0">
        <w:rPr>
          <w:rFonts w:ascii="Verdana" w:hAnsi="Verdana"/>
        </w:rPr>
        <w:t>“ARTÍCULO 12.- LICENCIA DE FUNCIONAMIENTO: “Para prestar servicios de protección integral a los niños, niñas y adolescentes y a sus familias, toda persona jurídica, requiere de la correspondiente licencia de funcionamiento otorgada por el ICBF.</w:t>
      </w:r>
    </w:p>
    <w:p w14:paraId="00E9AD32" w14:textId="1F0EFBD4" w:rsidR="00392BF0" w:rsidRPr="00392BF0" w:rsidRDefault="00392BF0" w:rsidP="00392BF0">
      <w:pPr>
        <w:jc w:val="both"/>
        <w:rPr>
          <w:rFonts w:ascii="Verdana" w:hAnsi="Verdana"/>
        </w:rPr>
      </w:pPr>
      <w:r w:rsidRPr="00392BF0">
        <w:rPr>
          <w:rFonts w:ascii="Verdana" w:hAnsi="Verdana"/>
        </w:rPr>
        <w:t>Para la obtención de la licencia de funcionamiento, será necesario acreditar mediante la solicitud suscrita por el Representante legal ante la Dirección General o al &lt;sic&gt; Dirección Regional, según sea el caso, los requisitos legales, técnico -administrativos y financieros comunes y de carácter específico, dependiendo de cada programa o modalidad. (Resaltado y subrayado fuera de texto).</w:t>
      </w:r>
    </w:p>
    <w:p w14:paraId="3FF02761" w14:textId="1CDFBFC5" w:rsidR="00392BF0" w:rsidRPr="00392BF0" w:rsidRDefault="00392BF0" w:rsidP="00392BF0">
      <w:pPr>
        <w:jc w:val="both"/>
        <w:rPr>
          <w:rFonts w:ascii="Verdana" w:hAnsi="Verdana"/>
        </w:rPr>
      </w:pPr>
      <w:r w:rsidRPr="00392BF0">
        <w:rPr>
          <w:rFonts w:ascii="Verdana" w:hAnsi="Verdana"/>
        </w:rPr>
        <w:t>PARÁGRAFO 1: Cuando la persona jurídica atienda varios programas o modalidades deberá obtener licencia de funcionamiento para cada uno de ellos”. (Resaltado y subrayado fuera de texto).</w:t>
      </w:r>
    </w:p>
    <w:p w14:paraId="20547CB7" w14:textId="4ECCB48B" w:rsidR="00392BF0" w:rsidRPr="00392BF0" w:rsidRDefault="00392BF0" w:rsidP="00392BF0">
      <w:pPr>
        <w:jc w:val="both"/>
        <w:rPr>
          <w:rFonts w:ascii="Verdana" w:hAnsi="Verdana"/>
        </w:rPr>
      </w:pPr>
      <w:r w:rsidRPr="00392BF0">
        <w:rPr>
          <w:rFonts w:ascii="Verdana" w:hAnsi="Verdana"/>
        </w:rPr>
        <w:t>(…)</w:t>
      </w:r>
    </w:p>
    <w:p w14:paraId="341A9DD9" w14:textId="1E371961" w:rsidR="00392BF0" w:rsidRPr="00392BF0" w:rsidRDefault="00392BF0" w:rsidP="00392BF0">
      <w:pPr>
        <w:jc w:val="both"/>
        <w:rPr>
          <w:rFonts w:ascii="Verdana" w:hAnsi="Verdana"/>
        </w:rPr>
      </w:pPr>
      <w:r w:rsidRPr="00392BF0">
        <w:rPr>
          <w:rFonts w:ascii="Verdana" w:hAnsi="Verdana"/>
        </w:rPr>
        <w:lastRenderedPageBreak/>
        <w:t>(2.3.) Concepto de Acto Administrativo expedición, vigencia y obligatoriedad de los mismos.</w:t>
      </w:r>
    </w:p>
    <w:p w14:paraId="67614ECB" w14:textId="42D572C2" w:rsidR="00392BF0" w:rsidRPr="00392BF0" w:rsidRDefault="00392BF0" w:rsidP="00392BF0">
      <w:pPr>
        <w:jc w:val="both"/>
        <w:rPr>
          <w:rFonts w:ascii="Verdana" w:hAnsi="Verdana"/>
        </w:rPr>
      </w:pPr>
      <w:r w:rsidRPr="00392BF0">
        <w:rPr>
          <w:rFonts w:ascii="Verdana" w:hAnsi="Verdana"/>
        </w:rPr>
        <w:t>Se entiende por acto administrativo la declaración unilateral de voluntad de la administración, o de un órgano estatal en función administrativa que produce efectos jurídicos con relación a terceros.</w:t>
      </w:r>
    </w:p>
    <w:p w14:paraId="1DDB6FB7" w14:textId="11A0521F" w:rsidR="00392BF0" w:rsidRPr="00392BF0" w:rsidRDefault="00392BF0" w:rsidP="00392BF0">
      <w:pPr>
        <w:jc w:val="both"/>
        <w:rPr>
          <w:rFonts w:ascii="Verdana" w:hAnsi="Verdana"/>
        </w:rPr>
      </w:pPr>
      <w:r w:rsidRPr="00392BF0">
        <w:rPr>
          <w:rFonts w:ascii="Verdana" w:hAnsi="Verdana"/>
        </w:rPr>
        <w:t>Según lo establece el. Código de Procedimiento Administrativo y de lo Contencioso Administrativo, la voluntad de la administración se manifiesta mediante actos que producen efectos jurídicos como consecuencia del ejercicio de las competencias constitucional y legalmente establecidas, previo el cumplimiento de los procedimientos las formalidades específicamente exigidos para su expedición, momento a partir del cual el acto nace a la vida jurídica, pero su aplicación queda suspendida hasta que sea dado a conocer a sus destinatarios.</w:t>
      </w:r>
    </w:p>
    <w:p w14:paraId="3000B9A9" w14:textId="4E7B3A57" w:rsidR="00392BF0" w:rsidRPr="00392BF0" w:rsidRDefault="00392BF0" w:rsidP="00392BF0">
      <w:pPr>
        <w:jc w:val="both"/>
        <w:rPr>
          <w:rFonts w:ascii="Verdana" w:hAnsi="Verdana"/>
        </w:rPr>
      </w:pPr>
      <w:r w:rsidRPr="00392BF0">
        <w:rPr>
          <w:rFonts w:ascii="Verdana" w:hAnsi="Verdana"/>
        </w:rPr>
        <w:t>La normatividad vigente diferencia la forma de poner en conocimiento los actos administrativos según sean éstos de carácter general o particular, en razón a los efectos que estos mismos producen. Por consiguiente, es preciso tener en cuenta lo siguiente:</w:t>
      </w:r>
    </w:p>
    <w:p w14:paraId="6191F76F" w14:textId="6879F598" w:rsidR="00392BF0" w:rsidRPr="00392BF0" w:rsidRDefault="00392BF0" w:rsidP="00392BF0">
      <w:pPr>
        <w:jc w:val="both"/>
        <w:rPr>
          <w:rFonts w:ascii="Verdana" w:hAnsi="Verdana"/>
        </w:rPr>
      </w:pPr>
      <w:r w:rsidRPr="00392BF0">
        <w:rPr>
          <w:rFonts w:ascii="Verdana" w:hAnsi="Verdana"/>
        </w:rPr>
        <w:t>a) Con respecto a los primeros, el artículo 65 del Código de Procedimiento Administrativo y de lo Contencioso Administrativo dispone que:</w:t>
      </w:r>
    </w:p>
    <w:p w14:paraId="008B30E1" w14:textId="29CFA7D4" w:rsidR="00392BF0" w:rsidRPr="00392BF0" w:rsidRDefault="00392BF0" w:rsidP="00392BF0">
      <w:pPr>
        <w:jc w:val="both"/>
        <w:rPr>
          <w:rFonts w:ascii="Verdana" w:hAnsi="Verdana"/>
        </w:rPr>
      </w:pPr>
      <w:r w:rsidRPr="00392BF0">
        <w:rPr>
          <w:rFonts w:ascii="Verdana" w:hAnsi="Verdana"/>
        </w:rPr>
        <w:t>"los actos administrativos de carácter general no serán obligatorios mientras no hayan sido publicados en el Diario Oficial o en las gacetas territoriales según sea el caso (…)”.</w:t>
      </w:r>
    </w:p>
    <w:p w14:paraId="5BF1BCA8" w14:textId="1E66412A" w:rsidR="00392BF0" w:rsidRPr="00392BF0" w:rsidRDefault="00392BF0" w:rsidP="00392BF0">
      <w:pPr>
        <w:jc w:val="both"/>
        <w:rPr>
          <w:rFonts w:ascii="Verdana" w:hAnsi="Verdana"/>
        </w:rPr>
      </w:pPr>
      <w:r w:rsidRPr="00392BF0">
        <w:rPr>
          <w:rFonts w:ascii="Verdana" w:hAnsi="Verdana"/>
        </w:rPr>
        <w:t>En consecuencia, estos actos administrativos sin publicar no son obligatorios para los particulares, lo cual no significa que la publicación sea requisito de validez, sino condición de oponibilidad.</w:t>
      </w:r>
    </w:p>
    <w:p w14:paraId="0AB178B8" w14:textId="1FCED7AE" w:rsidR="00392BF0" w:rsidRPr="00392BF0" w:rsidRDefault="00392BF0" w:rsidP="00392BF0">
      <w:pPr>
        <w:jc w:val="both"/>
        <w:rPr>
          <w:rFonts w:ascii="Verdana" w:hAnsi="Verdana"/>
        </w:rPr>
      </w:pPr>
      <w:r w:rsidRPr="00392BF0">
        <w:rPr>
          <w:rFonts w:ascii="Verdana" w:hAnsi="Verdana"/>
        </w:rPr>
        <w:t xml:space="preserve">b) En cuanto a los segundos, es decir a los actos administrativos de carácter particular, su obligatoriedad y los requisitos de su notificación están regulados en los artículos 66 a 72 del Código de Procedimiento Administrativo y de lo Contencioso </w:t>
      </w:r>
      <w:proofErr w:type="gramStart"/>
      <w:r w:rsidRPr="00392BF0">
        <w:rPr>
          <w:rFonts w:ascii="Verdana" w:hAnsi="Verdana"/>
        </w:rPr>
        <w:t>Administrativo ,</w:t>
      </w:r>
      <w:proofErr w:type="gramEnd"/>
      <w:r w:rsidRPr="00392BF0">
        <w:rPr>
          <w:rFonts w:ascii="Verdana" w:hAnsi="Verdana"/>
        </w:rPr>
        <w:t xml:space="preserve"> al respecto, el artículo 66 </w:t>
      </w:r>
      <w:proofErr w:type="spellStart"/>
      <w:r w:rsidRPr="00392BF0">
        <w:rPr>
          <w:rFonts w:ascii="Verdana" w:hAnsi="Verdana"/>
        </w:rPr>
        <w:t>ibídem</w:t>
      </w:r>
      <w:proofErr w:type="spellEnd"/>
      <w:r w:rsidRPr="00392BF0">
        <w:rPr>
          <w:rFonts w:ascii="Verdana" w:hAnsi="Verdana"/>
        </w:rPr>
        <w:t xml:space="preserve"> preceptúa que:</w:t>
      </w:r>
    </w:p>
    <w:p w14:paraId="6846E7DA" w14:textId="5D34FC96" w:rsidR="00392BF0" w:rsidRPr="00392BF0" w:rsidRDefault="00392BF0" w:rsidP="00392BF0">
      <w:pPr>
        <w:jc w:val="both"/>
        <w:rPr>
          <w:rFonts w:ascii="Verdana" w:hAnsi="Verdana"/>
        </w:rPr>
      </w:pPr>
      <w:r w:rsidRPr="00392BF0">
        <w:rPr>
          <w:rFonts w:ascii="Verdana" w:hAnsi="Verdana"/>
        </w:rPr>
        <w:t>"las decisiones que pongan término a una actuación administrativa se notificarán personalmente al interesado, a su representante o apoderado, o a la persona debidamente autorizada por el interesado para notificarse".</w:t>
      </w:r>
    </w:p>
    <w:p w14:paraId="03398B9D" w14:textId="77777777" w:rsidR="00392BF0" w:rsidRPr="00392BF0" w:rsidRDefault="00392BF0" w:rsidP="00392BF0">
      <w:pPr>
        <w:jc w:val="both"/>
        <w:rPr>
          <w:rFonts w:ascii="Verdana" w:hAnsi="Verdana"/>
        </w:rPr>
      </w:pPr>
      <w:r w:rsidRPr="00392BF0">
        <w:rPr>
          <w:rFonts w:ascii="Verdana" w:hAnsi="Verdana"/>
        </w:rPr>
        <w:t>En este caso, la notificación a través de los diversos medios señalados por el ordenamiento legal, constituye una formalidad que le brinda legitimidad y eficacia a la actividad administrativa, y así mismo, una garantía de los derechos fundamentales de acceso a la administración de justicia y al derecho de defensa, en cuanto eventualmente le permitirá al afectado por el mismo ejercer los correspondientes recursos y acciones.</w:t>
      </w:r>
    </w:p>
    <w:p w14:paraId="51ADAB59" w14:textId="77777777" w:rsidR="00392BF0" w:rsidRPr="00392BF0" w:rsidRDefault="00392BF0" w:rsidP="00392BF0">
      <w:pPr>
        <w:jc w:val="both"/>
        <w:rPr>
          <w:rFonts w:ascii="Verdana" w:hAnsi="Verdana"/>
        </w:rPr>
      </w:pPr>
    </w:p>
    <w:p w14:paraId="46F1D566" w14:textId="54CAE02E" w:rsidR="00392BF0" w:rsidRPr="00392BF0" w:rsidRDefault="00392BF0" w:rsidP="00392BF0">
      <w:pPr>
        <w:jc w:val="both"/>
        <w:rPr>
          <w:rFonts w:ascii="Verdana" w:hAnsi="Verdana"/>
        </w:rPr>
      </w:pPr>
      <w:r w:rsidRPr="00392BF0">
        <w:rPr>
          <w:rFonts w:ascii="Verdana" w:hAnsi="Verdana"/>
        </w:rPr>
        <w:lastRenderedPageBreak/>
        <w:t>De lo anterior se deduce que el acto administrativo, general o particular, existe desde el momento mismo en que se profiere o expide, pero no produce efectos jurídicos, es decir, carece de fuerza vinculante mientras no se realice su publicación, notificación o comunicación. En este sentido, dispone el artículo 72 del Código de Procedimiento Administrativo y de lo Contencioso Administrativo que:</w:t>
      </w:r>
    </w:p>
    <w:p w14:paraId="485E7357" w14:textId="06072ED0" w:rsidR="00392BF0" w:rsidRPr="00392BF0" w:rsidRDefault="00392BF0" w:rsidP="00392BF0">
      <w:pPr>
        <w:jc w:val="both"/>
        <w:rPr>
          <w:rFonts w:ascii="Verdana" w:hAnsi="Verdana"/>
        </w:rPr>
      </w:pPr>
      <w:r w:rsidRPr="00392BF0">
        <w:rPr>
          <w:rFonts w:ascii="Verdana" w:hAnsi="Verdana"/>
        </w:rPr>
        <w:t>"sin el lleno de los anteriores requisitos, no se tendrá por hecha la notificación ni producirá efectos legales la decisión, a menos que la parte interesada revele que conoce el acto, consienta la decisión".</w:t>
      </w:r>
    </w:p>
    <w:p w14:paraId="2623FF21" w14:textId="5C9B9CD4" w:rsidR="00392BF0" w:rsidRPr="00CB498B" w:rsidRDefault="00392BF0" w:rsidP="00392BF0">
      <w:pPr>
        <w:jc w:val="both"/>
        <w:rPr>
          <w:rFonts w:ascii="Verdana" w:hAnsi="Verdana"/>
          <w:b/>
          <w:bCs/>
        </w:rPr>
      </w:pPr>
      <w:r w:rsidRPr="00CB498B">
        <w:rPr>
          <w:rFonts w:ascii="Verdana" w:hAnsi="Verdana"/>
          <w:b/>
          <w:bCs/>
        </w:rPr>
        <w:t>5. CONCLUSIONES</w:t>
      </w:r>
    </w:p>
    <w:p w14:paraId="59AABF70" w14:textId="58DC64DB" w:rsidR="00392BF0" w:rsidRPr="00392BF0" w:rsidRDefault="00392BF0" w:rsidP="00392BF0">
      <w:pPr>
        <w:jc w:val="both"/>
        <w:rPr>
          <w:rFonts w:ascii="Verdana" w:hAnsi="Verdana"/>
        </w:rPr>
      </w:pPr>
      <w:r w:rsidRPr="00392BF0">
        <w:rPr>
          <w:rFonts w:ascii="Verdana" w:hAnsi="Verdana"/>
        </w:rPr>
        <w:t>Teniendo en cuenta las consideraciones de orden legal expuestas se puede concluir lo siguiente:</w:t>
      </w:r>
    </w:p>
    <w:p w14:paraId="55429857" w14:textId="1A15F85B" w:rsidR="00392BF0" w:rsidRPr="00392BF0" w:rsidRDefault="00392BF0" w:rsidP="00392BF0">
      <w:pPr>
        <w:jc w:val="both"/>
        <w:rPr>
          <w:rFonts w:ascii="Verdana" w:hAnsi="Verdana"/>
        </w:rPr>
      </w:pPr>
      <w:r w:rsidRPr="00392BF0">
        <w:rPr>
          <w:rFonts w:ascii="Verdana" w:hAnsi="Verdana"/>
        </w:rPr>
        <w:t>Primera: Las instituciones interesadas en prestar servicios de protección integral a los niños, niñas, adolescentes y sus familias deben obtener la licencia de funcionamiento para cada una de las modalidades o programa que se proponga desarrollar, cumpliendo con los requisitos establecidos en la Resolución No. 3899 de 2010, y, es obligación del ICBF verificar el estricto cumplimiento de cada uno de los mismos, sin excepción alguna.</w:t>
      </w:r>
    </w:p>
    <w:p w14:paraId="4E6559D6" w14:textId="57E589E2" w:rsidR="00392BF0" w:rsidRPr="00392BF0" w:rsidRDefault="00392BF0" w:rsidP="00392BF0">
      <w:pPr>
        <w:jc w:val="both"/>
        <w:rPr>
          <w:rFonts w:ascii="Verdana" w:hAnsi="Verdana"/>
        </w:rPr>
      </w:pPr>
      <w:r w:rsidRPr="00392BF0">
        <w:rPr>
          <w:rFonts w:ascii="Verdana" w:hAnsi="Verdana"/>
        </w:rPr>
        <w:t>Segunda: La expedición de licencias de funcionamiento sin el lleno de los requisitos contemplados en la Resolución No. 3899 de 2010 acarrea sanciones disciplinarias.</w:t>
      </w:r>
    </w:p>
    <w:p w14:paraId="6D399ED1" w14:textId="1BE7803D" w:rsidR="00392BF0" w:rsidRPr="00392BF0" w:rsidRDefault="00392BF0" w:rsidP="00392BF0">
      <w:pPr>
        <w:jc w:val="both"/>
        <w:rPr>
          <w:rFonts w:ascii="Verdana" w:hAnsi="Verdana"/>
        </w:rPr>
      </w:pPr>
      <w:r w:rsidRPr="00392BF0">
        <w:rPr>
          <w:rFonts w:ascii="Verdana" w:hAnsi="Verdana"/>
        </w:rPr>
        <w:t>Tercera: La Resolución No. 2562 del 6 de noviembre de 2015, goza de presunción de legalidad, razón por la cual la misma se encuentra vigente hasta la fecha de su vencimiento.</w:t>
      </w:r>
    </w:p>
    <w:p w14:paraId="378ED189" w14:textId="17B81294" w:rsidR="00392BF0" w:rsidRPr="00392BF0" w:rsidRDefault="00392BF0" w:rsidP="00392BF0">
      <w:pPr>
        <w:jc w:val="both"/>
        <w:rPr>
          <w:rFonts w:ascii="Verdana" w:hAnsi="Verdana"/>
        </w:rPr>
      </w:pPr>
      <w:r w:rsidRPr="00392BF0">
        <w:rPr>
          <w:rFonts w:ascii="Verdana" w:hAnsi="Verdana"/>
        </w:rPr>
        <w:t>El presente concept</w:t>
      </w:r>
      <w:r w:rsidR="00CB498B">
        <w:rPr>
          <w:rFonts w:ascii="Verdana" w:hAnsi="Verdana"/>
        </w:rPr>
        <w:t>o</w:t>
      </w:r>
      <w:r w:rsidRPr="00392BF0">
        <w:rPr>
          <w:rFonts w:ascii="Verdana" w:hAnsi="Verdana"/>
        </w:rPr>
        <w:t xml:space="preserve"> no es de obligatorio cumplimiento o ejecución para particulares o agentes externos, de conformidad con lo establecido en la Ley 1755 de 2015. No </w:t>
      </w:r>
      <w:proofErr w:type="gramStart"/>
      <w:r w:rsidRPr="00392BF0">
        <w:rPr>
          <w:rFonts w:ascii="Verdana" w:hAnsi="Verdana"/>
        </w:rPr>
        <w:t>obstante</w:t>
      </w:r>
      <w:proofErr w:type="gramEnd"/>
      <w:r w:rsidRPr="00392BF0">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D094923" w14:textId="77777777" w:rsidR="00392BF0" w:rsidRPr="00392BF0" w:rsidRDefault="00392BF0" w:rsidP="00392BF0">
      <w:pPr>
        <w:jc w:val="both"/>
        <w:rPr>
          <w:rFonts w:ascii="Verdana" w:hAnsi="Verdana"/>
        </w:rPr>
      </w:pPr>
      <w:r w:rsidRPr="00392BF0">
        <w:rPr>
          <w:rFonts w:ascii="Verdana" w:hAnsi="Verdana"/>
        </w:rPr>
        <w:t>Cordialmente,</w:t>
      </w:r>
    </w:p>
    <w:p w14:paraId="3699A5B7" w14:textId="3D1998F4" w:rsidR="00392BF0" w:rsidRPr="00CB498B" w:rsidRDefault="00CB498B" w:rsidP="00CB498B">
      <w:pPr>
        <w:jc w:val="both"/>
        <w:rPr>
          <w:rFonts w:ascii="Verdana" w:hAnsi="Verdana"/>
          <w:b/>
          <w:bCs/>
        </w:rPr>
      </w:pPr>
      <w:r w:rsidRPr="00CB498B">
        <w:rPr>
          <w:rFonts w:ascii="Verdana" w:hAnsi="Verdana"/>
          <w:b/>
          <w:bCs/>
        </w:rPr>
        <w:t>LUZ KARIME FERNÁNDEZ CASTILLO</w:t>
      </w:r>
    </w:p>
    <w:p w14:paraId="5CDF8775" w14:textId="1A04E481" w:rsidR="00392BF0" w:rsidRPr="00CB498B" w:rsidRDefault="00CB498B" w:rsidP="00CB498B">
      <w:pPr>
        <w:jc w:val="both"/>
        <w:rPr>
          <w:rFonts w:ascii="Verdana" w:hAnsi="Verdana"/>
        </w:rPr>
      </w:pPr>
      <w:r w:rsidRPr="00CB498B">
        <w:rPr>
          <w:rFonts w:ascii="Verdana" w:hAnsi="Verdana"/>
        </w:rPr>
        <w:t>JEFE OFICINA ASESORA JURÍDICA</w:t>
      </w:r>
    </w:p>
    <w:p w14:paraId="25E3B7B9" w14:textId="77777777" w:rsidR="00392BF0" w:rsidRPr="00392BF0" w:rsidRDefault="00392BF0" w:rsidP="00392BF0">
      <w:pPr>
        <w:jc w:val="both"/>
        <w:rPr>
          <w:rFonts w:ascii="Verdana" w:hAnsi="Verdana"/>
        </w:rPr>
      </w:pPr>
    </w:p>
    <w:p w14:paraId="656CB510" w14:textId="79C5B05B" w:rsidR="00392BF0" w:rsidRPr="00392BF0" w:rsidRDefault="00392BF0" w:rsidP="00392BF0">
      <w:pPr>
        <w:jc w:val="both"/>
        <w:rPr>
          <w:rFonts w:ascii="Verdana" w:hAnsi="Verdana"/>
        </w:rPr>
      </w:pPr>
      <w:r w:rsidRPr="00392BF0">
        <w:rPr>
          <w:rFonts w:ascii="Verdana" w:hAnsi="Verdana"/>
        </w:rPr>
        <w:t>1. Decreto 936 de 2013</w:t>
      </w:r>
    </w:p>
    <w:p w14:paraId="26E46037" w14:textId="300B9EA7" w:rsidR="00392BF0" w:rsidRPr="00392BF0" w:rsidRDefault="00392BF0" w:rsidP="00392BF0">
      <w:pPr>
        <w:jc w:val="both"/>
        <w:rPr>
          <w:rFonts w:ascii="Verdana" w:hAnsi="Verdana"/>
        </w:rPr>
      </w:pPr>
      <w:r w:rsidRPr="00392BF0">
        <w:rPr>
          <w:rFonts w:ascii="Verdana" w:hAnsi="Verdana"/>
        </w:rPr>
        <w:lastRenderedPageBreak/>
        <w:t>2. Por la cual se dictan normas para la protección de la niñez, se establece el Sistema nacional de Bienestar Familiar se reorganiza el Instituto Colombiano de Bienestar Familiar y se dictan otras disposiciones.</w:t>
      </w:r>
    </w:p>
    <w:p w14:paraId="53CBAEDD" w14:textId="48D22F6E" w:rsidR="00392BF0" w:rsidRPr="00392BF0" w:rsidRDefault="00392BF0" w:rsidP="00392BF0">
      <w:pPr>
        <w:jc w:val="both"/>
        <w:rPr>
          <w:rFonts w:ascii="Verdana" w:hAnsi="Verdana"/>
        </w:rPr>
      </w:pPr>
      <w:r w:rsidRPr="00392BF0">
        <w:rPr>
          <w:rFonts w:ascii="Verdana" w:hAnsi="Verdana"/>
        </w:rPr>
        <w:t>3. Constitución Política artículo 189.</w:t>
      </w:r>
    </w:p>
    <w:p w14:paraId="48C5A101" w14:textId="427262BB" w:rsidR="00392BF0" w:rsidRPr="00392BF0" w:rsidRDefault="00392BF0" w:rsidP="00392BF0">
      <w:pPr>
        <w:jc w:val="both"/>
        <w:rPr>
          <w:rFonts w:ascii="Verdana" w:hAnsi="Verdana"/>
        </w:rPr>
      </w:pPr>
      <w:r w:rsidRPr="00392BF0">
        <w:rPr>
          <w:rFonts w:ascii="Verdana" w:hAnsi="Verdana"/>
        </w:rPr>
        <w:t>4. Por el cual se modifica parcialmente los estatutos del Instituto Colombiano de Bienestar Familiar.</w:t>
      </w:r>
    </w:p>
    <w:p w14:paraId="5AEAAF5A" w14:textId="60BE8B96" w:rsidR="00392BF0" w:rsidRPr="00392BF0" w:rsidRDefault="00392BF0" w:rsidP="00392BF0">
      <w:pPr>
        <w:jc w:val="both"/>
        <w:rPr>
          <w:rFonts w:ascii="Verdana" w:hAnsi="Verdana"/>
        </w:rPr>
      </w:pPr>
      <w:r w:rsidRPr="00392BF0">
        <w:rPr>
          <w:rFonts w:ascii="Verdana" w:hAnsi="Verdana"/>
        </w:rPr>
        <w:t>5.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392BF0" w:rsidRPr="00392B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F0"/>
    <w:rsid w:val="000B4793"/>
    <w:rsid w:val="00392BF0"/>
    <w:rsid w:val="00CB498B"/>
    <w:rsid w:val="00E275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FBE5"/>
  <w15:chartTrackingRefBased/>
  <w15:docId w15:val="{BA09C33F-C806-48D0-A365-03C72ED5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906A1-2A5B-41B8-83E3-7251D9D7D7EE}"/>
</file>

<file path=customXml/itemProps2.xml><?xml version="1.0" encoding="utf-8"?>
<ds:datastoreItem xmlns:ds="http://schemas.openxmlformats.org/officeDocument/2006/customXml" ds:itemID="{2DCBE2B8-007E-40A6-9E99-199BB9F8B1E2}"/>
</file>

<file path=customXml/itemProps3.xml><?xml version="1.0" encoding="utf-8"?>
<ds:datastoreItem xmlns:ds="http://schemas.openxmlformats.org/officeDocument/2006/customXml" ds:itemID="{0CFE2727-887D-4E39-8C38-8E6E2BCDF905}"/>
</file>

<file path=docProps/app.xml><?xml version="1.0" encoding="utf-8"?>
<Properties xmlns="http://schemas.openxmlformats.org/officeDocument/2006/extended-properties" xmlns:vt="http://schemas.openxmlformats.org/officeDocument/2006/docPropsVTypes">
  <Template>Normal</Template>
  <TotalTime>22</TotalTime>
  <Pages>6</Pages>
  <Words>2201</Words>
  <Characters>12106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2026-05-11T13:26:00Z</dcterms:created>
  <dcterms:modified xsi:type="dcterms:W3CDTF">2026-05-11T13:48:00Z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