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177C" w14:textId="23F93088" w:rsidR="00061779" w:rsidRPr="00061779" w:rsidRDefault="00061779" w:rsidP="00061779">
      <w:pPr>
        <w:jc w:val="center"/>
        <w:rPr>
          <w:rFonts w:ascii="Arial" w:hAnsi="Arial" w:cs="Arial"/>
          <w:b/>
          <w:bCs/>
        </w:rPr>
      </w:pPr>
      <w:r w:rsidRPr="00061779">
        <w:rPr>
          <w:rFonts w:ascii="Arial" w:hAnsi="Arial" w:cs="Arial"/>
          <w:b/>
          <w:bCs/>
        </w:rPr>
        <w:t>CIRCULAR 9 DE 2017</w:t>
      </w:r>
    </w:p>
    <w:p w14:paraId="064BC29B" w14:textId="578F13D8" w:rsidR="00061779" w:rsidRPr="00061779" w:rsidRDefault="00061779" w:rsidP="00061779">
      <w:pPr>
        <w:jc w:val="center"/>
        <w:rPr>
          <w:rFonts w:ascii="Arial" w:hAnsi="Arial" w:cs="Arial"/>
          <w:b/>
          <w:bCs/>
        </w:rPr>
      </w:pPr>
      <w:r w:rsidRPr="00061779">
        <w:rPr>
          <w:rFonts w:ascii="Arial" w:hAnsi="Arial" w:cs="Arial"/>
          <w:b/>
          <w:bCs/>
        </w:rPr>
        <w:t>(</w:t>
      </w:r>
      <w:r>
        <w:rPr>
          <w:rFonts w:ascii="Arial" w:hAnsi="Arial" w:cs="Arial"/>
          <w:b/>
          <w:bCs/>
        </w:rPr>
        <w:t xml:space="preserve">5 de </w:t>
      </w:r>
      <w:proofErr w:type="gramStart"/>
      <w:r w:rsidRPr="00061779">
        <w:rPr>
          <w:rFonts w:ascii="Arial" w:hAnsi="Arial" w:cs="Arial"/>
          <w:b/>
          <w:bCs/>
        </w:rPr>
        <w:t>mayo )</w:t>
      </w:r>
      <w:proofErr w:type="gramEnd"/>
    </w:p>
    <w:p w14:paraId="68946D47" w14:textId="2044900C" w:rsidR="00061779" w:rsidRPr="00061779" w:rsidRDefault="00061779" w:rsidP="00061779">
      <w:pPr>
        <w:jc w:val="center"/>
        <w:rPr>
          <w:rFonts w:ascii="Arial" w:hAnsi="Arial" w:cs="Arial"/>
          <w:b/>
          <w:bCs/>
        </w:rPr>
      </w:pPr>
      <w:r w:rsidRPr="00061779">
        <w:rPr>
          <w:rFonts w:ascii="Arial" w:hAnsi="Arial" w:cs="Arial"/>
          <w:b/>
          <w:bCs/>
        </w:rPr>
        <w:t>INSTITUTO COLOMBIANO DE BIENESTAR FAMILIAR</w:t>
      </w:r>
    </w:p>
    <w:p w14:paraId="21312D90" w14:textId="7F697D1E" w:rsidR="00061779" w:rsidRPr="00061779" w:rsidRDefault="00061779" w:rsidP="00061779">
      <w:pPr>
        <w:jc w:val="both"/>
        <w:rPr>
          <w:rFonts w:ascii="Arial" w:hAnsi="Arial" w:cs="Arial"/>
        </w:rPr>
      </w:pPr>
      <w:r w:rsidRPr="00061779">
        <w:rPr>
          <w:rFonts w:ascii="Arial" w:hAnsi="Arial" w:cs="Arial"/>
        </w:rPr>
        <w:t>Para:</w:t>
      </w:r>
      <w:r w:rsidRPr="00061779">
        <w:rPr>
          <w:rFonts w:ascii="Arial" w:hAnsi="Arial" w:cs="Arial"/>
        </w:rPr>
        <w:tab/>
      </w:r>
      <w:proofErr w:type="gramStart"/>
      <w:r w:rsidRPr="00061779">
        <w:rPr>
          <w:rFonts w:ascii="Arial" w:hAnsi="Arial" w:cs="Arial"/>
        </w:rPr>
        <w:t>Directores</w:t>
      </w:r>
      <w:proofErr w:type="gramEnd"/>
      <w:r w:rsidRPr="00061779">
        <w:rPr>
          <w:rFonts w:ascii="Arial" w:hAnsi="Arial" w:cs="Arial"/>
        </w:rPr>
        <w:t xml:space="preserve"> Y Jefes De Oficina Sede Nacional Directores Regionales</w:t>
      </w:r>
    </w:p>
    <w:p w14:paraId="76ADAEF2" w14:textId="142100D7" w:rsidR="00061779" w:rsidRPr="00061779" w:rsidRDefault="00061779" w:rsidP="00061779">
      <w:pPr>
        <w:jc w:val="both"/>
        <w:rPr>
          <w:rFonts w:ascii="Arial" w:hAnsi="Arial" w:cs="Arial"/>
        </w:rPr>
      </w:pPr>
      <w:r w:rsidRPr="00061779">
        <w:rPr>
          <w:rFonts w:ascii="Arial" w:hAnsi="Arial" w:cs="Arial"/>
        </w:rPr>
        <w:t>Asunto:</w:t>
      </w:r>
      <w:r>
        <w:rPr>
          <w:rFonts w:ascii="Arial" w:hAnsi="Arial" w:cs="Arial"/>
        </w:rPr>
        <w:t xml:space="preserve"> </w:t>
      </w:r>
      <w:r w:rsidRPr="00061779">
        <w:rPr>
          <w:rFonts w:ascii="Arial" w:hAnsi="Arial" w:cs="Arial"/>
        </w:rPr>
        <w:t>Alcance Circular No. 004 De 2017</w:t>
      </w:r>
    </w:p>
    <w:p w14:paraId="2DB07240" w14:textId="068F1AE4" w:rsidR="00546E82" w:rsidRPr="00061779" w:rsidRDefault="00061779" w:rsidP="00061779">
      <w:pPr>
        <w:jc w:val="both"/>
        <w:rPr>
          <w:rFonts w:ascii="Arial" w:hAnsi="Arial" w:cs="Arial"/>
        </w:rPr>
      </w:pPr>
      <w:r w:rsidRPr="00061779">
        <w:rPr>
          <w:rFonts w:ascii="Arial" w:hAnsi="Arial" w:cs="Arial"/>
        </w:rPr>
        <w:t>Teniendo en cuenta que en la vigencia 2016 la expedición de resoluciones referentes a modificaciones presupuestales ascendió a un total de 374 en el año, se considera necesario dar alcance a la Circular No. 004 de 2017 en cuanto a las fechas definidas para los traslados presupuestales, informando que a partir de la fecha de la presente Circular solo se expedirá una resolución de modificación presupuestal por semana, lo que conlleva a que las fechas máximas en las cuales se deben entregar los documentos en el Grupo de Presupuesto de la Dirección Financiera para modificaciones presupuestales, acorde con las contempladas en la Circular No. 004 de 2017, quedarán así:</w:t>
      </w:r>
    </w:p>
    <w:tbl>
      <w:tblPr>
        <w:tblStyle w:val="Tablaconcuadrcula"/>
        <w:tblW w:w="5100" w:type="pct"/>
        <w:tblLook w:val="04A0" w:firstRow="1" w:lastRow="0" w:firstColumn="1" w:lastColumn="0" w:noHBand="0" w:noVBand="1"/>
      </w:tblPr>
      <w:tblGrid>
        <w:gridCol w:w="1711"/>
        <w:gridCol w:w="2431"/>
        <w:gridCol w:w="2882"/>
        <w:gridCol w:w="1981"/>
      </w:tblGrid>
      <w:tr w:rsidR="00061779" w:rsidRPr="00061779" w14:paraId="2A1DCDB4" w14:textId="77777777" w:rsidTr="00061779">
        <w:tc>
          <w:tcPr>
            <w:tcW w:w="950" w:type="pct"/>
            <w:hideMark/>
          </w:tcPr>
          <w:p w14:paraId="3DC1391D" w14:textId="77777777" w:rsidR="00061779" w:rsidRPr="00061779" w:rsidRDefault="00061779" w:rsidP="00061779">
            <w:pPr>
              <w:spacing w:after="160" w:line="259" w:lineRule="auto"/>
              <w:jc w:val="both"/>
              <w:rPr>
                <w:rFonts w:ascii="Arial" w:hAnsi="Arial" w:cs="Arial"/>
              </w:rPr>
            </w:pPr>
            <w:r w:rsidRPr="00061779">
              <w:rPr>
                <w:rFonts w:ascii="Arial" w:hAnsi="Arial" w:cs="Arial"/>
                <w:b/>
                <w:bCs/>
              </w:rPr>
              <w:t>MES</w:t>
            </w:r>
          </w:p>
        </w:tc>
        <w:tc>
          <w:tcPr>
            <w:tcW w:w="4050" w:type="pct"/>
            <w:gridSpan w:val="3"/>
            <w:hideMark/>
          </w:tcPr>
          <w:p w14:paraId="38B8F1B7" w14:textId="77777777" w:rsidR="00061779" w:rsidRPr="00061779" w:rsidRDefault="00061779" w:rsidP="00061779">
            <w:pPr>
              <w:spacing w:after="160" w:line="259" w:lineRule="auto"/>
              <w:jc w:val="both"/>
              <w:rPr>
                <w:rFonts w:ascii="Arial" w:hAnsi="Arial" w:cs="Arial"/>
              </w:rPr>
            </w:pPr>
            <w:r w:rsidRPr="00061779">
              <w:rPr>
                <w:rFonts w:ascii="Arial" w:hAnsi="Arial" w:cs="Arial"/>
                <w:b/>
                <w:bCs/>
              </w:rPr>
              <w:t>TRASLADOS PRESUPUESTALES</w:t>
            </w:r>
          </w:p>
        </w:tc>
      </w:tr>
      <w:tr w:rsidR="00061779" w:rsidRPr="00061779" w14:paraId="54D4B9F8" w14:textId="77777777" w:rsidTr="00061779">
        <w:tc>
          <w:tcPr>
            <w:tcW w:w="2300" w:type="pct"/>
            <w:gridSpan w:val="2"/>
            <w:hideMark/>
          </w:tcPr>
          <w:p w14:paraId="54692C29" w14:textId="77777777" w:rsidR="00061779" w:rsidRPr="00061779" w:rsidRDefault="00061779" w:rsidP="00061779">
            <w:pPr>
              <w:spacing w:after="160" w:line="259" w:lineRule="auto"/>
              <w:jc w:val="both"/>
              <w:rPr>
                <w:rFonts w:ascii="Arial" w:hAnsi="Arial" w:cs="Arial"/>
              </w:rPr>
            </w:pPr>
            <w:r w:rsidRPr="00061779">
              <w:rPr>
                <w:rFonts w:ascii="Arial" w:hAnsi="Arial" w:cs="Arial"/>
                <w:b/>
                <w:bCs/>
              </w:rPr>
              <w:t>ACREDITAN</w:t>
            </w:r>
            <w:r w:rsidRPr="00061779">
              <w:rPr>
                <w:rFonts w:ascii="Arial" w:hAnsi="Arial" w:cs="Arial"/>
                <w:b/>
                <w:bCs/>
              </w:rPr>
              <w:br/>
              <w:t>REGIONALES</w:t>
            </w:r>
          </w:p>
        </w:tc>
        <w:tc>
          <w:tcPr>
            <w:tcW w:w="1600" w:type="pct"/>
            <w:hideMark/>
          </w:tcPr>
          <w:p w14:paraId="61CFFC75" w14:textId="77777777" w:rsidR="00061779" w:rsidRPr="00061779" w:rsidRDefault="00061779" w:rsidP="00061779">
            <w:pPr>
              <w:spacing w:after="160" w:line="259" w:lineRule="auto"/>
              <w:jc w:val="both"/>
              <w:rPr>
                <w:rFonts w:ascii="Arial" w:hAnsi="Arial" w:cs="Arial"/>
              </w:rPr>
            </w:pPr>
            <w:r w:rsidRPr="00061779">
              <w:rPr>
                <w:rFonts w:ascii="Arial" w:hAnsi="Arial" w:cs="Arial"/>
                <w:b/>
                <w:bCs/>
              </w:rPr>
              <w:t>CONTRACREDITAN REGIONALES Y ACREDITAN UNIDAD EJECUTORA (NIVEL NACIONAL)</w:t>
            </w:r>
          </w:p>
        </w:tc>
        <w:tc>
          <w:tcPr>
            <w:tcW w:w="1100" w:type="pct"/>
            <w:hideMark/>
          </w:tcPr>
          <w:p w14:paraId="0314ED00" w14:textId="77777777" w:rsidR="00061779" w:rsidRPr="00061779" w:rsidRDefault="00061779" w:rsidP="00061779">
            <w:pPr>
              <w:spacing w:after="160" w:line="259" w:lineRule="auto"/>
              <w:jc w:val="both"/>
              <w:rPr>
                <w:rFonts w:ascii="Arial" w:hAnsi="Arial" w:cs="Arial"/>
              </w:rPr>
            </w:pPr>
            <w:r w:rsidRPr="00061779">
              <w:rPr>
                <w:rFonts w:ascii="Arial" w:hAnsi="Arial" w:cs="Arial"/>
                <w:b/>
                <w:bCs/>
              </w:rPr>
              <w:t>MOVIMIENTOS DENTRO DE LA REGIONAL</w:t>
            </w:r>
          </w:p>
        </w:tc>
      </w:tr>
      <w:tr w:rsidR="00061779" w:rsidRPr="00061779" w14:paraId="2992E433" w14:textId="77777777" w:rsidTr="00061779">
        <w:tc>
          <w:tcPr>
            <w:tcW w:w="950" w:type="pct"/>
            <w:hideMark/>
          </w:tcPr>
          <w:p w14:paraId="7FEF35EF" w14:textId="77777777" w:rsidR="00061779" w:rsidRPr="00061779" w:rsidRDefault="00061779" w:rsidP="00061779">
            <w:pPr>
              <w:spacing w:after="160" w:line="259" w:lineRule="auto"/>
              <w:jc w:val="both"/>
              <w:rPr>
                <w:rFonts w:ascii="Arial" w:hAnsi="Arial" w:cs="Arial"/>
              </w:rPr>
            </w:pPr>
            <w:r w:rsidRPr="00061779">
              <w:rPr>
                <w:rFonts w:ascii="Arial" w:hAnsi="Arial" w:cs="Arial"/>
              </w:rPr>
              <w:t>Mayo</w:t>
            </w:r>
          </w:p>
        </w:tc>
        <w:tc>
          <w:tcPr>
            <w:tcW w:w="1350" w:type="pct"/>
            <w:hideMark/>
          </w:tcPr>
          <w:p w14:paraId="16F516AD" w14:textId="77777777" w:rsidR="00061779" w:rsidRPr="00061779" w:rsidRDefault="00061779" w:rsidP="00061779">
            <w:pPr>
              <w:spacing w:after="160" w:line="259" w:lineRule="auto"/>
              <w:jc w:val="both"/>
              <w:rPr>
                <w:rFonts w:ascii="Arial" w:hAnsi="Arial" w:cs="Arial"/>
              </w:rPr>
            </w:pPr>
            <w:r w:rsidRPr="00061779">
              <w:rPr>
                <w:rFonts w:ascii="Arial" w:hAnsi="Arial" w:cs="Arial"/>
              </w:rPr>
              <w:t>5, 12 y 22</w:t>
            </w:r>
          </w:p>
        </w:tc>
        <w:tc>
          <w:tcPr>
            <w:tcW w:w="1600" w:type="pct"/>
            <w:hideMark/>
          </w:tcPr>
          <w:p w14:paraId="5373A045" w14:textId="77777777" w:rsidR="00061779" w:rsidRPr="00061779" w:rsidRDefault="00061779" w:rsidP="00061779">
            <w:pPr>
              <w:spacing w:after="160" w:line="259" w:lineRule="auto"/>
              <w:jc w:val="both"/>
              <w:rPr>
                <w:rFonts w:ascii="Arial" w:hAnsi="Arial" w:cs="Arial"/>
              </w:rPr>
            </w:pPr>
            <w:r w:rsidRPr="00061779">
              <w:rPr>
                <w:rFonts w:ascii="Arial" w:hAnsi="Arial" w:cs="Arial"/>
              </w:rPr>
              <w:t>26</w:t>
            </w:r>
          </w:p>
        </w:tc>
        <w:tc>
          <w:tcPr>
            <w:tcW w:w="1100" w:type="pct"/>
            <w:hideMark/>
          </w:tcPr>
          <w:p w14:paraId="15D86477" w14:textId="77777777" w:rsidR="00061779" w:rsidRPr="00061779" w:rsidRDefault="00061779" w:rsidP="00061779">
            <w:pPr>
              <w:spacing w:after="160" w:line="259" w:lineRule="auto"/>
              <w:jc w:val="both"/>
              <w:rPr>
                <w:rFonts w:ascii="Arial" w:hAnsi="Arial" w:cs="Arial"/>
              </w:rPr>
            </w:pPr>
            <w:r w:rsidRPr="00061779">
              <w:rPr>
                <w:rFonts w:ascii="Arial" w:hAnsi="Arial" w:cs="Arial"/>
              </w:rPr>
              <w:t>26</w:t>
            </w:r>
          </w:p>
        </w:tc>
      </w:tr>
      <w:tr w:rsidR="00061779" w:rsidRPr="00061779" w14:paraId="77D1CF82" w14:textId="77777777" w:rsidTr="00061779">
        <w:tc>
          <w:tcPr>
            <w:tcW w:w="950" w:type="pct"/>
            <w:hideMark/>
          </w:tcPr>
          <w:p w14:paraId="0349507F" w14:textId="77777777" w:rsidR="00061779" w:rsidRPr="00061779" w:rsidRDefault="00061779" w:rsidP="00061779">
            <w:pPr>
              <w:spacing w:after="160" w:line="259" w:lineRule="auto"/>
              <w:jc w:val="both"/>
              <w:rPr>
                <w:rFonts w:ascii="Arial" w:hAnsi="Arial" w:cs="Arial"/>
              </w:rPr>
            </w:pPr>
            <w:r w:rsidRPr="00061779">
              <w:rPr>
                <w:rFonts w:ascii="Arial" w:hAnsi="Arial" w:cs="Arial"/>
              </w:rPr>
              <w:t>Junio</w:t>
            </w:r>
          </w:p>
        </w:tc>
        <w:tc>
          <w:tcPr>
            <w:tcW w:w="1350" w:type="pct"/>
            <w:hideMark/>
          </w:tcPr>
          <w:p w14:paraId="2EA1D50E" w14:textId="77777777" w:rsidR="00061779" w:rsidRPr="00061779" w:rsidRDefault="00061779" w:rsidP="00061779">
            <w:pPr>
              <w:spacing w:after="160" w:line="259" w:lineRule="auto"/>
              <w:jc w:val="both"/>
              <w:rPr>
                <w:rFonts w:ascii="Arial" w:hAnsi="Arial" w:cs="Arial"/>
              </w:rPr>
            </w:pPr>
            <w:r w:rsidRPr="00061779">
              <w:rPr>
                <w:rFonts w:ascii="Arial" w:hAnsi="Arial" w:cs="Arial"/>
              </w:rPr>
              <w:t>2, 9, 16 y 20</w:t>
            </w:r>
          </w:p>
        </w:tc>
        <w:tc>
          <w:tcPr>
            <w:tcW w:w="1600" w:type="pct"/>
            <w:hideMark/>
          </w:tcPr>
          <w:p w14:paraId="1177476B" w14:textId="77777777" w:rsidR="00061779" w:rsidRPr="00061779" w:rsidRDefault="00061779" w:rsidP="00061779">
            <w:pPr>
              <w:spacing w:after="160" w:line="259" w:lineRule="auto"/>
              <w:jc w:val="both"/>
              <w:rPr>
                <w:rFonts w:ascii="Arial" w:hAnsi="Arial" w:cs="Arial"/>
              </w:rPr>
            </w:pPr>
            <w:r w:rsidRPr="00061779">
              <w:rPr>
                <w:rFonts w:ascii="Arial" w:hAnsi="Arial" w:cs="Arial"/>
              </w:rPr>
              <w:t>28</w:t>
            </w:r>
          </w:p>
        </w:tc>
        <w:tc>
          <w:tcPr>
            <w:tcW w:w="1100" w:type="pct"/>
            <w:hideMark/>
          </w:tcPr>
          <w:p w14:paraId="27FB895F" w14:textId="77777777" w:rsidR="00061779" w:rsidRPr="00061779" w:rsidRDefault="00061779" w:rsidP="00061779">
            <w:pPr>
              <w:spacing w:after="160" w:line="259" w:lineRule="auto"/>
              <w:jc w:val="both"/>
              <w:rPr>
                <w:rFonts w:ascii="Arial" w:hAnsi="Arial" w:cs="Arial"/>
              </w:rPr>
            </w:pPr>
            <w:r w:rsidRPr="00061779">
              <w:rPr>
                <w:rFonts w:ascii="Arial" w:hAnsi="Arial" w:cs="Arial"/>
              </w:rPr>
              <w:t>28</w:t>
            </w:r>
          </w:p>
        </w:tc>
      </w:tr>
      <w:tr w:rsidR="00061779" w:rsidRPr="00061779" w14:paraId="29C8D41C" w14:textId="77777777" w:rsidTr="00061779">
        <w:tc>
          <w:tcPr>
            <w:tcW w:w="950" w:type="pct"/>
            <w:hideMark/>
          </w:tcPr>
          <w:p w14:paraId="4712B1CD" w14:textId="77777777" w:rsidR="00061779" w:rsidRPr="00061779" w:rsidRDefault="00061779" w:rsidP="00061779">
            <w:pPr>
              <w:spacing w:after="160" w:line="259" w:lineRule="auto"/>
              <w:jc w:val="both"/>
              <w:rPr>
                <w:rFonts w:ascii="Arial" w:hAnsi="Arial" w:cs="Arial"/>
              </w:rPr>
            </w:pPr>
            <w:r w:rsidRPr="00061779">
              <w:rPr>
                <w:rFonts w:ascii="Arial" w:hAnsi="Arial" w:cs="Arial"/>
              </w:rPr>
              <w:t>Julio</w:t>
            </w:r>
          </w:p>
        </w:tc>
        <w:tc>
          <w:tcPr>
            <w:tcW w:w="1350" w:type="pct"/>
            <w:hideMark/>
          </w:tcPr>
          <w:p w14:paraId="333BDDD0" w14:textId="77777777" w:rsidR="00061779" w:rsidRPr="00061779" w:rsidRDefault="00061779" w:rsidP="00061779">
            <w:pPr>
              <w:spacing w:after="160" w:line="259" w:lineRule="auto"/>
              <w:jc w:val="both"/>
              <w:rPr>
                <w:rFonts w:ascii="Arial" w:hAnsi="Arial" w:cs="Arial"/>
              </w:rPr>
            </w:pPr>
            <w:r w:rsidRPr="00061779">
              <w:rPr>
                <w:rFonts w:ascii="Arial" w:hAnsi="Arial" w:cs="Arial"/>
              </w:rPr>
              <w:t>7, 14 y 21</w:t>
            </w:r>
          </w:p>
        </w:tc>
        <w:tc>
          <w:tcPr>
            <w:tcW w:w="1600" w:type="pct"/>
            <w:hideMark/>
          </w:tcPr>
          <w:p w14:paraId="1AB95453" w14:textId="77777777" w:rsidR="00061779" w:rsidRPr="00061779" w:rsidRDefault="00061779" w:rsidP="00061779">
            <w:pPr>
              <w:spacing w:after="160" w:line="259" w:lineRule="auto"/>
              <w:jc w:val="both"/>
              <w:rPr>
                <w:rFonts w:ascii="Arial" w:hAnsi="Arial" w:cs="Arial"/>
              </w:rPr>
            </w:pPr>
            <w:r w:rsidRPr="00061779">
              <w:rPr>
                <w:rFonts w:ascii="Arial" w:hAnsi="Arial" w:cs="Arial"/>
              </w:rPr>
              <w:t>26</w:t>
            </w:r>
          </w:p>
        </w:tc>
        <w:tc>
          <w:tcPr>
            <w:tcW w:w="1100" w:type="pct"/>
            <w:hideMark/>
          </w:tcPr>
          <w:p w14:paraId="52E4ACDF" w14:textId="77777777" w:rsidR="00061779" w:rsidRPr="00061779" w:rsidRDefault="00061779" w:rsidP="00061779">
            <w:pPr>
              <w:spacing w:after="160" w:line="259" w:lineRule="auto"/>
              <w:jc w:val="both"/>
              <w:rPr>
                <w:rFonts w:ascii="Arial" w:hAnsi="Arial" w:cs="Arial"/>
              </w:rPr>
            </w:pPr>
            <w:r w:rsidRPr="00061779">
              <w:rPr>
                <w:rFonts w:ascii="Arial" w:hAnsi="Arial" w:cs="Arial"/>
              </w:rPr>
              <w:t>26</w:t>
            </w:r>
          </w:p>
        </w:tc>
      </w:tr>
      <w:tr w:rsidR="00061779" w:rsidRPr="00061779" w14:paraId="16ABC1C8" w14:textId="77777777" w:rsidTr="00061779">
        <w:tc>
          <w:tcPr>
            <w:tcW w:w="950" w:type="pct"/>
            <w:hideMark/>
          </w:tcPr>
          <w:p w14:paraId="187DFBA2" w14:textId="77777777" w:rsidR="00061779" w:rsidRPr="00061779" w:rsidRDefault="00061779" w:rsidP="00061779">
            <w:pPr>
              <w:spacing w:after="160" w:line="259" w:lineRule="auto"/>
              <w:jc w:val="both"/>
              <w:rPr>
                <w:rFonts w:ascii="Arial" w:hAnsi="Arial" w:cs="Arial"/>
              </w:rPr>
            </w:pPr>
            <w:r w:rsidRPr="00061779">
              <w:rPr>
                <w:rFonts w:ascii="Arial" w:hAnsi="Arial" w:cs="Arial"/>
              </w:rPr>
              <w:t>Agosto</w:t>
            </w:r>
          </w:p>
        </w:tc>
        <w:tc>
          <w:tcPr>
            <w:tcW w:w="1350" w:type="pct"/>
            <w:hideMark/>
          </w:tcPr>
          <w:p w14:paraId="342B37F0" w14:textId="77777777" w:rsidR="00061779" w:rsidRPr="00061779" w:rsidRDefault="00061779" w:rsidP="00061779">
            <w:pPr>
              <w:spacing w:after="160" w:line="259" w:lineRule="auto"/>
              <w:jc w:val="both"/>
              <w:rPr>
                <w:rFonts w:ascii="Arial" w:hAnsi="Arial" w:cs="Arial"/>
              </w:rPr>
            </w:pPr>
            <w:r w:rsidRPr="00061779">
              <w:rPr>
                <w:rFonts w:ascii="Arial" w:hAnsi="Arial" w:cs="Arial"/>
              </w:rPr>
              <w:t>4, 11, 18 y 22</w:t>
            </w:r>
          </w:p>
        </w:tc>
        <w:tc>
          <w:tcPr>
            <w:tcW w:w="1600" w:type="pct"/>
            <w:hideMark/>
          </w:tcPr>
          <w:p w14:paraId="790DD3F7" w14:textId="77777777" w:rsidR="00061779" w:rsidRPr="00061779" w:rsidRDefault="00061779" w:rsidP="00061779">
            <w:pPr>
              <w:spacing w:after="160" w:line="259" w:lineRule="auto"/>
              <w:jc w:val="both"/>
              <w:rPr>
                <w:rFonts w:ascii="Arial" w:hAnsi="Arial" w:cs="Arial"/>
              </w:rPr>
            </w:pPr>
            <w:r w:rsidRPr="00061779">
              <w:rPr>
                <w:rFonts w:ascii="Arial" w:hAnsi="Arial" w:cs="Arial"/>
              </w:rPr>
              <w:t>29</w:t>
            </w:r>
          </w:p>
        </w:tc>
        <w:tc>
          <w:tcPr>
            <w:tcW w:w="1100" w:type="pct"/>
            <w:hideMark/>
          </w:tcPr>
          <w:p w14:paraId="2289AC82" w14:textId="77777777" w:rsidR="00061779" w:rsidRPr="00061779" w:rsidRDefault="00061779" w:rsidP="00061779">
            <w:pPr>
              <w:spacing w:after="160" w:line="259" w:lineRule="auto"/>
              <w:jc w:val="both"/>
              <w:rPr>
                <w:rFonts w:ascii="Arial" w:hAnsi="Arial" w:cs="Arial"/>
              </w:rPr>
            </w:pPr>
            <w:r w:rsidRPr="00061779">
              <w:rPr>
                <w:rFonts w:ascii="Arial" w:hAnsi="Arial" w:cs="Arial"/>
              </w:rPr>
              <w:t>29</w:t>
            </w:r>
          </w:p>
        </w:tc>
      </w:tr>
      <w:tr w:rsidR="00061779" w:rsidRPr="00061779" w14:paraId="4105ACE7" w14:textId="77777777" w:rsidTr="00061779">
        <w:tc>
          <w:tcPr>
            <w:tcW w:w="950" w:type="pct"/>
            <w:hideMark/>
          </w:tcPr>
          <w:p w14:paraId="5635E53B" w14:textId="77777777" w:rsidR="00061779" w:rsidRPr="00061779" w:rsidRDefault="00061779" w:rsidP="00061779">
            <w:pPr>
              <w:spacing w:after="160" w:line="259" w:lineRule="auto"/>
              <w:jc w:val="both"/>
              <w:rPr>
                <w:rFonts w:ascii="Arial" w:hAnsi="Arial" w:cs="Arial"/>
              </w:rPr>
            </w:pPr>
            <w:r w:rsidRPr="00061779">
              <w:rPr>
                <w:rFonts w:ascii="Arial" w:hAnsi="Arial" w:cs="Arial"/>
              </w:rPr>
              <w:t>Septiembre</w:t>
            </w:r>
          </w:p>
        </w:tc>
        <w:tc>
          <w:tcPr>
            <w:tcW w:w="1350" w:type="pct"/>
            <w:hideMark/>
          </w:tcPr>
          <w:p w14:paraId="6CA7DE86" w14:textId="77777777" w:rsidR="00061779" w:rsidRPr="00061779" w:rsidRDefault="00061779" w:rsidP="00061779">
            <w:pPr>
              <w:spacing w:after="160" w:line="259" w:lineRule="auto"/>
              <w:jc w:val="both"/>
              <w:rPr>
                <w:rFonts w:ascii="Arial" w:hAnsi="Arial" w:cs="Arial"/>
              </w:rPr>
            </w:pPr>
            <w:r w:rsidRPr="00061779">
              <w:rPr>
                <w:rFonts w:ascii="Arial" w:hAnsi="Arial" w:cs="Arial"/>
              </w:rPr>
              <w:t>1,8, 15 y 20</w:t>
            </w:r>
          </w:p>
        </w:tc>
        <w:tc>
          <w:tcPr>
            <w:tcW w:w="1600" w:type="pct"/>
            <w:hideMark/>
          </w:tcPr>
          <w:p w14:paraId="7F10AF90" w14:textId="77777777" w:rsidR="00061779" w:rsidRPr="00061779" w:rsidRDefault="00061779" w:rsidP="00061779">
            <w:pPr>
              <w:spacing w:after="160" w:line="259" w:lineRule="auto"/>
              <w:jc w:val="both"/>
              <w:rPr>
                <w:rFonts w:ascii="Arial" w:hAnsi="Arial" w:cs="Arial"/>
              </w:rPr>
            </w:pPr>
            <w:r w:rsidRPr="00061779">
              <w:rPr>
                <w:rFonts w:ascii="Arial" w:hAnsi="Arial" w:cs="Arial"/>
              </w:rPr>
              <w:t>27</w:t>
            </w:r>
          </w:p>
        </w:tc>
        <w:tc>
          <w:tcPr>
            <w:tcW w:w="1100" w:type="pct"/>
            <w:hideMark/>
          </w:tcPr>
          <w:p w14:paraId="3E2C354D" w14:textId="77777777" w:rsidR="00061779" w:rsidRPr="00061779" w:rsidRDefault="00061779" w:rsidP="00061779">
            <w:pPr>
              <w:spacing w:after="160" w:line="259" w:lineRule="auto"/>
              <w:jc w:val="both"/>
              <w:rPr>
                <w:rFonts w:ascii="Arial" w:hAnsi="Arial" w:cs="Arial"/>
              </w:rPr>
            </w:pPr>
            <w:r w:rsidRPr="00061779">
              <w:rPr>
                <w:rFonts w:ascii="Arial" w:hAnsi="Arial" w:cs="Arial"/>
              </w:rPr>
              <w:t>27</w:t>
            </w:r>
          </w:p>
        </w:tc>
      </w:tr>
      <w:tr w:rsidR="00061779" w:rsidRPr="00061779" w14:paraId="1522838A" w14:textId="77777777" w:rsidTr="00061779">
        <w:tc>
          <w:tcPr>
            <w:tcW w:w="950" w:type="pct"/>
            <w:hideMark/>
          </w:tcPr>
          <w:p w14:paraId="11C70345" w14:textId="77777777" w:rsidR="00061779" w:rsidRPr="00061779" w:rsidRDefault="00061779" w:rsidP="00061779">
            <w:pPr>
              <w:spacing w:after="160" w:line="259" w:lineRule="auto"/>
              <w:jc w:val="both"/>
              <w:rPr>
                <w:rFonts w:ascii="Arial" w:hAnsi="Arial" w:cs="Arial"/>
              </w:rPr>
            </w:pPr>
            <w:r w:rsidRPr="00061779">
              <w:rPr>
                <w:rFonts w:ascii="Arial" w:hAnsi="Arial" w:cs="Arial"/>
              </w:rPr>
              <w:t>Octubre</w:t>
            </w:r>
          </w:p>
        </w:tc>
        <w:tc>
          <w:tcPr>
            <w:tcW w:w="1350" w:type="pct"/>
            <w:hideMark/>
          </w:tcPr>
          <w:p w14:paraId="1AD53061" w14:textId="77777777" w:rsidR="00061779" w:rsidRPr="00061779" w:rsidRDefault="00061779" w:rsidP="00061779">
            <w:pPr>
              <w:spacing w:after="160" w:line="259" w:lineRule="auto"/>
              <w:jc w:val="both"/>
              <w:rPr>
                <w:rFonts w:ascii="Arial" w:hAnsi="Arial" w:cs="Arial"/>
              </w:rPr>
            </w:pPr>
            <w:r w:rsidRPr="00061779">
              <w:rPr>
                <w:rFonts w:ascii="Arial" w:hAnsi="Arial" w:cs="Arial"/>
              </w:rPr>
              <w:t>6, 13 y 20</w:t>
            </w:r>
          </w:p>
        </w:tc>
        <w:tc>
          <w:tcPr>
            <w:tcW w:w="1600" w:type="pct"/>
            <w:hideMark/>
          </w:tcPr>
          <w:p w14:paraId="7FADC98F" w14:textId="77777777" w:rsidR="00061779" w:rsidRPr="00061779" w:rsidRDefault="00061779" w:rsidP="00061779">
            <w:pPr>
              <w:spacing w:after="160" w:line="259" w:lineRule="auto"/>
              <w:jc w:val="both"/>
              <w:rPr>
                <w:rFonts w:ascii="Arial" w:hAnsi="Arial" w:cs="Arial"/>
              </w:rPr>
            </w:pPr>
            <w:r w:rsidRPr="00061779">
              <w:rPr>
                <w:rFonts w:ascii="Arial" w:hAnsi="Arial" w:cs="Arial"/>
              </w:rPr>
              <w:t>27</w:t>
            </w:r>
          </w:p>
        </w:tc>
        <w:tc>
          <w:tcPr>
            <w:tcW w:w="1100" w:type="pct"/>
            <w:hideMark/>
          </w:tcPr>
          <w:p w14:paraId="491A685D" w14:textId="77777777" w:rsidR="00061779" w:rsidRPr="00061779" w:rsidRDefault="00061779" w:rsidP="00061779">
            <w:pPr>
              <w:spacing w:after="160" w:line="259" w:lineRule="auto"/>
              <w:jc w:val="both"/>
              <w:rPr>
                <w:rFonts w:ascii="Arial" w:hAnsi="Arial" w:cs="Arial"/>
              </w:rPr>
            </w:pPr>
            <w:r w:rsidRPr="00061779">
              <w:rPr>
                <w:rFonts w:ascii="Arial" w:hAnsi="Arial" w:cs="Arial"/>
              </w:rPr>
              <w:t>27</w:t>
            </w:r>
          </w:p>
        </w:tc>
      </w:tr>
      <w:tr w:rsidR="00061779" w:rsidRPr="00061779" w14:paraId="40F523B8" w14:textId="77777777" w:rsidTr="00061779">
        <w:tc>
          <w:tcPr>
            <w:tcW w:w="950" w:type="pct"/>
            <w:hideMark/>
          </w:tcPr>
          <w:p w14:paraId="681D111C" w14:textId="77777777" w:rsidR="00061779" w:rsidRPr="00061779" w:rsidRDefault="00061779" w:rsidP="00061779">
            <w:pPr>
              <w:spacing w:after="160" w:line="259" w:lineRule="auto"/>
              <w:jc w:val="both"/>
              <w:rPr>
                <w:rFonts w:ascii="Arial" w:hAnsi="Arial" w:cs="Arial"/>
              </w:rPr>
            </w:pPr>
            <w:r w:rsidRPr="00061779">
              <w:rPr>
                <w:rFonts w:ascii="Arial" w:hAnsi="Arial" w:cs="Arial"/>
              </w:rPr>
              <w:t>Noviembre</w:t>
            </w:r>
          </w:p>
        </w:tc>
        <w:tc>
          <w:tcPr>
            <w:tcW w:w="1350" w:type="pct"/>
            <w:hideMark/>
          </w:tcPr>
          <w:p w14:paraId="3E26400E" w14:textId="77777777" w:rsidR="00061779" w:rsidRPr="00061779" w:rsidRDefault="00061779" w:rsidP="00061779">
            <w:pPr>
              <w:spacing w:after="160" w:line="259" w:lineRule="auto"/>
              <w:jc w:val="both"/>
              <w:rPr>
                <w:rFonts w:ascii="Arial" w:hAnsi="Arial" w:cs="Arial"/>
              </w:rPr>
            </w:pPr>
            <w:r w:rsidRPr="00061779">
              <w:rPr>
                <w:rFonts w:ascii="Arial" w:hAnsi="Arial" w:cs="Arial"/>
              </w:rPr>
              <w:t>3, 10, 17 y 20</w:t>
            </w:r>
          </w:p>
        </w:tc>
        <w:tc>
          <w:tcPr>
            <w:tcW w:w="1600" w:type="pct"/>
            <w:hideMark/>
          </w:tcPr>
          <w:p w14:paraId="5C742D9B" w14:textId="77777777" w:rsidR="00061779" w:rsidRPr="00061779" w:rsidRDefault="00061779" w:rsidP="00061779">
            <w:pPr>
              <w:spacing w:after="160" w:line="259" w:lineRule="auto"/>
              <w:jc w:val="both"/>
              <w:rPr>
                <w:rFonts w:ascii="Arial" w:hAnsi="Arial" w:cs="Arial"/>
              </w:rPr>
            </w:pPr>
            <w:r w:rsidRPr="00061779">
              <w:rPr>
                <w:rFonts w:ascii="Arial" w:hAnsi="Arial" w:cs="Arial"/>
              </w:rPr>
              <w:t>28</w:t>
            </w:r>
          </w:p>
        </w:tc>
        <w:tc>
          <w:tcPr>
            <w:tcW w:w="1100" w:type="pct"/>
            <w:hideMark/>
          </w:tcPr>
          <w:p w14:paraId="700668F3" w14:textId="77777777" w:rsidR="00061779" w:rsidRPr="00061779" w:rsidRDefault="00061779" w:rsidP="00061779">
            <w:pPr>
              <w:spacing w:after="160" w:line="259" w:lineRule="auto"/>
              <w:jc w:val="both"/>
              <w:rPr>
                <w:rFonts w:ascii="Arial" w:hAnsi="Arial" w:cs="Arial"/>
              </w:rPr>
            </w:pPr>
            <w:r w:rsidRPr="00061779">
              <w:rPr>
                <w:rFonts w:ascii="Arial" w:hAnsi="Arial" w:cs="Arial"/>
              </w:rPr>
              <w:t>28</w:t>
            </w:r>
          </w:p>
        </w:tc>
      </w:tr>
      <w:tr w:rsidR="00061779" w:rsidRPr="00061779" w14:paraId="5C9B6BD6" w14:textId="77777777" w:rsidTr="00061779">
        <w:tc>
          <w:tcPr>
            <w:tcW w:w="950" w:type="pct"/>
            <w:hideMark/>
          </w:tcPr>
          <w:p w14:paraId="176823FC" w14:textId="77777777" w:rsidR="00061779" w:rsidRPr="00061779" w:rsidRDefault="00061779" w:rsidP="00061779">
            <w:pPr>
              <w:spacing w:after="160" w:line="259" w:lineRule="auto"/>
              <w:jc w:val="both"/>
              <w:rPr>
                <w:rFonts w:ascii="Arial" w:hAnsi="Arial" w:cs="Arial"/>
              </w:rPr>
            </w:pPr>
            <w:r w:rsidRPr="00061779">
              <w:rPr>
                <w:rFonts w:ascii="Arial" w:hAnsi="Arial" w:cs="Arial"/>
              </w:rPr>
              <w:t>Diciembre</w:t>
            </w:r>
          </w:p>
        </w:tc>
        <w:tc>
          <w:tcPr>
            <w:tcW w:w="4050" w:type="pct"/>
            <w:gridSpan w:val="3"/>
            <w:hideMark/>
          </w:tcPr>
          <w:p w14:paraId="113941BB" w14:textId="77777777" w:rsidR="00061779" w:rsidRPr="00061779" w:rsidRDefault="00061779" w:rsidP="00061779">
            <w:pPr>
              <w:spacing w:after="160" w:line="259" w:lineRule="auto"/>
              <w:jc w:val="both"/>
              <w:rPr>
                <w:rFonts w:ascii="Arial" w:hAnsi="Arial" w:cs="Arial"/>
              </w:rPr>
            </w:pPr>
            <w:r w:rsidRPr="00061779">
              <w:rPr>
                <w:rFonts w:ascii="Arial" w:hAnsi="Arial" w:cs="Arial"/>
              </w:rPr>
              <w:t>Según lo indicado en la Guía de Cierre 2017 y Apertura de Vigencia 2018</w:t>
            </w:r>
          </w:p>
        </w:tc>
      </w:tr>
    </w:tbl>
    <w:p w14:paraId="3B0745BE" w14:textId="2E07FEF9" w:rsidR="00061779" w:rsidRPr="00061779" w:rsidRDefault="00061779" w:rsidP="00061779">
      <w:pPr>
        <w:jc w:val="both"/>
        <w:rPr>
          <w:rFonts w:ascii="Arial" w:hAnsi="Arial" w:cs="Arial"/>
        </w:rPr>
      </w:pPr>
    </w:p>
    <w:p w14:paraId="244DADA8" w14:textId="5B698BC3" w:rsidR="00061779" w:rsidRPr="00061779" w:rsidRDefault="00061779" w:rsidP="00061779">
      <w:pPr>
        <w:jc w:val="both"/>
        <w:rPr>
          <w:rFonts w:ascii="Arial" w:hAnsi="Arial" w:cs="Arial"/>
        </w:rPr>
      </w:pPr>
      <w:r w:rsidRPr="00061779">
        <w:rPr>
          <w:rFonts w:ascii="Arial" w:hAnsi="Arial" w:cs="Arial"/>
        </w:rPr>
        <w:t>Las resoluciones se tramitarán a partir del día hábil siguiente a la fecha de recibo de las solicitudes de traslado presupuestal en el Grupo de Presupuesto de la Dirección Financiera.</w:t>
      </w:r>
    </w:p>
    <w:p w14:paraId="0800120D" w14:textId="7B23A5E8" w:rsidR="00061779" w:rsidRPr="00061779" w:rsidRDefault="00061779" w:rsidP="00061779">
      <w:pPr>
        <w:jc w:val="both"/>
        <w:rPr>
          <w:rFonts w:ascii="Arial" w:hAnsi="Arial" w:cs="Arial"/>
        </w:rPr>
      </w:pPr>
      <w:r w:rsidRPr="00061779">
        <w:rPr>
          <w:rFonts w:ascii="Arial" w:hAnsi="Arial" w:cs="Arial"/>
        </w:rPr>
        <w:t>Por lo anterior y con el fin de apoyar la buena gestión expuesta, es pertinente que las diferentes áreas cumplan con los plazos establecidos en el documento “P11.DE Procedimiento de Modificaciones Presupuestales y de Metas Sociales y Financieras” referentes a la validación y trámite de los traslados presupuestales.</w:t>
      </w:r>
    </w:p>
    <w:p w14:paraId="3C959ABF" w14:textId="77777777" w:rsidR="00061779" w:rsidRDefault="00061779" w:rsidP="00061779">
      <w:pPr>
        <w:jc w:val="both"/>
        <w:rPr>
          <w:rFonts w:ascii="Arial" w:hAnsi="Arial" w:cs="Arial"/>
        </w:rPr>
      </w:pPr>
      <w:r w:rsidRPr="00061779">
        <w:rPr>
          <w:rFonts w:ascii="Arial" w:hAnsi="Arial" w:cs="Arial"/>
        </w:rPr>
        <w:t>Como quiera que la Sede Nacional se asimila a una Regional y la misma es calificada con los diferentes componentes de gestión como indicadores, ejecución presupuestal</w:t>
      </w:r>
    </w:p>
    <w:p w14:paraId="60C75629" w14:textId="525E6561" w:rsidR="00061779" w:rsidRPr="00061779" w:rsidRDefault="00061779" w:rsidP="00061779">
      <w:pPr>
        <w:jc w:val="both"/>
        <w:rPr>
          <w:rFonts w:ascii="Arial" w:hAnsi="Arial" w:cs="Arial"/>
        </w:rPr>
      </w:pPr>
      <w:r w:rsidRPr="00061779">
        <w:rPr>
          <w:rFonts w:ascii="Arial" w:hAnsi="Arial" w:cs="Arial"/>
        </w:rPr>
        <w:lastRenderedPageBreak/>
        <w:t xml:space="preserve">(apropiación, </w:t>
      </w:r>
      <w:proofErr w:type="spellStart"/>
      <w:r w:rsidRPr="00061779">
        <w:rPr>
          <w:rFonts w:ascii="Arial" w:hAnsi="Arial" w:cs="Arial"/>
        </w:rPr>
        <w:t>CDP's</w:t>
      </w:r>
      <w:proofErr w:type="spellEnd"/>
      <w:r w:rsidRPr="00061779">
        <w:rPr>
          <w:rFonts w:ascii="Arial" w:hAnsi="Arial" w:cs="Arial"/>
        </w:rPr>
        <w:t>, compromisos, obligaciones y pagos), se hace necesario que los recursos presupuestales que no se vayan a distribuir a las Regionales y Sede Nacional, se dejen como soporte presupuestal en el Nivel Nacional, es decir, en términos de SIIF Nación en la Unidad Ejecutora.</w:t>
      </w:r>
    </w:p>
    <w:p w14:paraId="179ADDBE" w14:textId="0A642BD5" w:rsidR="00061779" w:rsidRPr="00061779" w:rsidRDefault="00061779" w:rsidP="00061779">
      <w:pPr>
        <w:jc w:val="both"/>
        <w:rPr>
          <w:rFonts w:ascii="Arial" w:hAnsi="Arial" w:cs="Arial"/>
        </w:rPr>
      </w:pPr>
      <w:r w:rsidRPr="00061779">
        <w:rPr>
          <w:rFonts w:ascii="Arial" w:hAnsi="Arial" w:cs="Arial"/>
        </w:rPr>
        <w:t>Esta decisión busca mejorar la planeación en la ejecución de los recursos asignados a las Regionales y Sede Nacional, optimizar los procesos y garantizar que al final de la vigencia 2017 la totalidad del presupuesto del ICBF se encuentre comprometido y obligado.</w:t>
      </w:r>
    </w:p>
    <w:p w14:paraId="57CD709E" w14:textId="3FF24BF1" w:rsidR="00061779" w:rsidRPr="00061779" w:rsidRDefault="00061779" w:rsidP="00061779">
      <w:pPr>
        <w:jc w:val="both"/>
        <w:rPr>
          <w:rFonts w:ascii="Arial" w:hAnsi="Arial" w:cs="Arial"/>
        </w:rPr>
      </w:pPr>
      <w:r w:rsidRPr="00061779">
        <w:rPr>
          <w:rFonts w:ascii="Arial" w:hAnsi="Arial" w:cs="Arial"/>
        </w:rPr>
        <w:t>Cordialmente,</w:t>
      </w:r>
    </w:p>
    <w:p w14:paraId="10C0A10F" w14:textId="46FF2F2A" w:rsidR="00061779" w:rsidRPr="00061779" w:rsidRDefault="00061779" w:rsidP="00061779">
      <w:pPr>
        <w:jc w:val="center"/>
        <w:rPr>
          <w:rFonts w:ascii="Arial" w:hAnsi="Arial" w:cs="Arial"/>
          <w:b/>
          <w:bCs/>
        </w:rPr>
      </w:pPr>
      <w:r w:rsidRPr="00061779">
        <w:rPr>
          <w:rFonts w:ascii="Arial" w:hAnsi="Arial" w:cs="Arial"/>
          <w:b/>
          <w:bCs/>
        </w:rPr>
        <w:t>CRISTINA PLAZAS MICHELSEN</w:t>
      </w:r>
    </w:p>
    <w:p w14:paraId="03CD6A88" w14:textId="5AFA14DC" w:rsidR="00061779" w:rsidRPr="00061779" w:rsidRDefault="00061779" w:rsidP="00061779">
      <w:pPr>
        <w:jc w:val="center"/>
        <w:rPr>
          <w:rFonts w:ascii="Arial" w:hAnsi="Arial" w:cs="Arial"/>
        </w:rPr>
      </w:pPr>
      <w:r w:rsidRPr="00061779">
        <w:rPr>
          <w:rFonts w:ascii="Arial" w:hAnsi="Arial" w:cs="Arial"/>
        </w:rPr>
        <w:t>DIRECTORA GENERAL</w:t>
      </w:r>
    </w:p>
    <w:sectPr w:rsidR="00061779" w:rsidRPr="000617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79"/>
    <w:rsid w:val="00061779"/>
    <w:rsid w:val="00546E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C373"/>
  <w15:chartTrackingRefBased/>
  <w15:docId w15:val="{F3B787BA-9BD4-4FA0-858D-555560DB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61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02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AFAEB-D6FD-4A59-B8F0-6F285E2DB443}"/>
</file>

<file path=customXml/itemProps2.xml><?xml version="1.0" encoding="utf-8"?>
<ds:datastoreItem xmlns:ds="http://schemas.openxmlformats.org/officeDocument/2006/customXml" ds:itemID="{95B2B53D-EA67-4711-8BFA-93FD540B38A1}"/>
</file>

<file path=customXml/itemProps3.xml><?xml version="1.0" encoding="utf-8"?>
<ds:datastoreItem xmlns:ds="http://schemas.openxmlformats.org/officeDocument/2006/customXml" ds:itemID="{C67C29ED-1766-49BF-A088-6E528984B631}"/>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2176</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2026-02-06T14:52:00Z</dcterms:created>
  <dcterms:modified xsi:type="dcterms:W3CDTF">2026-02-06T14:54:00Z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