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FD5C" w14:textId="77777777" w:rsidR="00A3708A" w:rsidRPr="00A3708A" w:rsidRDefault="00A3708A" w:rsidP="00A3708A">
      <w:pPr>
        <w:jc w:val="center"/>
        <w:rPr>
          <w:rFonts w:ascii="Verdana" w:hAnsi="Verdana"/>
          <w:sz w:val="22"/>
          <w:szCs w:val="22"/>
        </w:rPr>
      </w:pPr>
      <w:r w:rsidRPr="00A3708A">
        <w:rPr>
          <w:rFonts w:ascii="Verdana" w:hAnsi="Verdana"/>
          <w:b/>
          <w:bCs/>
          <w:sz w:val="22"/>
          <w:szCs w:val="22"/>
        </w:rPr>
        <w:t>CIRCULAR 9 DE 2006</w:t>
      </w:r>
    </w:p>
    <w:p w14:paraId="77CF8AAF" w14:textId="77777777" w:rsidR="00A3708A" w:rsidRPr="00A3708A" w:rsidRDefault="00A3708A" w:rsidP="00A3708A">
      <w:pPr>
        <w:jc w:val="center"/>
        <w:rPr>
          <w:rFonts w:ascii="Verdana" w:hAnsi="Verdana"/>
          <w:sz w:val="22"/>
          <w:szCs w:val="22"/>
        </w:rPr>
      </w:pPr>
      <w:r w:rsidRPr="00A3708A">
        <w:rPr>
          <w:rFonts w:ascii="Verdana" w:hAnsi="Verdana"/>
          <w:sz w:val="22"/>
          <w:szCs w:val="22"/>
        </w:rPr>
        <w:t>(</w:t>
      </w:r>
      <w:proofErr w:type="gramStart"/>
      <w:r w:rsidRPr="00A3708A">
        <w:rPr>
          <w:rFonts w:ascii="Verdana" w:hAnsi="Verdana"/>
          <w:sz w:val="22"/>
          <w:szCs w:val="22"/>
        </w:rPr>
        <w:t>Septiembre</w:t>
      </w:r>
      <w:proofErr w:type="gramEnd"/>
      <w:r w:rsidRPr="00A3708A">
        <w:rPr>
          <w:rFonts w:ascii="Verdana" w:hAnsi="Verdana"/>
          <w:sz w:val="22"/>
          <w:szCs w:val="22"/>
        </w:rPr>
        <w:t xml:space="preserve"> 22)</w:t>
      </w:r>
    </w:p>
    <w:p w14:paraId="0B8D74DB" w14:textId="77777777" w:rsidR="00A3708A" w:rsidRPr="00A3708A" w:rsidRDefault="00A3708A" w:rsidP="00A3708A">
      <w:pPr>
        <w:jc w:val="center"/>
        <w:rPr>
          <w:rFonts w:ascii="Verdana" w:hAnsi="Verdana"/>
          <w:sz w:val="22"/>
          <w:szCs w:val="22"/>
        </w:rPr>
      </w:pPr>
      <w:r w:rsidRPr="00A3708A">
        <w:rPr>
          <w:rFonts w:ascii="Verdana" w:hAnsi="Verdana"/>
          <w:b/>
          <w:bCs/>
          <w:sz w:val="22"/>
          <w:szCs w:val="22"/>
        </w:rPr>
        <w:t>INSTITUTO COLOMBIANO DE BIENESTAR FAMILIAR</w:t>
      </w:r>
    </w:p>
    <w:p w14:paraId="2393E9B2" w14:textId="77777777" w:rsidR="00A3708A" w:rsidRPr="00A3708A" w:rsidRDefault="00A3708A" w:rsidP="00A3708A">
      <w:pPr>
        <w:jc w:val="both"/>
        <w:rPr>
          <w:rFonts w:ascii="Verdana" w:hAnsi="Verdana"/>
          <w:sz w:val="22"/>
          <w:szCs w:val="22"/>
        </w:rPr>
      </w:pPr>
      <w:r w:rsidRPr="00A3708A">
        <w:rPr>
          <w:rFonts w:ascii="Verdana" w:hAnsi="Verdana"/>
          <w:sz w:val="22"/>
          <w:szCs w:val="22"/>
        </w:rPr>
        <w:t>Para:</w:t>
      </w:r>
      <w:r w:rsidRPr="00A3708A">
        <w:rPr>
          <w:rFonts w:ascii="Verdana" w:hAnsi="Verdana"/>
          <w:sz w:val="22"/>
          <w:szCs w:val="22"/>
        </w:rPr>
        <w:tab/>
      </w:r>
      <w:proofErr w:type="gramStart"/>
      <w:r w:rsidRPr="00A3708A">
        <w:rPr>
          <w:rFonts w:ascii="Verdana" w:hAnsi="Verdana"/>
          <w:sz w:val="22"/>
          <w:szCs w:val="22"/>
        </w:rPr>
        <w:t>Directores</w:t>
      </w:r>
      <w:proofErr w:type="gramEnd"/>
      <w:r w:rsidRPr="00A3708A">
        <w:rPr>
          <w:rFonts w:ascii="Verdana" w:hAnsi="Verdana"/>
          <w:sz w:val="22"/>
          <w:szCs w:val="22"/>
        </w:rPr>
        <w:t xml:space="preserve">, subdirectores, jefes de oficina sede nacional, directores regionales y seccionales y servidores públicos en general del </w:t>
      </w:r>
      <w:proofErr w:type="spellStart"/>
      <w:r w:rsidRPr="00A3708A">
        <w:rPr>
          <w:rFonts w:ascii="Verdana" w:hAnsi="Verdana"/>
          <w:sz w:val="22"/>
          <w:szCs w:val="22"/>
        </w:rPr>
        <w:t>icbf</w:t>
      </w:r>
      <w:proofErr w:type="spellEnd"/>
      <w:r w:rsidRPr="00A3708A">
        <w:rPr>
          <w:rFonts w:ascii="Verdana" w:hAnsi="Verdana"/>
          <w:sz w:val="22"/>
          <w:szCs w:val="22"/>
        </w:rPr>
        <w:t>.</w:t>
      </w:r>
    </w:p>
    <w:p w14:paraId="6030E4C3" w14:textId="7C7920B6" w:rsidR="00A3708A" w:rsidRDefault="00A3708A" w:rsidP="00A3708A">
      <w:pPr>
        <w:jc w:val="both"/>
        <w:rPr>
          <w:rFonts w:ascii="Verdana" w:hAnsi="Verdana"/>
          <w:sz w:val="22"/>
          <w:szCs w:val="22"/>
        </w:rPr>
      </w:pPr>
      <w:r w:rsidRPr="00A3708A">
        <w:rPr>
          <w:rFonts w:ascii="Verdana" w:hAnsi="Verdana"/>
          <w:sz w:val="22"/>
          <w:szCs w:val="22"/>
        </w:rPr>
        <w:t>Asunto:</w:t>
      </w:r>
      <w:r w:rsidRPr="00A3708A">
        <w:rPr>
          <w:rFonts w:ascii="Verdana" w:hAnsi="Verdana"/>
          <w:sz w:val="22"/>
          <w:szCs w:val="22"/>
        </w:rPr>
        <w:tab/>
        <w:t xml:space="preserve">Sentencia C-355 del 10 de mayo de 2006 MP </w:t>
      </w:r>
      <w:proofErr w:type="spellStart"/>
      <w:r w:rsidRPr="00A3708A">
        <w:rPr>
          <w:rFonts w:ascii="Verdana" w:hAnsi="Verdana"/>
          <w:sz w:val="22"/>
          <w:szCs w:val="22"/>
        </w:rPr>
        <w:t>Drs</w:t>
      </w:r>
      <w:proofErr w:type="spellEnd"/>
      <w:r w:rsidRPr="00A3708A">
        <w:rPr>
          <w:rFonts w:ascii="Verdana" w:hAnsi="Verdana"/>
          <w:sz w:val="22"/>
          <w:szCs w:val="22"/>
        </w:rPr>
        <w:t>. Clara Inés Vargas Hernández y Jaime Araujo Rentaría. Debida protección integral y garantía de los derechos humanos fundamentales, el interés superior y la prevalencia de los derechos de las niñas y adolescentes que optan por la interrupción del embarazo (aborto) de conformidad con lo establecido en la Doctrina de la Corte Constitucional.</w:t>
      </w:r>
    </w:p>
    <w:p w14:paraId="62FB407C" w14:textId="23B7E09E" w:rsidR="00A3708A" w:rsidRPr="00A3708A" w:rsidRDefault="00A3708A" w:rsidP="00A3708A">
      <w:pPr>
        <w:jc w:val="both"/>
        <w:rPr>
          <w:rFonts w:ascii="Verdana" w:hAnsi="Verdana"/>
          <w:sz w:val="22"/>
          <w:szCs w:val="22"/>
        </w:rPr>
      </w:pPr>
      <w:r w:rsidRPr="00A3708A">
        <w:rPr>
          <w:rFonts w:ascii="Verdana" w:hAnsi="Verdana"/>
          <w:sz w:val="22"/>
          <w:szCs w:val="22"/>
        </w:rPr>
        <w:t>Dando alcance al Memorando Número 046916 del 25 de agosto del año en curso, analizando las distintas situaciones que se han presentado y teniendo en cuenta que la H. Corte Constitucional en la Sentencia C-355 citada, enviada de manera inmediata a la publicación de su texto íntegro a los servidores públicos del ICBF, plantea una serie consideraciones de la mayor relevancia para el Instituto, la Dirección General considera pertinente recordarles lo siguiente:</w:t>
      </w:r>
    </w:p>
    <w:p w14:paraId="5BE5B0E8" w14:textId="77777777" w:rsidR="00A3708A" w:rsidRPr="00A3708A" w:rsidRDefault="00A3708A" w:rsidP="00A3708A">
      <w:pPr>
        <w:jc w:val="both"/>
        <w:rPr>
          <w:rFonts w:ascii="Verdana" w:hAnsi="Verdana"/>
          <w:sz w:val="22"/>
          <w:szCs w:val="22"/>
        </w:rPr>
      </w:pPr>
      <w:r w:rsidRPr="00A3708A">
        <w:rPr>
          <w:rFonts w:ascii="Verdana" w:hAnsi="Verdana"/>
          <w:sz w:val="22"/>
          <w:szCs w:val="22"/>
        </w:rPr>
        <w:t>(1) La Corte nos aproxima a la siguiente conclusión:</w:t>
      </w:r>
    </w:p>
    <w:p w14:paraId="15C0A8A6" w14:textId="77777777" w:rsidR="00A3708A" w:rsidRPr="00A3708A" w:rsidRDefault="00A3708A" w:rsidP="00A3708A">
      <w:pPr>
        <w:jc w:val="both"/>
        <w:rPr>
          <w:rFonts w:ascii="Verdana" w:hAnsi="Verdana"/>
          <w:sz w:val="22"/>
          <w:szCs w:val="22"/>
        </w:rPr>
      </w:pPr>
      <w:r w:rsidRPr="00A3708A">
        <w:rPr>
          <w:rFonts w:ascii="Verdana" w:hAnsi="Verdana"/>
          <w:sz w:val="22"/>
          <w:szCs w:val="22"/>
        </w:rPr>
        <w:t>“(...) Si bien la decisión de penalizar el aborto, como una medida para proteger la vida en gestación resulta constitucionalmente justificada aunque se insiste, no es la única opción que puede adoptar el legislador ya que este puede escoger otro tipo de medidas de carácter asistencial y prestacional que cumplan con este propósito-, la prohibición completa e incondicional del aborto en todas las circunstancias es abiertamente desproporcionada porque anula completamente derechos de la mujer embarazada garantizados por la Constitución de 1991 y por tratados internacionales de derechos humanos que hacen parte del bloque de constitucionalidad.</w:t>
      </w:r>
    </w:p>
    <w:p w14:paraId="1B129F28" w14:textId="34D1FE2A" w:rsidR="00A3708A" w:rsidRPr="00A3708A" w:rsidRDefault="00A3708A" w:rsidP="00A3708A">
      <w:pPr>
        <w:jc w:val="both"/>
        <w:rPr>
          <w:rFonts w:ascii="Verdana" w:hAnsi="Verdana"/>
          <w:sz w:val="22"/>
          <w:szCs w:val="22"/>
        </w:rPr>
      </w:pPr>
      <w:r w:rsidRPr="00A3708A">
        <w:rPr>
          <w:rFonts w:ascii="Verdana" w:hAnsi="Verdana"/>
          <w:sz w:val="22"/>
          <w:szCs w:val="22"/>
        </w:rPr>
        <w:t xml:space="preserve">Protección de los derechos de </w:t>
      </w:r>
      <w:proofErr w:type="spellStart"/>
      <w:r w:rsidRPr="00A3708A">
        <w:rPr>
          <w:rFonts w:ascii="Verdana" w:hAnsi="Verdana"/>
          <w:sz w:val="22"/>
          <w:szCs w:val="22"/>
        </w:rPr>
        <w:t>a</w:t>
      </w:r>
      <w:proofErr w:type="spellEnd"/>
      <w:r w:rsidRPr="00A3708A">
        <w:rPr>
          <w:rFonts w:ascii="Verdana" w:hAnsi="Verdana"/>
          <w:sz w:val="22"/>
          <w:szCs w:val="22"/>
        </w:rPr>
        <w:t xml:space="preserve"> mujer que tampoco puede implicar la declaración de </w:t>
      </w:r>
      <w:proofErr w:type="spellStart"/>
      <w:r w:rsidRPr="00A3708A">
        <w:rPr>
          <w:rFonts w:ascii="Verdana" w:hAnsi="Verdana"/>
          <w:sz w:val="22"/>
          <w:szCs w:val="22"/>
        </w:rPr>
        <w:t>inexequibilidad</w:t>
      </w:r>
      <w:proofErr w:type="spellEnd"/>
      <w:r w:rsidRPr="00A3708A">
        <w:rPr>
          <w:rFonts w:ascii="Verdana" w:hAnsi="Verdana"/>
          <w:sz w:val="22"/>
          <w:szCs w:val="22"/>
        </w:rPr>
        <w:t xml:space="preserve"> del artículo 122 acusado, pues sería dejar desprotegida la vida. Además, impediría que el ordenamiento jurídico sobre el aborto surtiera sus efectos en situaciones donde la Constitución no lo ha ordenado permitir.</w:t>
      </w:r>
    </w:p>
    <w:p w14:paraId="34707382" w14:textId="77777777" w:rsidR="00A3708A" w:rsidRPr="00A3708A" w:rsidRDefault="00A3708A" w:rsidP="00A3708A">
      <w:pPr>
        <w:jc w:val="both"/>
        <w:rPr>
          <w:rFonts w:ascii="Verdana" w:hAnsi="Verdana"/>
          <w:sz w:val="22"/>
          <w:szCs w:val="22"/>
        </w:rPr>
      </w:pPr>
      <w:r w:rsidRPr="00A3708A">
        <w:rPr>
          <w:rFonts w:ascii="Verdana" w:hAnsi="Verdana"/>
          <w:sz w:val="22"/>
          <w:szCs w:val="22"/>
        </w:rPr>
        <w:t xml:space="preserve">Por tanto, en virtud del principio de conservación del derecho, resulta necesario proferir una sentencia de </w:t>
      </w:r>
      <w:proofErr w:type="spellStart"/>
      <w:r w:rsidRPr="00A3708A">
        <w:rPr>
          <w:rFonts w:ascii="Verdana" w:hAnsi="Verdana"/>
          <w:sz w:val="22"/>
          <w:szCs w:val="22"/>
        </w:rPr>
        <w:t>exequibilidad</w:t>
      </w:r>
      <w:proofErr w:type="spellEnd"/>
      <w:r w:rsidRPr="00A3708A">
        <w:rPr>
          <w:rFonts w:ascii="Verdana" w:hAnsi="Verdana"/>
          <w:sz w:val="22"/>
          <w:szCs w:val="22"/>
        </w:rPr>
        <w:t xml:space="preserve"> condicionada mediante la cual se considere que no se incurre en el delito de aborto en las hipótesis a las cuales se ha hecho mención con anterioridad. De esta manera se impide que la debida protección a la vida en gestación represente una afectación manifiestamente desproporcionada de los derechos de la mujer embazada.</w:t>
      </w:r>
    </w:p>
    <w:p w14:paraId="590C21FC" w14:textId="1D8607F6" w:rsidR="00A3708A" w:rsidRPr="00A3708A" w:rsidRDefault="00A3708A" w:rsidP="00A3708A">
      <w:pPr>
        <w:jc w:val="both"/>
        <w:rPr>
          <w:rFonts w:ascii="Verdana" w:hAnsi="Verdana"/>
          <w:sz w:val="22"/>
          <w:szCs w:val="22"/>
        </w:rPr>
      </w:pPr>
      <w:r w:rsidRPr="00A3708A">
        <w:rPr>
          <w:rFonts w:ascii="Verdana" w:hAnsi="Verdana"/>
          <w:b/>
          <w:bCs/>
          <w:sz w:val="22"/>
          <w:szCs w:val="22"/>
        </w:rPr>
        <w:lastRenderedPageBreak/>
        <w:t>Se declarará por lo tanto ajustado a la Constitución el artículo </w:t>
      </w:r>
      <w:r w:rsidRPr="00A3708A">
        <w:rPr>
          <w:rFonts w:ascii="Verdana" w:hAnsi="Verdana"/>
          <w:sz w:val="22"/>
          <w:szCs w:val="22"/>
        </w:rPr>
        <w:t>122</w:t>
      </w:r>
      <w:r w:rsidRPr="00A3708A">
        <w:rPr>
          <w:rFonts w:ascii="Verdana" w:hAnsi="Verdana"/>
          <w:b/>
          <w:bCs/>
          <w:sz w:val="22"/>
          <w:szCs w:val="22"/>
        </w:rPr>
        <w:t> del Código Penal en el entendido que no se incurre en delito de aborto, cuando con la voluntad de la mujer, la interrupción del embarazo se produzca en los siguientes casos: a) Cuando la continuación del embarazo constituya peligro para la vida o la salud de la mujer, certificado por un médico; b) cuando exista grave malformación del feto que haga inviable su vida, certificada por un médico; c) cuando el embarazo sea resultado de una conducta, debidamente denunciada, constitutiva de acceso carnal o acto sexual sin consentimiento, abusivo, o de inseminación artificial o de transferencia de óvulo fecundado no consentidas, o de incesto.” </w:t>
      </w:r>
      <w:r w:rsidRPr="00A3708A">
        <w:rPr>
          <w:rFonts w:ascii="Verdana" w:hAnsi="Verdana"/>
          <w:sz w:val="22"/>
          <w:szCs w:val="22"/>
        </w:rPr>
        <w:t>(Negrilla por fuera del texto original).</w:t>
      </w:r>
    </w:p>
    <w:p w14:paraId="41809FA2" w14:textId="62ED1849" w:rsidR="00A3708A" w:rsidRPr="00A3708A" w:rsidRDefault="00A3708A" w:rsidP="00A3708A">
      <w:pPr>
        <w:jc w:val="both"/>
        <w:rPr>
          <w:rFonts w:ascii="Verdana" w:hAnsi="Verdana"/>
          <w:sz w:val="22"/>
          <w:szCs w:val="22"/>
        </w:rPr>
      </w:pPr>
      <w:r w:rsidRPr="00A3708A">
        <w:rPr>
          <w:rFonts w:ascii="Verdana" w:hAnsi="Verdana"/>
          <w:sz w:val="22"/>
          <w:szCs w:val="22"/>
        </w:rPr>
        <w:t>(2) La Sentencia C-355 trae las siguientes:</w:t>
      </w:r>
    </w:p>
    <w:p w14:paraId="7E78D095" w14:textId="77777777" w:rsidR="00A3708A" w:rsidRPr="00A3708A" w:rsidRDefault="00A3708A" w:rsidP="00A3708A">
      <w:pPr>
        <w:jc w:val="both"/>
        <w:rPr>
          <w:rFonts w:ascii="Verdana" w:hAnsi="Verdana"/>
          <w:sz w:val="22"/>
          <w:szCs w:val="22"/>
        </w:rPr>
      </w:pPr>
      <w:r w:rsidRPr="00A3708A">
        <w:rPr>
          <w:rFonts w:ascii="Verdana" w:hAnsi="Verdana"/>
          <w:b/>
          <w:bCs/>
          <w:sz w:val="22"/>
          <w:szCs w:val="22"/>
        </w:rPr>
        <w:t>“11. Consideraciones finales.</w:t>
      </w:r>
    </w:p>
    <w:p w14:paraId="7BE6CFF3" w14:textId="799D4078" w:rsidR="00A3708A" w:rsidRPr="00A3708A" w:rsidRDefault="00A3708A" w:rsidP="00A3708A">
      <w:pPr>
        <w:jc w:val="both"/>
        <w:rPr>
          <w:rFonts w:ascii="Verdana" w:hAnsi="Verdana"/>
          <w:sz w:val="22"/>
          <w:szCs w:val="22"/>
        </w:rPr>
      </w:pPr>
      <w:r w:rsidRPr="00A3708A">
        <w:rPr>
          <w:rFonts w:ascii="Verdana" w:hAnsi="Verdana"/>
          <w:sz w:val="22"/>
          <w:szCs w:val="22"/>
        </w:rPr>
        <w:t>Una vez realizada la ponderación del deber de protección de la vida en gestación y los derechos fundamentales de la mujer embarazada esta Corporación concluyó que la prohibición total del aborto resulta inconstitucional y que por lo tanto el artículo 122 del Código Penal es exequible a condición de que se excluyan de su ámbito las tres hipótesis anteriormente mencionadas, las cuales tienen carácter autónomo e independiente.</w:t>
      </w:r>
    </w:p>
    <w:p w14:paraId="60C485CD" w14:textId="77777777" w:rsidR="00A3708A" w:rsidRPr="00A3708A" w:rsidRDefault="00A3708A" w:rsidP="00A3708A">
      <w:pPr>
        <w:jc w:val="both"/>
        <w:rPr>
          <w:rFonts w:ascii="Verdana" w:hAnsi="Verdana"/>
          <w:sz w:val="22"/>
          <w:szCs w:val="22"/>
        </w:rPr>
      </w:pPr>
      <w:r w:rsidRPr="00A3708A">
        <w:rPr>
          <w:rFonts w:ascii="Verdana" w:hAnsi="Verdana"/>
          <w:sz w:val="22"/>
          <w:szCs w:val="22"/>
        </w:rPr>
        <w:t>Sin embargo, acorde con su potestad de configuración legislativa, el legislador puede determinar que tampoco se incurre en delito de aborto en otros casos adicionales. En esta sentencia, la Corte se limitó a señalar las tres, hipótesis extremas violatorias de la Constitución, en las que, con la voluntad de la mujer y previo el cumplimiento del requisito pertinente, se produce la interrupción del embarazo. Sin embargo, además de estas hipótesis, el legislador puede prever otras en las cuales la política pública frente al aborto no pase por la sanción penal, atendiendo a las circunstancias en las cuales éste es practicado, así como a la educación de la sociedad y a los objetivos de la política de salud pública.</w:t>
      </w:r>
    </w:p>
    <w:p w14:paraId="6E4DF24B" w14:textId="77777777" w:rsidR="00A3708A" w:rsidRPr="00A3708A" w:rsidRDefault="00A3708A" w:rsidP="00A3708A">
      <w:pPr>
        <w:jc w:val="both"/>
        <w:rPr>
          <w:rFonts w:ascii="Verdana" w:hAnsi="Verdana"/>
          <w:sz w:val="22"/>
          <w:szCs w:val="22"/>
        </w:rPr>
      </w:pPr>
      <w:r w:rsidRPr="00A3708A">
        <w:rPr>
          <w:rFonts w:ascii="Verdana" w:hAnsi="Verdana"/>
          <w:b/>
          <w:bCs/>
          <w:sz w:val="22"/>
          <w:szCs w:val="22"/>
        </w:rPr>
        <w:t>Para todos los efectos jurídicos, incluyendo la aplicación del principio de favorabilidad, las decisiones adoptadas en esta sentencia tienen </w:t>
      </w:r>
      <w:r w:rsidRPr="00A3708A">
        <w:rPr>
          <w:rFonts w:ascii="Verdana" w:hAnsi="Verdana"/>
          <w:b/>
          <w:bCs/>
          <w:sz w:val="22"/>
          <w:szCs w:val="22"/>
          <w:u w:val="single"/>
        </w:rPr>
        <w:t>vigencia inmediata</w:t>
      </w:r>
      <w:r w:rsidRPr="00A3708A">
        <w:rPr>
          <w:rFonts w:ascii="Verdana" w:hAnsi="Verdana"/>
          <w:b/>
          <w:bCs/>
          <w:sz w:val="22"/>
          <w:szCs w:val="22"/>
        </w:rPr>
        <w:t> y el goce de los derechos por ésta protegidos no requiere de desarrollo legal o reglamentario alguno.</w:t>
      </w:r>
    </w:p>
    <w:p w14:paraId="3F552BDF" w14:textId="77777777" w:rsidR="00A3708A" w:rsidRPr="00A3708A" w:rsidRDefault="00A3708A" w:rsidP="00A3708A">
      <w:pPr>
        <w:jc w:val="both"/>
        <w:rPr>
          <w:rFonts w:ascii="Verdana" w:hAnsi="Verdana"/>
          <w:sz w:val="22"/>
          <w:szCs w:val="22"/>
        </w:rPr>
      </w:pPr>
      <w:r w:rsidRPr="00A3708A">
        <w:rPr>
          <w:rFonts w:ascii="Verdana" w:hAnsi="Verdana"/>
          <w:sz w:val="22"/>
          <w:szCs w:val="22"/>
        </w:rPr>
        <w:t>Lo anterior no obsta para que los órganos competentes, si lo consideran conveniente, expidan normas que fijen políticas públicas acordes con esta decisión.</w:t>
      </w:r>
    </w:p>
    <w:p w14:paraId="4180D0F8" w14:textId="77777777" w:rsidR="00A3708A" w:rsidRPr="00A3708A" w:rsidRDefault="00A3708A" w:rsidP="00A3708A">
      <w:pPr>
        <w:jc w:val="both"/>
        <w:rPr>
          <w:rFonts w:ascii="Verdana" w:hAnsi="Verdana"/>
          <w:sz w:val="22"/>
          <w:szCs w:val="22"/>
        </w:rPr>
      </w:pPr>
      <w:r w:rsidRPr="00A3708A">
        <w:rPr>
          <w:rFonts w:ascii="Verdana" w:hAnsi="Verdana"/>
          <w:b/>
          <w:bCs/>
          <w:sz w:val="22"/>
          <w:szCs w:val="22"/>
        </w:rPr>
        <w:t xml:space="preserve">Debe aclarar la Corte, que la decisión adoptada en esta </w:t>
      </w:r>
      <w:proofErr w:type="gramStart"/>
      <w:r w:rsidRPr="00A3708A">
        <w:rPr>
          <w:rFonts w:ascii="Verdana" w:hAnsi="Verdana"/>
          <w:b/>
          <w:bCs/>
          <w:sz w:val="22"/>
          <w:szCs w:val="22"/>
        </w:rPr>
        <w:t>sentencia,</w:t>
      </w:r>
      <w:proofErr w:type="gramEnd"/>
      <w:r w:rsidRPr="00A3708A">
        <w:rPr>
          <w:rFonts w:ascii="Verdana" w:hAnsi="Verdana"/>
          <w:b/>
          <w:bCs/>
          <w:sz w:val="22"/>
          <w:szCs w:val="22"/>
        </w:rPr>
        <w:t xml:space="preserve"> no implica una obligación para las mujeres de adoptar la opción de abortar</w:t>
      </w:r>
      <w:r w:rsidRPr="00A3708A">
        <w:rPr>
          <w:rFonts w:ascii="Verdana" w:hAnsi="Verdana"/>
          <w:sz w:val="22"/>
          <w:szCs w:val="22"/>
        </w:rPr>
        <w:t xml:space="preserve">. Por el contrario, en el evento de que una mujer se encuentre en alguna de las </w:t>
      </w:r>
      <w:r w:rsidRPr="00A3708A">
        <w:rPr>
          <w:rFonts w:ascii="Verdana" w:hAnsi="Verdana"/>
          <w:sz w:val="22"/>
          <w:szCs w:val="22"/>
        </w:rPr>
        <w:lastRenderedPageBreak/>
        <w:t>causales de excepción, ésta puede decidir continuar con su embarazo, y tal determinación tiene amplio respaldo constitucional. No obstante, lo que determina la Corte en esta oportunidad, es permitir a las mujeres que se encuentren en alguna de las situaciones excepcionales, que puedan acorde con los fundamentos de esta sentencia, decidir la interrupción de su embarazo sin consecuencias de carácter penal, siendo entonces imprescindible, en todos los casos, su consentimiento. (La negrilla y la subraya por fuera del texto original).</w:t>
      </w:r>
    </w:p>
    <w:p w14:paraId="05DD9476" w14:textId="77777777" w:rsidR="00A3708A" w:rsidRPr="00A3708A" w:rsidRDefault="00A3708A" w:rsidP="00A3708A">
      <w:pPr>
        <w:jc w:val="both"/>
        <w:rPr>
          <w:rFonts w:ascii="Verdana" w:hAnsi="Verdana"/>
          <w:sz w:val="22"/>
          <w:szCs w:val="22"/>
        </w:rPr>
      </w:pPr>
      <w:r w:rsidRPr="00A3708A">
        <w:rPr>
          <w:rFonts w:ascii="Verdana" w:hAnsi="Verdana"/>
          <w:sz w:val="22"/>
          <w:szCs w:val="22"/>
        </w:rPr>
        <w:t>(3) Entre, otras cosas, la H. Corte Resuelve:</w:t>
      </w:r>
    </w:p>
    <w:p w14:paraId="20952898" w14:textId="6018169B" w:rsidR="00A3708A" w:rsidRPr="00A3708A" w:rsidRDefault="00A3708A" w:rsidP="00A3708A">
      <w:pPr>
        <w:jc w:val="both"/>
        <w:rPr>
          <w:rFonts w:ascii="Verdana" w:hAnsi="Verdana"/>
          <w:sz w:val="22"/>
          <w:szCs w:val="22"/>
        </w:rPr>
      </w:pPr>
      <w:r w:rsidRPr="00A3708A">
        <w:rPr>
          <w:rFonts w:ascii="Verdana" w:hAnsi="Verdana"/>
          <w:sz w:val="22"/>
          <w:szCs w:val="22"/>
        </w:rPr>
        <w:t>“(...) </w:t>
      </w:r>
      <w:r w:rsidRPr="00A3708A">
        <w:rPr>
          <w:rFonts w:ascii="Verdana" w:hAnsi="Verdana"/>
          <w:b/>
          <w:bCs/>
          <w:sz w:val="22"/>
          <w:szCs w:val="22"/>
        </w:rPr>
        <w:t>Tercero</w:t>
      </w:r>
      <w:r w:rsidRPr="00A3708A">
        <w:rPr>
          <w:rFonts w:ascii="Verdana" w:hAnsi="Verdana"/>
          <w:sz w:val="22"/>
          <w:szCs w:val="22"/>
        </w:rPr>
        <w:t>. Declarar </w:t>
      </w:r>
      <w:r w:rsidRPr="00A3708A">
        <w:rPr>
          <w:rFonts w:ascii="Verdana" w:hAnsi="Verdana"/>
          <w:b/>
          <w:bCs/>
          <w:sz w:val="22"/>
          <w:szCs w:val="22"/>
        </w:rPr>
        <w:t>EXEQUIBLE</w:t>
      </w:r>
      <w:r w:rsidRPr="00A3708A">
        <w:rPr>
          <w:rFonts w:ascii="Verdana" w:hAnsi="Verdana"/>
          <w:sz w:val="22"/>
          <w:szCs w:val="22"/>
        </w:rPr>
        <w:t> el artículo 122 de la Ley 599 de 2000, en el entendido que </w:t>
      </w:r>
      <w:r w:rsidRPr="00A3708A">
        <w:rPr>
          <w:rFonts w:ascii="Verdana" w:hAnsi="Verdana"/>
          <w:b/>
          <w:bCs/>
          <w:sz w:val="22"/>
          <w:szCs w:val="22"/>
        </w:rPr>
        <w:t>no se incurre en delito de aborto, cuando con la voluntad de la mujer, la interrupción del embarazo se produzca en los siguientes casos: (i) Cuando la continuación del embarazo constituya peligro para la vida o la salud de la mujer, certificada por un médico; (</w:t>
      </w:r>
      <w:proofErr w:type="spellStart"/>
      <w:r w:rsidRPr="00A3708A">
        <w:rPr>
          <w:rFonts w:ascii="Verdana" w:hAnsi="Verdana"/>
          <w:b/>
          <w:bCs/>
          <w:sz w:val="22"/>
          <w:szCs w:val="22"/>
        </w:rPr>
        <w:t>ii</w:t>
      </w:r>
      <w:proofErr w:type="spellEnd"/>
      <w:r w:rsidRPr="00A3708A">
        <w:rPr>
          <w:rFonts w:ascii="Verdana" w:hAnsi="Verdana"/>
          <w:b/>
          <w:bCs/>
          <w:sz w:val="22"/>
          <w:szCs w:val="22"/>
        </w:rPr>
        <w:t>) Cuando exista grave malformación del feto que haga inviable su vida, certificada por un médico; y, (</w:t>
      </w:r>
      <w:proofErr w:type="spellStart"/>
      <w:r w:rsidRPr="00A3708A">
        <w:rPr>
          <w:rFonts w:ascii="Verdana" w:hAnsi="Verdana"/>
          <w:b/>
          <w:bCs/>
          <w:sz w:val="22"/>
          <w:szCs w:val="22"/>
        </w:rPr>
        <w:t>iii</w:t>
      </w:r>
      <w:proofErr w:type="spellEnd"/>
      <w:r w:rsidRPr="00A3708A">
        <w:rPr>
          <w:rFonts w:ascii="Verdana" w:hAnsi="Verdana"/>
          <w:b/>
          <w:bCs/>
          <w:sz w:val="22"/>
          <w:szCs w:val="22"/>
        </w:rPr>
        <w:t>) Cuando el embarazo sea el resultado de una conducta, debidamente denunciada, constitutiva de acceso carnal o acto sexual sin consentimiento, abusivo o de inseminación artificial o transferencia de óvulo fecundado no consentidas, o de incesto.”</w:t>
      </w:r>
    </w:p>
    <w:p w14:paraId="15430BC4" w14:textId="77777777" w:rsidR="00A3708A" w:rsidRPr="00A3708A" w:rsidRDefault="00A3708A" w:rsidP="00A3708A">
      <w:pPr>
        <w:jc w:val="both"/>
        <w:rPr>
          <w:rFonts w:ascii="Verdana" w:hAnsi="Verdana"/>
          <w:sz w:val="22"/>
          <w:szCs w:val="22"/>
        </w:rPr>
      </w:pPr>
      <w:r w:rsidRPr="00A3708A">
        <w:rPr>
          <w:rFonts w:ascii="Verdana" w:hAnsi="Verdana"/>
          <w:sz w:val="22"/>
          <w:szCs w:val="22"/>
        </w:rPr>
        <w:t>Se entiende que cuando la H. Corte hace referencia a “la mujer”, esta consideración incluye tanto a las niñas menores de catorce (14) años como las adolescentes entre catorce (14) y dieciocho (18) años y a las mujeres mayores de edad.</w:t>
      </w:r>
    </w:p>
    <w:p w14:paraId="482708B0" w14:textId="5B44F91E" w:rsidR="00A3708A" w:rsidRPr="00A3708A" w:rsidRDefault="00A3708A" w:rsidP="00A3708A">
      <w:pPr>
        <w:jc w:val="both"/>
        <w:rPr>
          <w:rFonts w:ascii="Verdana" w:hAnsi="Verdana"/>
          <w:sz w:val="22"/>
          <w:szCs w:val="22"/>
        </w:rPr>
      </w:pPr>
      <w:r w:rsidRPr="00A3708A">
        <w:rPr>
          <w:rFonts w:ascii="Verdana" w:hAnsi="Verdana"/>
          <w:sz w:val="22"/>
          <w:szCs w:val="22"/>
        </w:rPr>
        <w:t>Frente al delicado y complejo tema de las niñas menores de catorce (14) años, la Corte al pronunciarse sobre la expresión </w:t>
      </w:r>
      <w:r w:rsidRPr="00A3708A">
        <w:rPr>
          <w:rFonts w:ascii="Verdana" w:hAnsi="Verdana"/>
          <w:i/>
          <w:iCs/>
          <w:sz w:val="22"/>
          <w:szCs w:val="22"/>
        </w:rPr>
        <w:t>“o en mujer menor de catorce años” </w:t>
      </w:r>
      <w:r w:rsidRPr="00A3708A">
        <w:rPr>
          <w:rFonts w:ascii="Verdana" w:hAnsi="Verdana"/>
          <w:sz w:val="22"/>
          <w:szCs w:val="22"/>
        </w:rPr>
        <w:t>contenida en el artículo 123 del Código Penal, entre otras cosas, claramente señaló:</w:t>
      </w:r>
    </w:p>
    <w:p w14:paraId="1C852168" w14:textId="77777777" w:rsidR="00A3708A" w:rsidRPr="00A3708A" w:rsidRDefault="00A3708A" w:rsidP="00A3708A">
      <w:pPr>
        <w:jc w:val="both"/>
        <w:rPr>
          <w:rFonts w:ascii="Verdana" w:hAnsi="Verdana"/>
          <w:sz w:val="22"/>
          <w:szCs w:val="22"/>
        </w:rPr>
      </w:pPr>
      <w:r w:rsidRPr="00A3708A">
        <w:rPr>
          <w:rFonts w:ascii="Verdana" w:hAnsi="Verdana"/>
          <w:sz w:val="22"/>
          <w:szCs w:val="22"/>
        </w:rPr>
        <w:t>“(...) Se tiene entonces, </w:t>
      </w:r>
      <w:r w:rsidRPr="00A3708A">
        <w:rPr>
          <w:rFonts w:ascii="Verdana" w:hAnsi="Verdana"/>
          <w:b/>
          <w:bCs/>
          <w:sz w:val="22"/>
          <w:szCs w:val="22"/>
        </w:rPr>
        <w:t>que la jurisprudencia constitucional ha reconocido en los menores la titularidad del derecho al libre desarrollo de la personalidad y la posibilidad de consentir tratamientos e intervenciones sobre su cuerpo, aun cuando tengan un carácter altamente invasivo. En esta medida, descarta que criterios de carácter meramente objetivo, como la edad, sean los únicos determinantes para establecer el alcance del consentimiento libremente formulado por los menores para autorizar tratamientos e intervenciones sobre su cuerpo. En materia de aborto el legislador, si lo estima conveniente, podrá establecer reglas específicas en el futuro sobre representación, tutela o curatela sin menoscabar el consentimiento de la menor de catorce años.</w:t>
      </w:r>
    </w:p>
    <w:p w14:paraId="3A5F419D" w14:textId="1EB7B3E9" w:rsidR="00A3708A" w:rsidRPr="00A3708A" w:rsidRDefault="00A3708A" w:rsidP="00A3708A">
      <w:pPr>
        <w:jc w:val="both"/>
        <w:rPr>
          <w:rFonts w:ascii="Verdana" w:hAnsi="Verdana"/>
          <w:sz w:val="22"/>
          <w:szCs w:val="22"/>
        </w:rPr>
      </w:pPr>
      <w:r w:rsidRPr="00A3708A">
        <w:rPr>
          <w:rFonts w:ascii="Verdana" w:hAnsi="Verdana"/>
          <w:sz w:val="22"/>
          <w:szCs w:val="22"/>
        </w:rPr>
        <w:t xml:space="preserve">Desde esta perspectiva, una medida de protección que despoje de relevancia jurídica el consentimiento del menor, como lo constituye la expresión demandada </w:t>
      </w:r>
      <w:r w:rsidRPr="00A3708A">
        <w:rPr>
          <w:rFonts w:ascii="Verdana" w:hAnsi="Verdana"/>
          <w:sz w:val="22"/>
          <w:szCs w:val="22"/>
        </w:rPr>
        <w:lastRenderedPageBreak/>
        <w:t>del artículo 123 del Código Penal resulta inconstitucional porque anula totalmente el libre desarrollo de la personalidad, la autonomía y la dignidad de los menores.</w:t>
      </w:r>
    </w:p>
    <w:p w14:paraId="7364EBAA" w14:textId="4B358290" w:rsidR="00A3708A" w:rsidRPr="00A3708A" w:rsidRDefault="00A3708A" w:rsidP="00A3708A">
      <w:pPr>
        <w:jc w:val="both"/>
        <w:rPr>
          <w:rFonts w:ascii="Verdana" w:hAnsi="Verdana"/>
          <w:sz w:val="22"/>
          <w:szCs w:val="22"/>
        </w:rPr>
      </w:pPr>
      <w:r w:rsidRPr="00A3708A">
        <w:rPr>
          <w:rFonts w:ascii="Verdana" w:hAnsi="Verdana"/>
          <w:sz w:val="22"/>
          <w:szCs w:val="22"/>
        </w:rPr>
        <w:t>Adicionalmente, esta medida de protección se revela incluso como contraproducente, y no resultaría idónea para conseguir el propósito perseguido, en aquellos eventos que sea necesario practicar un aborto para garantizar la vida o la salud de una menor embarazada. En efecto, dada la presunción establecida por el legislador cualquier persona que practique un aborto en una menor de catorce años sería autor del delito tipificado en el artículo 123 del Código Penal, aun cuando esta intervención sea necesaria para proteger la vida y la salud de la menor y sea consentida por la gestante.</w:t>
      </w:r>
    </w:p>
    <w:p w14:paraId="01B1CB7A" w14:textId="5F402F62" w:rsidR="00A3708A" w:rsidRPr="00A3708A" w:rsidRDefault="00A3708A" w:rsidP="00A3708A">
      <w:pPr>
        <w:jc w:val="both"/>
        <w:rPr>
          <w:rFonts w:ascii="Verdana" w:hAnsi="Verdana"/>
          <w:sz w:val="22"/>
          <w:szCs w:val="22"/>
        </w:rPr>
      </w:pPr>
      <w:r w:rsidRPr="00A3708A">
        <w:rPr>
          <w:rFonts w:ascii="Verdana" w:hAnsi="Verdana"/>
          <w:sz w:val="22"/>
          <w:szCs w:val="22"/>
        </w:rPr>
        <w:t>Por las anteriores razones es menester </w:t>
      </w:r>
      <w:r w:rsidRPr="00A3708A">
        <w:rPr>
          <w:rFonts w:ascii="Verdana" w:hAnsi="Verdana"/>
          <w:b/>
          <w:bCs/>
          <w:sz w:val="22"/>
          <w:szCs w:val="22"/>
        </w:rPr>
        <w:t>concluir</w:t>
      </w:r>
      <w:r w:rsidRPr="00A3708A">
        <w:rPr>
          <w:rFonts w:ascii="Verdana" w:hAnsi="Verdana"/>
          <w:sz w:val="22"/>
          <w:szCs w:val="22"/>
        </w:rPr>
        <w:t> que por anular los derechos fundamentales al libre desarrollo de la personalidad, a la autonomía y a la dignidad de la menor embarazada y adicionalmente, por no resultar adecuada para conseguir los fines que se propone, la medida establecida por el artículo 123 del Código Penal resulta claramente desproporcionada y por lo tanto inconstitucional, razón por la cual la expresión “o en mujer menor de catorce años” contenida en el artículo 123 del Código Penal será declarada inexequible.” (La negrilla por fuera del texto original).</w:t>
      </w:r>
    </w:p>
    <w:p w14:paraId="1CD7BE65" w14:textId="12CD3008" w:rsidR="00A3708A" w:rsidRPr="00A3708A" w:rsidRDefault="00A3708A" w:rsidP="00A3708A">
      <w:pPr>
        <w:jc w:val="both"/>
        <w:rPr>
          <w:rFonts w:ascii="Verdana" w:hAnsi="Verdana"/>
          <w:sz w:val="22"/>
          <w:szCs w:val="22"/>
        </w:rPr>
      </w:pPr>
      <w:r w:rsidRPr="00A3708A">
        <w:rPr>
          <w:rFonts w:ascii="Verdana" w:hAnsi="Verdana"/>
          <w:sz w:val="22"/>
          <w:szCs w:val="22"/>
        </w:rPr>
        <w:t>Visto lo anterior, la Dirección General, hace un llamado especial a los Directores Regionales y Seccionales, a los Coordinadores de los Centros Zonales en todo el país, a los Defensores de Familia y los Equipos Técnicos para que en los casos en que niñas o adolescentes en los eventos señalados en el numeral tercero de la parte Resolutiva de la Sentencia C-355 de 2006, decidan interrumpir su embarazo estén atentos a prestar la protección preventiva o especial a que haya lugar en cada caso en particular y en concreto y acudan con toda celeridad y eficiencia al llamado que realicen los organismos de salud para brindar la protección que la Constitución y la ley en el ámbito de sus competencias le ordena al ICBF prestar teniendo los Defensores de Familia y los profesionales de los Equipos Técnicos de los Centros Zonales la obligación de brindar el acompañamiento y seguimiento a los casos y de manera especial brindar las </w:t>
      </w:r>
      <w:r w:rsidRPr="00A3708A">
        <w:rPr>
          <w:rFonts w:ascii="Verdana" w:hAnsi="Verdana"/>
          <w:b/>
          <w:bCs/>
          <w:sz w:val="22"/>
          <w:szCs w:val="22"/>
        </w:rPr>
        <w:t>medidas de protección o de restablecimiento de derechos</w:t>
      </w:r>
      <w:r w:rsidRPr="00A3708A">
        <w:rPr>
          <w:rFonts w:ascii="Verdana" w:hAnsi="Verdana"/>
          <w:sz w:val="22"/>
          <w:szCs w:val="22"/>
        </w:rPr>
        <w:t>, así como garantizar el </w:t>
      </w:r>
      <w:r w:rsidRPr="00A3708A">
        <w:rPr>
          <w:rFonts w:ascii="Verdana" w:hAnsi="Verdana"/>
          <w:b/>
          <w:bCs/>
          <w:sz w:val="22"/>
          <w:szCs w:val="22"/>
        </w:rPr>
        <w:t>apoyo psicoterapéutico</w:t>
      </w:r>
      <w:r w:rsidRPr="00A3708A">
        <w:rPr>
          <w:rFonts w:ascii="Verdana" w:hAnsi="Verdana"/>
          <w:sz w:val="22"/>
          <w:szCs w:val="22"/>
        </w:rPr>
        <w:t> previo y posterior al procedimiento médico y el </w:t>
      </w:r>
      <w:r w:rsidRPr="00A3708A">
        <w:rPr>
          <w:rFonts w:ascii="Verdana" w:hAnsi="Verdana"/>
          <w:b/>
          <w:bCs/>
          <w:sz w:val="22"/>
          <w:szCs w:val="22"/>
        </w:rPr>
        <w:t>apoyo social</w:t>
      </w:r>
      <w:r w:rsidRPr="00A3708A">
        <w:rPr>
          <w:rFonts w:ascii="Verdana" w:hAnsi="Verdana"/>
          <w:sz w:val="22"/>
          <w:szCs w:val="22"/>
        </w:rPr>
        <w:t> que requieran tanto las niñas o adolescentes como la familia.</w:t>
      </w:r>
    </w:p>
    <w:p w14:paraId="1BAFEF94" w14:textId="77777777" w:rsidR="00A3708A" w:rsidRPr="00A3708A" w:rsidRDefault="00A3708A" w:rsidP="00A3708A">
      <w:pPr>
        <w:jc w:val="both"/>
        <w:rPr>
          <w:rFonts w:ascii="Verdana" w:hAnsi="Verdana"/>
          <w:sz w:val="22"/>
          <w:szCs w:val="22"/>
        </w:rPr>
      </w:pPr>
      <w:r w:rsidRPr="00A3708A">
        <w:rPr>
          <w:rFonts w:ascii="Verdana" w:hAnsi="Verdana"/>
          <w:sz w:val="22"/>
          <w:szCs w:val="22"/>
        </w:rPr>
        <w:t>&lt;sic&gt; previo y posterior al procedimiento médico y el apoyo social que requieran tanto las niñas o adolescentes como la familia.</w:t>
      </w:r>
    </w:p>
    <w:p w14:paraId="4786C4CD" w14:textId="77777777" w:rsidR="00A3708A" w:rsidRPr="00A3708A" w:rsidRDefault="00A3708A" w:rsidP="00A3708A">
      <w:pPr>
        <w:jc w:val="both"/>
        <w:rPr>
          <w:rFonts w:ascii="Verdana" w:hAnsi="Verdana"/>
          <w:sz w:val="22"/>
          <w:szCs w:val="22"/>
        </w:rPr>
      </w:pPr>
      <w:r w:rsidRPr="00A3708A">
        <w:rPr>
          <w:rFonts w:ascii="Verdana" w:hAnsi="Verdana"/>
          <w:sz w:val="22"/>
          <w:szCs w:val="22"/>
        </w:rPr>
        <w:t xml:space="preserve">Debe quedar claro que los servidores públicos del ICBF, en ningún caso, ni por iniciativa propia, ni a solicitud de los familiares, ni por solicitud de las autoridades </w:t>
      </w:r>
      <w:r w:rsidRPr="00A3708A">
        <w:rPr>
          <w:rFonts w:ascii="Verdana" w:hAnsi="Verdana"/>
          <w:sz w:val="22"/>
          <w:szCs w:val="22"/>
        </w:rPr>
        <w:lastRenderedPageBreak/>
        <w:t>de salud o del cuerpo médico o auxiliar, pueden ni deben intervenir en sentido alguno, ni a favor ni en contra en la decisión que se tome respecto de la interrupción del embarazo.</w:t>
      </w:r>
    </w:p>
    <w:p w14:paraId="1838C39E" w14:textId="0545DF4A" w:rsidR="00A3708A" w:rsidRPr="00A3708A" w:rsidRDefault="00A3708A" w:rsidP="00A3708A">
      <w:pPr>
        <w:jc w:val="both"/>
        <w:rPr>
          <w:rFonts w:ascii="Verdana" w:hAnsi="Verdana"/>
          <w:sz w:val="22"/>
          <w:szCs w:val="22"/>
        </w:rPr>
      </w:pPr>
      <w:r w:rsidRPr="00A3708A">
        <w:rPr>
          <w:rFonts w:ascii="Verdana" w:hAnsi="Verdana"/>
          <w:sz w:val="22"/>
          <w:szCs w:val="22"/>
        </w:rPr>
        <w:t>En suma, los servidores públicos del ICBF deben respetar la autonomía de la voluntad de las niñas y adolescentes que decidan sobre la interrupción del embarazo en las situaciones que establece la Doctrina Constitucional en la Sentencia C-355 de 2006 y brindar el apoyo psicoterapéutico, social y las medidas de protección preventiva o especial que amerite cada caso en particular y en concreto con el fin de garantizar la prevalencia de los derechos humanos fundamentales de niñas y adolescentes y su interés jurídico superior.</w:t>
      </w:r>
    </w:p>
    <w:p w14:paraId="54B54164" w14:textId="77777777" w:rsidR="00A3708A" w:rsidRDefault="00A3708A" w:rsidP="00A3708A">
      <w:pPr>
        <w:jc w:val="both"/>
        <w:rPr>
          <w:rFonts w:ascii="Verdana" w:hAnsi="Verdana"/>
          <w:sz w:val="22"/>
          <w:szCs w:val="22"/>
        </w:rPr>
      </w:pPr>
      <w:r w:rsidRPr="00A3708A">
        <w:rPr>
          <w:rFonts w:ascii="Verdana" w:hAnsi="Verdana"/>
          <w:sz w:val="22"/>
          <w:szCs w:val="22"/>
        </w:rPr>
        <w:t>Sírvanse divulgar esta Circular a todos los servidores públicos del ICBF y a las autoridades de salud de su jurisdicción.</w:t>
      </w:r>
    </w:p>
    <w:p w14:paraId="78B9620D" w14:textId="77777777" w:rsidR="00A3708A" w:rsidRPr="00A3708A" w:rsidRDefault="00A3708A" w:rsidP="00A3708A">
      <w:pPr>
        <w:jc w:val="both"/>
        <w:rPr>
          <w:rFonts w:ascii="Verdana" w:hAnsi="Verdana"/>
          <w:sz w:val="22"/>
          <w:szCs w:val="22"/>
        </w:rPr>
      </w:pPr>
    </w:p>
    <w:p w14:paraId="489A6D9F" w14:textId="77777777" w:rsidR="00A3708A" w:rsidRPr="00A3708A" w:rsidRDefault="00A3708A" w:rsidP="00A3708A">
      <w:pPr>
        <w:jc w:val="center"/>
        <w:rPr>
          <w:rFonts w:ascii="Verdana" w:hAnsi="Verdana"/>
          <w:sz w:val="22"/>
          <w:szCs w:val="22"/>
        </w:rPr>
      </w:pPr>
      <w:r w:rsidRPr="00A3708A">
        <w:rPr>
          <w:rFonts w:ascii="Verdana" w:hAnsi="Verdana"/>
          <w:b/>
          <w:bCs/>
          <w:sz w:val="22"/>
          <w:szCs w:val="22"/>
        </w:rPr>
        <w:t>GERARDO BURGOS BERNAL</w:t>
      </w:r>
    </w:p>
    <w:p w14:paraId="676C53DC" w14:textId="77777777" w:rsidR="00A3708A" w:rsidRPr="00A3708A" w:rsidRDefault="00A3708A" w:rsidP="00A3708A">
      <w:pPr>
        <w:jc w:val="center"/>
        <w:rPr>
          <w:rFonts w:ascii="Verdana" w:hAnsi="Verdana"/>
          <w:sz w:val="22"/>
          <w:szCs w:val="22"/>
        </w:rPr>
      </w:pPr>
      <w:r w:rsidRPr="00A3708A">
        <w:rPr>
          <w:rFonts w:ascii="Verdana" w:hAnsi="Verdana"/>
          <w:sz w:val="22"/>
          <w:szCs w:val="22"/>
        </w:rPr>
        <w:t>Secretario General Encargado de las</w:t>
      </w:r>
    </w:p>
    <w:p w14:paraId="41DA1CBA" w14:textId="77777777" w:rsidR="00A3708A" w:rsidRPr="00A3708A" w:rsidRDefault="00A3708A" w:rsidP="00A3708A">
      <w:pPr>
        <w:jc w:val="center"/>
        <w:rPr>
          <w:rFonts w:ascii="Verdana" w:hAnsi="Verdana"/>
          <w:sz w:val="22"/>
          <w:szCs w:val="22"/>
        </w:rPr>
      </w:pPr>
      <w:r w:rsidRPr="00A3708A">
        <w:rPr>
          <w:rFonts w:ascii="Verdana" w:hAnsi="Verdana"/>
          <w:sz w:val="22"/>
          <w:szCs w:val="22"/>
        </w:rPr>
        <w:t xml:space="preserve">Funciones de </w:t>
      </w:r>
      <w:proofErr w:type="gramStart"/>
      <w:r w:rsidRPr="00A3708A">
        <w:rPr>
          <w:rFonts w:ascii="Verdana" w:hAnsi="Verdana"/>
          <w:sz w:val="22"/>
          <w:szCs w:val="22"/>
        </w:rPr>
        <w:t>Director General</w:t>
      </w:r>
      <w:proofErr w:type="gramEnd"/>
    </w:p>
    <w:p w14:paraId="1B3220AA" w14:textId="77777777" w:rsidR="00A3708A" w:rsidRPr="00A3708A" w:rsidRDefault="00A3708A" w:rsidP="00A3708A">
      <w:pPr>
        <w:jc w:val="both"/>
        <w:rPr>
          <w:rFonts w:ascii="Verdana" w:hAnsi="Verdana"/>
          <w:sz w:val="22"/>
          <w:szCs w:val="22"/>
        </w:rPr>
      </w:pPr>
    </w:p>
    <w:sectPr w:rsidR="00A3708A" w:rsidRPr="00A370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8A"/>
    <w:rsid w:val="00403D67"/>
    <w:rsid w:val="00A370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73A3"/>
  <w15:chartTrackingRefBased/>
  <w15:docId w15:val="{107C3B84-6505-4481-81B9-5442FF20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7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7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70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70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70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70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70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70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70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0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70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70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70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70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70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70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70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708A"/>
    <w:rPr>
      <w:rFonts w:eastAsiaTheme="majorEastAsia" w:cstheme="majorBidi"/>
      <w:color w:val="272727" w:themeColor="text1" w:themeTint="D8"/>
    </w:rPr>
  </w:style>
  <w:style w:type="paragraph" w:styleId="Ttulo">
    <w:name w:val="Title"/>
    <w:basedOn w:val="Normal"/>
    <w:next w:val="Normal"/>
    <w:link w:val="TtuloCar"/>
    <w:uiPriority w:val="10"/>
    <w:qFormat/>
    <w:rsid w:val="00A3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70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70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70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708A"/>
    <w:pPr>
      <w:spacing w:before="160"/>
      <w:jc w:val="center"/>
    </w:pPr>
    <w:rPr>
      <w:i/>
      <w:iCs/>
      <w:color w:val="404040" w:themeColor="text1" w:themeTint="BF"/>
    </w:rPr>
  </w:style>
  <w:style w:type="character" w:customStyle="1" w:styleId="CitaCar">
    <w:name w:val="Cita Car"/>
    <w:basedOn w:val="Fuentedeprrafopredeter"/>
    <w:link w:val="Cita"/>
    <w:uiPriority w:val="29"/>
    <w:rsid w:val="00A3708A"/>
    <w:rPr>
      <w:i/>
      <w:iCs/>
      <w:color w:val="404040" w:themeColor="text1" w:themeTint="BF"/>
    </w:rPr>
  </w:style>
  <w:style w:type="paragraph" w:styleId="Prrafodelista">
    <w:name w:val="List Paragraph"/>
    <w:basedOn w:val="Normal"/>
    <w:uiPriority w:val="34"/>
    <w:qFormat/>
    <w:rsid w:val="00A3708A"/>
    <w:pPr>
      <w:ind w:left="720"/>
      <w:contextualSpacing/>
    </w:pPr>
  </w:style>
  <w:style w:type="character" w:styleId="nfasisintenso">
    <w:name w:val="Intense Emphasis"/>
    <w:basedOn w:val="Fuentedeprrafopredeter"/>
    <w:uiPriority w:val="21"/>
    <w:qFormat/>
    <w:rsid w:val="00A3708A"/>
    <w:rPr>
      <w:i/>
      <w:iCs/>
      <w:color w:val="0F4761" w:themeColor="accent1" w:themeShade="BF"/>
    </w:rPr>
  </w:style>
  <w:style w:type="paragraph" w:styleId="Citadestacada">
    <w:name w:val="Intense Quote"/>
    <w:basedOn w:val="Normal"/>
    <w:next w:val="Normal"/>
    <w:link w:val="CitadestacadaCar"/>
    <w:uiPriority w:val="30"/>
    <w:qFormat/>
    <w:rsid w:val="00A37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708A"/>
    <w:rPr>
      <w:i/>
      <w:iCs/>
      <w:color w:val="0F4761" w:themeColor="accent1" w:themeShade="BF"/>
    </w:rPr>
  </w:style>
  <w:style w:type="character" w:styleId="Referenciaintensa">
    <w:name w:val="Intense Reference"/>
    <w:basedOn w:val="Fuentedeprrafopredeter"/>
    <w:uiPriority w:val="32"/>
    <w:qFormat/>
    <w:rsid w:val="00A3708A"/>
    <w:rPr>
      <w:b/>
      <w:bCs/>
      <w:smallCaps/>
      <w:color w:val="0F4761" w:themeColor="accent1" w:themeShade="BF"/>
      <w:spacing w:val="5"/>
    </w:rPr>
  </w:style>
  <w:style w:type="character" w:styleId="Hipervnculo">
    <w:name w:val="Hyperlink"/>
    <w:basedOn w:val="Fuentedeprrafopredeter"/>
    <w:uiPriority w:val="99"/>
    <w:unhideWhenUsed/>
    <w:rsid w:val="00A3708A"/>
    <w:rPr>
      <w:color w:val="467886" w:themeColor="hyperlink"/>
      <w:u w:val="single"/>
    </w:rPr>
  </w:style>
  <w:style w:type="character" w:styleId="Mencinsinresolver">
    <w:name w:val="Unresolved Mention"/>
    <w:basedOn w:val="Fuentedeprrafopredeter"/>
    <w:uiPriority w:val="99"/>
    <w:semiHidden/>
    <w:unhideWhenUsed/>
    <w:rsid w:val="00A3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86E5A-4499-4366-95C9-107C36B9A22A}"/>
</file>

<file path=customXml/itemProps2.xml><?xml version="1.0" encoding="utf-8"?>
<ds:datastoreItem xmlns:ds="http://schemas.openxmlformats.org/officeDocument/2006/customXml" ds:itemID="{AECBA6AD-5572-44E4-B21A-42BDFB4499A0}"/>
</file>

<file path=customXml/itemProps3.xml><?xml version="1.0" encoding="utf-8"?>
<ds:datastoreItem xmlns:ds="http://schemas.openxmlformats.org/officeDocument/2006/customXml" ds:itemID="{A6BABC7A-C6A9-4BD8-88C2-342ABAD31BA3}"/>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9778</Characters>
  <Application>Microsoft Office Word</Application>
  <DocSecurity>0</DocSecurity>
  <Lines>212</Lines>
  <Paragraphs>131</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2026-02-05T14:17:00Z</dcterms:created>
  <dcterms:modified xsi:type="dcterms:W3CDTF">2026-02-05T14:51:00Z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