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1F22" w14:textId="77777777" w:rsidR="004544C6" w:rsidRPr="008753D0" w:rsidRDefault="004544C6" w:rsidP="008753D0">
      <w:pPr>
        <w:jc w:val="center"/>
        <w:rPr>
          <w:rFonts w:ascii="Verdana" w:hAnsi="Verdana"/>
          <w:b/>
          <w:bCs/>
          <w:sz w:val="22"/>
          <w:szCs w:val="22"/>
        </w:rPr>
      </w:pPr>
      <w:r w:rsidRPr="008753D0">
        <w:rPr>
          <w:rFonts w:ascii="Verdana" w:hAnsi="Verdana"/>
          <w:b/>
          <w:bCs/>
          <w:sz w:val="22"/>
          <w:szCs w:val="22"/>
        </w:rPr>
        <w:t>CIRCULAR 8 DE 2008</w:t>
      </w:r>
    </w:p>
    <w:p w14:paraId="67C0FC93" w14:textId="5A8F1A2C" w:rsidR="004544C6" w:rsidRPr="008753D0" w:rsidRDefault="008753D0" w:rsidP="008753D0">
      <w:pPr>
        <w:jc w:val="center"/>
        <w:rPr>
          <w:rFonts w:ascii="Verdana" w:hAnsi="Verdana"/>
          <w:b/>
          <w:bCs/>
          <w:sz w:val="22"/>
          <w:szCs w:val="22"/>
        </w:rPr>
      </w:pPr>
      <w:r w:rsidRPr="008753D0">
        <w:rPr>
          <w:rFonts w:ascii="Verdana" w:hAnsi="Verdana"/>
          <w:b/>
          <w:bCs/>
          <w:sz w:val="22"/>
          <w:szCs w:val="22"/>
        </w:rPr>
        <w:t>(22 de a</w:t>
      </w:r>
      <w:r w:rsidR="004544C6" w:rsidRPr="008753D0">
        <w:rPr>
          <w:rFonts w:ascii="Verdana" w:hAnsi="Verdana"/>
          <w:b/>
          <w:bCs/>
          <w:sz w:val="22"/>
          <w:szCs w:val="22"/>
        </w:rPr>
        <w:t>bril</w:t>
      </w:r>
      <w:r w:rsidRPr="008753D0">
        <w:rPr>
          <w:rFonts w:ascii="Verdana" w:hAnsi="Verdana"/>
          <w:b/>
          <w:bCs/>
          <w:sz w:val="22"/>
          <w:szCs w:val="22"/>
        </w:rPr>
        <w:t>)</w:t>
      </w:r>
    </w:p>
    <w:p w14:paraId="4CAC9877" w14:textId="77777777" w:rsidR="004544C6" w:rsidRPr="008753D0" w:rsidRDefault="004544C6" w:rsidP="008753D0">
      <w:pPr>
        <w:jc w:val="center"/>
        <w:rPr>
          <w:rFonts w:ascii="Verdana" w:hAnsi="Verdana"/>
          <w:b/>
          <w:bCs/>
          <w:sz w:val="22"/>
          <w:szCs w:val="22"/>
        </w:rPr>
      </w:pPr>
      <w:r w:rsidRPr="008753D0">
        <w:rPr>
          <w:rFonts w:ascii="Verdana" w:hAnsi="Verdana"/>
          <w:b/>
          <w:bCs/>
          <w:sz w:val="22"/>
          <w:szCs w:val="22"/>
        </w:rPr>
        <w:t>INSTITUTO COLOMBIANO DE BIENESTAR FAMILIAR - ICBF</w:t>
      </w:r>
    </w:p>
    <w:p w14:paraId="5F4FF213" w14:textId="77777777" w:rsidR="004544C6" w:rsidRPr="008753D0" w:rsidRDefault="004544C6" w:rsidP="004544C6">
      <w:pPr>
        <w:jc w:val="both"/>
        <w:rPr>
          <w:rFonts w:ascii="Verdana" w:hAnsi="Verdana"/>
          <w:sz w:val="22"/>
          <w:szCs w:val="22"/>
        </w:rPr>
      </w:pPr>
      <w:r w:rsidRPr="008753D0">
        <w:rPr>
          <w:rFonts w:ascii="Verdana" w:hAnsi="Verdana"/>
          <w:sz w:val="22"/>
          <w:szCs w:val="22"/>
        </w:rPr>
        <w:t>PARA:</w:t>
      </w:r>
      <w:r w:rsidRPr="008753D0">
        <w:rPr>
          <w:rFonts w:ascii="Verdana" w:hAnsi="Verdana"/>
          <w:sz w:val="22"/>
          <w:szCs w:val="22"/>
        </w:rPr>
        <w:tab/>
        <w:t xml:space="preserve">Directores   </w:t>
      </w:r>
      <w:proofErr w:type="gramStart"/>
      <w:r w:rsidRPr="008753D0">
        <w:rPr>
          <w:rFonts w:ascii="Verdana" w:hAnsi="Verdana"/>
          <w:sz w:val="22"/>
          <w:szCs w:val="22"/>
        </w:rPr>
        <w:t>Regionales  y</w:t>
      </w:r>
      <w:proofErr w:type="gramEnd"/>
      <w:r w:rsidRPr="008753D0">
        <w:rPr>
          <w:rFonts w:ascii="Verdana" w:hAnsi="Verdana"/>
          <w:sz w:val="22"/>
          <w:szCs w:val="22"/>
        </w:rPr>
        <w:t xml:space="preserve">  </w:t>
      </w:r>
      <w:proofErr w:type="gramStart"/>
      <w:r w:rsidRPr="008753D0">
        <w:rPr>
          <w:rFonts w:ascii="Verdana" w:hAnsi="Verdana"/>
          <w:sz w:val="22"/>
          <w:szCs w:val="22"/>
        </w:rPr>
        <w:t>Coordinadores  de</w:t>
      </w:r>
      <w:proofErr w:type="gramEnd"/>
      <w:r w:rsidRPr="008753D0">
        <w:rPr>
          <w:rFonts w:ascii="Verdana" w:hAnsi="Verdana"/>
          <w:sz w:val="22"/>
          <w:szCs w:val="22"/>
        </w:rPr>
        <w:t xml:space="preserve">  Centros Zonales ICBF</w:t>
      </w:r>
    </w:p>
    <w:p w14:paraId="19069E05" w14:textId="2FC328DD" w:rsidR="004544C6" w:rsidRPr="008753D0" w:rsidRDefault="008753D0" w:rsidP="004544C6">
      <w:pPr>
        <w:jc w:val="both"/>
        <w:rPr>
          <w:rFonts w:ascii="Verdana" w:hAnsi="Verdana"/>
          <w:sz w:val="22"/>
          <w:szCs w:val="22"/>
        </w:rPr>
      </w:pPr>
      <w:r w:rsidRPr="008753D0">
        <w:rPr>
          <w:rFonts w:ascii="Verdana" w:hAnsi="Verdana"/>
          <w:sz w:val="22"/>
          <w:szCs w:val="22"/>
        </w:rPr>
        <w:t>Asunto:</w:t>
      </w:r>
      <w:r w:rsidRPr="008753D0">
        <w:rPr>
          <w:rFonts w:ascii="Verdana" w:hAnsi="Verdana"/>
          <w:sz w:val="22"/>
          <w:szCs w:val="22"/>
        </w:rPr>
        <w:tab/>
        <w:t>incremento del 70% a la bonificación mensual de madres comunitarias</w:t>
      </w:r>
    </w:p>
    <w:p w14:paraId="582CEC32" w14:textId="7FBF2950" w:rsidR="004544C6" w:rsidRPr="008753D0" w:rsidRDefault="004544C6" w:rsidP="004544C6">
      <w:pPr>
        <w:jc w:val="both"/>
        <w:rPr>
          <w:rFonts w:ascii="Verdana" w:hAnsi="Verdana"/>
          <w:sz w:val="22"/>
          <w:szCs w:val="22"/>
        </w:rPr>
      </w:pPr>
      <w:r w:rsidRPr="008753D0">
        <w:rPr>
          <w:rFonts w:ascii="Verdana" w:hAnsi="Verdana"/>
          <w:sz w:val="22"/>
          <w:szCs w:val="22"/>
        </w:rPr>
        <w:t xml:space="preserve">Apreciados </w:t>
      </w:r>
      <w:proofErr w:type="gramStart"/>
      <w:r w:rsidRPr="008753D0">
        <w:rPr>
          <w:rFonts w:ascii="Verdana" w:hAnsi="Verdana"/>
          <w:sz w:val="22"/>
          <w:szCs w:val="22"/>
        </w:rPr>
        <w:t>Directores</w:t>
      </w:r>
      <w:proofErr w:type="gramEnd"/>
      <w:r w:rsidRPr="008753D0">
        <w:rPr>
          <w:rFonts w:ascii="Verdana" w:hAnsi="Verdana"/>
          <w:sz w:val="22"/>
          <w:szCs w:val="22"/>
        </w:rPr>
        <w:t xml:space="preserve"> (as),</w:t>
      </w:r>
    </w:p>
    <w:p w14:paraId="6F390516" w14:textId="2DFFDC4A" w:rsidR="004544C6" w:rsidRPr="008753D0" w:rsidRDefault="004544C6" w:rsidP="004544C6">
      <w:pPr>
        <w:jc w:val="both"/>
        <w:rPr>
          <w:rFonts w:ascii="Verdana" w:hAnsi="Verdana"/>
          <w:sz w:val="22"/>
          <w:szCs w:val="22"/>
        </w:rPr>
      </w:pPr>
      <w:r w:rsidRPr="008753D0">
        <w:rPr>
          <w:rFonts w:ascii="Verdana" w:hAnsi="Verdana"/>
          <w:sz w:val="22"/>
          <w:szCs w:val="22"/>
        </w:rPr>
        <w:t>Dando alcance al Memorando enviado por los Directores Técnico y de Planeación del ICBF el pasado viernes 18 de abril sobre la aplicación inmediata de la Ley 1187 de 2008 "Por medio de la cual se adiciona un parágrafo 2o al artículo segundo de la Ley 1023 de 2006 y se dictan otras disposiciones" y que autoriza un incremento a la bonificación mensual que reciben las madres comunitarias al 70% del salario mínimo legal mensual vigente a partir del 1o de enero de 2008, de manera atenta les comunico las siguientes precisiones al respecto:</w:t>
      </w:r>
    </w:p>
    <w:p w14:paraId="79850A4F" w14:textId="77777777" w:rsidR="004544C6" w:rsidRPr="008753D0" w:rsidRDefault="004544C6" w:rsidP="004544C6">
      <w:pPr>
        <w:jc w:val="both"/>
        <w:rPr>
          <w:rFonts w:ascii="Verdana" w:hAnsi="Verdana"/>
          <w:sz w:val="22"/>
          <w:szCs w:val="22"/>
        </w:rPr>
      </w:pPr>
      <w:r w:rsidRPr="008753D0">
        <w:rPr>
          <w:rFonts w:ascii="Verdana" w:hAnsi="Verdana"/>
          <w:sz w:val="22"/>
          <w:szCs w:val="22"/>
        </w:rPr>
        <w:t>Tal y como se señaló en el mencionado memorando, el incremento de la bonificación se cancelará conforme con las diferentes modalidades, cobertura y jornadas de atención de los Hogares Comunitarios de Bienestar, según lo dispuesto en los Lineamientos de Programación y Ejecución de Metas Sociales y Financieras, adoptados mediante la Resolución.</w:t>
      </w:r>
    </w:p>
    <w:p w14:paraId="4BF63451" w14:textId="1BC9CC9A" w:rsidR="004544C6" w:rsidRPr="008753D0" w:rsidRDefault="004544C6" w:rsidP="004544C6">
      <w:pPr>
        <w:jc w:val="both"/>
        <w:rPr>
          <w:rFonts w:ascii="Verdana" w:hAnsi="Verdana"/>
          <w:sz w:val="22"/>
          <w:szCs w:val="22"/>
        </w:rPr>
      </w:pPr>
      <w:r w:rsidRPr="008753D0">
        <w:rPr>
          <w:rFonts w:ascii="Verdana" w:hAnsi="Verdana"/>
          <w:sz w:val="22"/>
          <w:szCs w:val="22"/>
        </w:rPr>
        <w:t>La Bonificación que recibirán las Madres Comunitarias a partir del 1 de enero del 2008 en cada una de las Modalidades del Programa Hogares Comunitarios de Bienestar, será la siguiente:</w:t>
      </w:r>
    </w:p>
    <w:p w14:paraId="5C8E6955" w14:textId="7547ACB6" w:rsidR="004544C6" w:rsidRPr="008753D0" w:rsidRDefault="004544C6" w:rsidP="008753D0">
      <w:pPr>
        <w:pStyle w:val="Prrafodelista"/>
        <w:numPr>
          <w:ilvl w:val="0"/>
          <w:numId w:val="8"/>
        </w:numPr>
        <w:jc w:val="both"/>
        <w:rPr>
          <w:rFonts w:ascii="Verdana" w:hAnsi="Verdana"/>
          <w:sz w:val="22"/>
          <w:szCs w:val="22"/>
        </w:rPr>
      </w:pPr>
      <w:r w:rsidRPr="008753D0">
        <w:rPr>
          <w:rFonts w:ascii="Verdana" w:hAnsi="Verdana"/>
          <w:sz w:val="22"/>
          <w:szCs w:val="22"/>
        </w:rPr>
        <w:t>Para la Modalidad Tradicional Tiempo Completo:</w:t>
      </w:r>
    </w:p>
    <w:p w14:paraId="678BA250" w14:textId="11FFA9FF" w:rsidR="004544C6" w:rsidRPr="008753D0" w:rsidRDefault="004544C6" w:rsidP="004544C6">
      <w:pPr>
        <w:jc w:val="both"/>
        <w:rPr>
          <w:rFonts w:ascii="Verdana" w:hAnsi="Verdana"/>
          <w:sz w:val="22"/>
          <w:szCs w:val="22"/>
        </w:rPr>
      </w:pPr>
      <w:r w:rsidRPr="008753D0">
        <w:rPr>
          <w:rFonts w:ascii="Verdana" w:hAnsi="Verdana"/>
          <w:sz w:val="22"/>
          <w:szCs w:val="22"/>
        </w:rPr>
        <w:t>La bonificación será de $770 niño/</w:t>
      </w:r>
      <w:proofErr w:type="gramStart"/>
      <w:r w:rsidRPr="008753D0">
        <w:rPr>
          <w:rFonts w:ascii="Verdana" w:hAnsi="Verdana"/>
          <w:sz w:val="22"/>
          <w:szCs w:val="22"/>
        </w:rPr>
        <w:t>día,  que</w:t>
      </w:r>
      <w:proofErr w:type="gramEnd"/>
      <w:r w:rsidRPr="008753D0">
        <w:rPr>
          <w:rFonts w:ascii="Verdana" w:hAnsi="Verdana"/>
          <w:sz w:val="22"/>
          <w:szCs w:val="22"/>
        </w:rPr>
        <w:t xml:space="preserve"> corresponde al 70% del salario mínimo legal vigente.</w:t>
      </w:r>
    </w:p>
    <w:p w14:paraId="683D5129" w14:textId="44F23ABC" w:rsidR="004544C6" w:rsidRPr="008753D0" w:rsidRDefault="004544C6" w:rsidP="008753D0">
      <w:pPr>
        <w:pStyle w:val="Prrafodelista"/>
        <w:numPr>
          <w:ilvl w:val="0"/>
          <w:numId w:val="7"/>
        </w:numPr>
        <w:jc w:val="both"/>
        <w:rPr>
          <w:rFonts w:ascii="Verdana" w:hAnsi="Verdana"/>
          <w:sz w:val="22"/>
          <w:szCs w:val="22"/>
        </w:rPr>
      </w:pPr>
      <w:r w:rsidRPr="008753D0">
        <w:rPr>
          <w:rFonts w:ascii="Verdana" w:hAnsi="Verdana"/>
          <w:sz w:val="22"/>
          <w:szCs w:val="22"/>
        </w:rPr>
        <w:t>Para la Modalidad Tradicional Medio Tiempo:</w:t>
      </w:r>
    </w:p>
    <w:p w14:paraId="512780C6" w14:textId="22B0010B" w:rsidR="004544C6" w:rsidRPr="008753D0" w:rsidRDefault="004544C6" w:rsidP="004544C6">
      <w:pPr>
        <w:jc w:val="both"/>
        <w:rPr>
          <w:rFonts w:ascii="Verdana" w:hAnsi="Verdana"/>
          <w:sz w:val="22"/>
          <w:szCs w:val="22"/>
        </w:rPr>
      </w:pPr>
      <w:r w:rsidRPr="008753D0">
        <w:rPr>
          <w:rFonts w:ascii="Verdana" w:hAnsi="Verdana"/>
          <w:sz w:val="22"/>
          <w:szCs w:val="22"/>
        </w:rPr>
        <w:t>La bonificación será de $549 niño/día, que corresponde al 50% del salario mínimo legal vigente.</w:t>
      </w:r>
    </w:p>
    <w:p w14:paraId="2E25827A" w14:textId="69090507" w:rsidR="004544C6" w:rsidRPr="008753D0" w:rsidRDefault="004544C6" w:rsidP="008753D0">
      <w:pPr>
        <w:pStyle w:val="Prrafodelista"/>
        <w:numPr>
          <w:ilvl w:val="0"/>
          <w:numId w:val="6"/>
        </w:numPr>
        <w:jc w:val="both"/>
        <w:rPr>
          <w:rFonts w:ascii="Verdana" w:hAnsi="Verdana"/>
          <w:sz w:val="22"/>
          <w:szCs w:val="22"/>
        </w:rPr>
      </w:pPr>
      <w:r w:rsidRPr="008753D0">
        <w:rPr>
          <w:rFonts w:ascii="Verdana" w:hAnsi="Verdana"/>
          <w:sz w:val="22"/>
          <w:szCs w:val="22"/>
        </w:rPr>
        <w:t>Para la Modalidad FAMI:</w:t>
      </w:r>
    </w:p>
    <w:p w14:paraId="7CB37B65" w14:textId="05B28F0D" w:rsidR="004544C6" w:rsidRPr="008753D0" w:rsidRDefault="004544C6" w:rsidP="004544C6">
      <w:pPr>
        <w:jc w:val="both"/>
        <w:rPr>
          <w:rFonts w:ascii="Verdana" w:hAnsi="Verdana"/>
          <w:sz w:val="22"/>
          <w:szCs w:val="22"/>
        </w:rPr>
      </w:pPr>
      <w:r w:rsidRPr="008753D0">
        <w:rPr>
          <w:rFonts w:ascii="Verdana" w:hAnsi="Verdana"/>
          <w:sz w:val="22"/>
          <w:szCs w:val="22"/>
        </w:rPr>
        <w:t>La bonificación será de $15.383 por Familia/mes, que corresponde al 50% del salario mínimo legal vigente.</w:t>
      </w:r>
    </w:p>
    <w:p w14:paraId="4EFAA949" w14:textId="6D425C97" w:rsidR="004544C6" w:rsidRPr="008753D0" w:rsidRDefault="004544C6" w:rsidP="004544C6">
      <w:pPr>
        <w:jc w:val="both"/>
        <w:rPr>
          <w:rFonts w:ascii="Verdana" w:hAnsi="Verdana"/>
          <w:sz w:val="22"/>
          <w:szCs w:val="22"/>
        </w:rPr>
      </w:pPr>
      <w:r w:rsidRPr="008753D0">
        <w:rPr>
          <w:rFonts w:ascii="Verdana" w:hAnsi="Verdana"/>
          <w:sz w:val="22"/>
          <w:szCs w:val="22"/>
        </w:rPr>
        <w:t>De este ajuste se desprenden varias actividades para las Regionales que se precisarán de la siguiente manera:</w:t>
      </w:r>
    </w:p>
    <w:p w14:paraId="24993F39" w14:textId="659CE01C" w:rsidR="004544C6" w:rsidRPr="008753D0" w:rsidRDefault="004544C6" w:rsidP="008753D0">
      <w:pPr>
        <w:pStyle w:val="Prrafodelista"/>
        <w:numPr>
          <w:ilvl w:val="0"/>
          <w:numId w:val="5"/>
        </w:numPr>
        <w:jc w:val="both"/>
        <w:rPr>
          <w:rFonts w:ascii="Verdana" w:hAnsi="Verdana"/>
          <w:sz w:val="22"/>
          <w:szCs w:val="22"/>
        </w:rPr>
      </w:pPr>
      <w:r w:rsidRPr="008753D0">
        <w:rPr>
          <w:rFonts w:ascii="Verdana" w:hAnsi="Verdana"/>
          <w:sz w:val="22"/>
          <w:szCs w:val="22"/>
        </w:rPr>
        <w:lastRenderedPageBreak/>
        <w:t>En cuanto al Traslado de los recursos: A más tardar el miércoles 23 de abril de 2008, se asignará a cada Regional mediante la correspondiente resolución los recursos necesarios para el reconocimiento del incremento de la bonificación. Estos recursos serán adicionados por el Proyecto 320- 1501-</w:t>
      </w:r>
      <w:proofErr w:type="gramStart"/>
      <w:r w:rsidRPr="008753D0">
        <w:rPr>
          <w:rFonts w:ascii="Verdana" w:hAnsi="Verdana"/>
          <w:sz w:val="22"/>
          <w:szCs w:val="22"/>
        </w:rPr>
        <w:t>131  "</w:t>
      </w:r>
      <w:proofErr w:type="gramEnd"/>
      <w:r w:rsidRPr="008753D0">
        <w:rPr>
          <w:rFonts w:ascii="Verdana" w:hAnsi="Verdana"/>
          <w:sz w:val="22"/>
          <w:szCs w:val="22"/>
        </w:rPr>
        <w:t>Asistencia a la Niñez y Apoyo a la Familia para posibilitar el ejercicio de los derechos.</w:t>
      </w:r>
    </w:p>
    <w:p w14:paraId="7D7B1B37" w14:textId="347393B2" w:rsidR="004544C6" w:rsidRPr="008753D0" w:rsidRDefault="004544C6" w:rsidP="004544C6">
      <w:pPr>
        <w:jc w:val="both"/>
        <w:rPr>
          <w:rFonts w:ascii="Verdana" w:hAnsi="Verdana"/>
          <w:sz w:val="22"/>
          <w:szCs w:val="22"/>
        </w:rPr>
      </w:pPr>
      <w:r w:rsidRPr="008753D0">
        <w:rPr>
          <w:rFonts w:ascii="Verdana" w:hAnsi="Verdana"/>
          <w:sz w:val="22"/>
          <w:szCs w:val="22"/>
        </w:rPr>
        <w:t>Igualmente, cada Regional deberá adelantar una solicitud extraordinaria de recursos a Tesorería para asegurar el traslado oportuno de los mismos.</w:t>
      </w:r>
    </w:p>
    <w:p w14:paraId="2378E9AC" w14:textId="6704175D" w:rsidR="004544C6" w:rsidRPr="008753D0" w:rsidRDefault="004544C6" w:rsidP="008753D0">
      <w:pPr>
        <w:pStyle w:val="Prrafodelista"/>
        <w:numPr>
          <w:ilvl w:val="0"/>
          <w:numId w:val="4"/>
        </w:numPr>
        <w:jc w:val="both"/>
        <w:rPr>
          <w:rFonts w:ascii="Verdana" w:hAnsi="Verdana"/>
          <w:sz w:val="22"/>
          <w:szCs w:val="22"/>
        </w:rPr>
      </w:pPr>
      <w:r w:rsidRPr="008753D0">
        <w:rPr>
          <w:rFonts w:ascii="Verdana" w:hAnsi="Verdana"/>
          <w:sz w:val="22"/>
          <w:szCs w:val="22"/>
        </w:rPr>
        <w:t xml:space="preserve">Pago de la bonificación: Los recursos correspondientes al mayor valor por el ajuste del 17.2% al nuevo valor que le corresponde a cada madre comunitaria por el incremento de la bonificación establecido en la Ley 1187 de 2008, se hará de acuerdo con los datos registrados en la Tabla No.2. El pago retroactivo del ajuste de los meses de enero, febrero y marzo se reconocerá con el pago de la bonificación del mes de abril, el cual se deberá pagar dentro de los 10 primeros días del mes de mayo. </w:t>
      </w:r>
      <w:proofErr w:type="gramStart"/>
      <w:r w:rsidRPr="008753D0">
        <w:rPr>
          <w:rFonts w:ascii="Verdana" w:hAnsi="Verdana"/>
          <w:sz w:val="22"/>
          <w:szCs w:val="22"/>
        </w:rPr>
        <w:t>El mayor valor a pagar</w:t>
      </w:r>
      <w:proofErr w:type="gramEnd"/>
      <w:r w:rsidRPr="008753D0">
        <w:rPr>
          <w:rFonts w:ascii="Verdana" w:hAnsi="Verdana"/>
          <w:sz w:val="22"/>
          <w:szCs w:val="22"/>
        </w:rPr>
        <w:t xml:space="preserve"> correspondiente al mes de abril se deberá liquidar ajustando los valores por modalidad, número de niños y familias atendidas según la Tabla No. 1 que contiene los valores definidos para la liquidación:</w:t>
      </w:r>
    </w:p>
    <w:p w14:paraId="70A94120" w14:textId="77777777" w:rsidR="004544C6" w:rsidRPr="008753D0" w:rsidRDefault="004544C6" w:rsidP="004544C6">
      <w:pPr>
        <w:jc w:val="both"/>
        <w:rPr>
          <w:rFonts w:ascii="Verdana" w:hAnsi="Verdana"/>
          <w:b/>
          <w:bCs/>
          <w:sz w:val="22"/>
          <w:szCs w:val="22"/>
        </w:rPr>
      </w:pPr>
      <w:r w:rsidRPr="008753D0">
        <w:rPr>
          <w:rFonts w:ascii="Verdana" w:hAnsi="Verdana"/>
          <w:b/>
          <w:bCs/>
          <w:sz w:val="22"/>
          <w:szCs w:val="22"/>
        </w:rPr>
        <w:t>Tabla No.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79"/>
        <w:gridCol w:w="999"/>
        <w:gridCol w:w="1403"/>
        <w:gridCol w:w="1318"/>
        <w:gridCol w:w="1318"/>
        <w:gridCol w:w="1505"/>
      </w:tblGrid>
      <w:tr w:rsidR="008753D0" w:rsidRPr="008753D0" w14:paraId="3FD29EB5" w14:textId="77777777">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FC4FE3" w14:textId="77777777" w:rsidR="008753D0" w:rsidRPr="008753D0" w:rsidRDefault="008753D0" w:rsidP="008753D0">
            <w:pPr>
              <w:jc w:val="both"/>
              <w:rPr>
                <w:rFonts w:ascii="Verdana" w:hAnsi="Verdana"/>
                <w:sz w:val="22"/>
                <w:szCs w:val="22"/>
              </w:rPr>
            </w:pPr>
            <w:r w:rsidRPr="008753D0">
              <w:rPr>
                <w:rFonts w:ascii="Verdana" w:hAnsi="Verdana"/>
                <w:b/>
                <w:bCs/>
                <w:sz w:val="22"/>
                <w:szCs w:val="22"/>
              </w:rPr>
              <w:t>Modalidad Tradicional</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91B7E4" w14:textId="77777777" w:rsidR="008753D0" w:rsidRPr="008753D0" w:rsidRDefault="008753D0" w:rsidP="008753D0">
            <w:pPr>
              <w:jc w:val="both"/>
              <w:rPr>
                <w:rFonts w:ascii="Verdana" w:hAnsi="Verdana"/>
                <w:sz w:val="22"/>
                <w:szCs w:val="22"/>
              </w:rPr>
            </w:pPr>
            <w:r w:rsidRPr="008753D0">
              <w:rPr>
                <w:rFonts w:ascii="Verdana" w:hAnsi="Verdana"/>
                <w:sz w:val="22"/>
                <w:szCs w:val="22"/>
              </w:rPr>
              <w:t>Niño/día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488C8E"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w:t>
            </w:r>
            <w:r w:rsidRPr="008753D0">
              <w:rPr>
                <w:rFonts w:ascii="Verdana" w:hAnsi="Verdana"/>
                <w:sz w:val="22"/>
                <w:szCs w:val="22"/>
              </w:rPr>
              <w:br/>
              <w:t>14</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4FE9F"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w:t>
            </w:r>
            <w:r w:rsidRPr="008753D0">
              <w:rPr>
                <w:rFonts w:ascii="Verdana" w:hAnsi="Verdana"/>
                <w:sz w:val="22"/>
                <w:szCs w:val="22"/>
              </w:rPr>
              <w:br/>
              <w:t>13</w:t>
            </w:r>
          </w:p>
        </w:tc>
        <w:tc>
          <w:tcPr>
            <w:tcW w:w="1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E90E34"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w:t>
            </w:r>
            <w:r w:rsidRPr="008753D0">
              <w:rPr>
                <w:rFonts w:ascii="Verdana" w:hAnsi="Verdana"/>
                <w:sz w:val="22"/>
                <w:szCs w:val="22"/>
              </w:rPr>
              <w:br/>
              <w:t>12</w:t>
            </w:r>
          </w:p>
        </w:tc>
      </w:tr>
      <w:tr w:rsidR="008753D0" w:rsidRPr="008753D0" w14:paraId="45729281" w14:textId="77777777">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1F59FA" w14:textId="77777777" w:rsidR="008753D0" w:rsidRPr="008753D0" w:rsidRDefault="008753D0" w:rsidP="008753D0">
            <w:pPr>
              <w:jc w:val="both"/>
              <w:rPr>
                <w:rFonts w:ascii="Verdana" w:hAnsi="Verdana"/>
                <w:sz w:val="22"/>
                <w:szCs w:val="22"/>
              </w:rPr>
            </w:pPr>
            <w:r w:rsidRPr="008753D0">
              <w:rPr>
                <w:rFonts w:ascii="Verdana" w:hAnsi="Verdana"/>
                <w:sz w:val="22"/>
                <w:szCs w:val="22"/>
              </w:rPr>
              <w:t>Tiempo Completo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CB8597" w14:textId="77777777" w:rsidR="008753D0" w:rsidRPr="008753D0" w:rsidRDefault="008753D0" w:rsidP="008753D0">
            <w:pPr>
              <w:jc w:val="both"/>
              <w:rPr>
                <w:rFonts w:ascii="Verdana" w:hAnsi="Verdana"/>
                <w:sz w:val="22"/>
                <w:szCs w:val="22"/>
              </w:rPr>
            </w:pPr>
            <w:r w:rsidRPr="008753D0">
              <w:rPr>
                <w:rFonts w:ascii="Verdana" w:hAnsi="Verdana"/>
                <w:sz w:val="22"/>
                <w:szCs w:val="22"/>
              </w:rPr>
              <w:t>770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D0CD6C" w14:textId="77777777" w:rsidR="008753D0" w:rsidRPr="008753D0" w:rsidRDefault="008753D0" w:rsidP="008753D0">
            <w:pPr>
              <w:jc w:val="both"/>
              <w:rPr>
                <w:rFonts w:ascii="Verdana" w:hAnsi="Verdana"/>
                <w:sz w:val="22"/>
                <w:szCs w:val="22"/>
              </w:rPr>
            </w:pPr>
            <w:r w:rsidRPr="008753D0">
              <w:rPr>
                <w:rFonts w:ascii="Verdana" w:hAnsi="Verdana"/>
                <w:sz w:val="22"/>
                <w:szCs w:val="22"/>
              </w:rPr>
              <w:t>$ 323.400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655A5D" w14:textId="77777777" w:rsidR="008753D0" w:rsidRPr="008753D0" w:rsidRDefault="008753D0" w:rsidP="008753D0">
            <w:pPr>
              <w:jc w:val="both"/>
              <w:rPr>
                <w:rFonts w:ascii="Verdana" w:hAnsi="Verdana"/>
                <w:sz w:val="22"/>
                <w:szCs w:val="22"/>
              </w:rPr>
            </w:pPr>
            <w:r w:rsidRPr="008753D0">
              <w:rPr>
                <w:rFonts w:ascii="Verdana" w:hAnsi="Verdana"/>
                <w:sz w:val="22"/>
                <w:szCs w:val="22"/>
              </w:rPr>
              <w:t>$ 300.300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8691E" w14:textId="77777777" w:rsidR="008753D0" w:rsidRPr="008753D0" w:rsidRDefault="008753D0" w:rsidP="008753D0">
            <w:pPr>
              <w:jc w:val="both"/>
              <w:rPr>
                <w:rFonts w:ascii="Verdana" w:hAnsi="Verdana"/>
                <w:sz w:val="22"/>
                <w:szCs w:val="22"/>
              </w:rPr>
            </w:pPr>
            <w:r w:rsidRPr="008753D0">
              <w:rPr>
                <w:rFonts w:ascii="Verdana" w:hAnsi="Verdana"/>
                <w:sz w:val="22"/>
                <w:szCs w:val="22"/>
              </w:rPr>
              <w:t>$ 277.200</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F57ABD" w14:textId="77777777" w:rsidR="008753D0" w:rsidRPr="008753D0" w:rsidRDefault="008753D0" w:rsidP="008753D0">
            <w:pPr>
              <w:jc w:val="both"/>
              <w:rPr>
                <w:rFonts w:ascii="Verdana" w:hAnsi="Verdana"/>
                <w:sz w:val="22"/>
                <w:szCs w:val="22"/>
              </w:rPr>
            </w:pPr>
          </w:p>
        </w:tc>
      </w:tr>
      <w:tr w:rsidR="008753D0" w:rsidRPr="008753D0" w14:paraId="6AB7685F" w14:textId="77777777">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6B43A4" w14:textId="77777777" w:rsidR="008753D0" w:rsidRPr="008753D0" w:rsidRDefault="008753D0" w:rsidP="008753D0">
            <w:pPr>
              <w:jc w:val="both"/>
              <w:rPr>
                <w:rFonts w:ascii="Verdana" w:hAnsi="Verdana"/>
                <w:sz w:val="22"/>
                <w:szCs w:val="22"/>
              </w:rPr>
            </w:pPr>
            <w:r w:rsidRPr="008753D0">
              <w:rPr>
                <w:rFonts w:ascii="Verdana" w:hAnsi="Verdana"/>
                <w:sz w:val="22"/>
                <w:szCs w:val="22"/>
              </w:rPr>
              <w:t>Medio Tiempo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0ED02E" w14:textId="77777777" w:rsidR="008753D0" w:rsidRPr="008753D0" w:rsidRDefault="008753D0" w:rsidP="008753D0">
            <w:pPr>
              <w:jc w:val="both"/>
              <w:rPr>
                <w:rFonts w:ascii="Verdana" w:hAnsi="Verdana"/>
                <w:sz w:val="22"/>
                <w:szCs w:val="22"/>
              </w:rPr>
            </w:pPr>
            <w:r w:rsidRPr="008753D0">
              <w:rPr>
                <w:rFonts w:ascii="Verdana" w:hAnsi="Verdana"/>
                <w:sz w:val="22"/>
                <w:szCs w:val="22"/>
              </w:rPr>
              <w:t>549</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555A3D" w14:textId="77777777" w:rsidR="008753D0" w:rsidRPr="008753D0" w:rsidRDefault="008753D0" w:rsidP="008753D0">
            <w:pPr>
              <w:jc w:val="both"/>
              <w:rPr>
                <w:rFonts w:ascii="Verdana" w:hAnsi="Verdana"/>
                <w:sz w:val="22"/>
                <w:szCs w:val="22"/>
              </w:rPr>
            </w:pPr>
            <w:r w:rsidRPr="008753D0">
              <w:rPr>
                <w:rFonts w:ascii="Verdana" w:hAnsi="Verdana"/>
                <w:sz w:val="22"/>
                <w:szCs w:val="22"/>
              </w:rPr>
              <w:t>$ 230.580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73B4B8" w14:textId="77777777" w:rsidR="008753D0" w:rsidRPr="008753D0" w:rsidRDefault="008753D0" w:rsidP="008753D0">
            <w:pPr>
              <w:jc w:val="both"/>
              <w:rPr>
                <w:rFonts w:ascii="Verdana" w:hAnsi="Verdana"/>
                <w:sz w:val="22"/>
                <w:szCs w:val="22"/>
              </w:rPr>
            </w:pPr>
            <w:r w:rsidRPr="008753D0">
              <w:rPr>
                <w:rFonts w:ascii="Verdana" w:hAnsi="Verdana"/>
                <w:sz w:val="22"/>
                <w:szCs w:val="22"/>
              </w:rPr>
              <w:t>$ 214.110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E8D986" w14:textId="77777777" w:rsidR="008753D0" w:rsidRPr="008753D0" w:rsidRDefault="008753D0" w:rsidP="008753D0">
            <w:pPr>
              <w:jc w:val="both"/>
              <w:rPr>
                <w:rFonts w:ascii="Verdana" w:hAnsi="Verdana"/>
                <w:sz w:val="22"/>
                <w:szCs w:val="22"/>
              </w:rPr>
            </w:pPr>
            <w:r w:rsidRPr="008753D0">
              <w:rPr>
                <w:rFonts w:ascii="Verdana" w:hAnsi="Verdana"/>
                <w:sz w:val="22"/>
                <w:szCs w:val="22"/>
              </w:rPr>
              <w:t>$ 197.640</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DCBFD" w14:textId="77777777" w:rsidR="008753D0" w:rsidRPr="008753D0" w:rsidRDefault="008753D0" w:rsidP="008753D0">
            <w:pPr>
              <w:jc w:val="both"/>
              <w:rPr>
                <w:rFonts w:ascii="Verdana" w:hAnsi="Verdana"/>
                <w:sz w:val="22"/>
                <w:szCs w:val="22"/>
              </w:rPr>
            </w:pPr>
          </w:p>
        </w:tc>
      </w:tr>
      <w:tr w:rsidR="008753D0" w:rsidRPr="008753D0" w14:paraId="26C9624D" w14:textId="77777777">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BFEF2" w14:textId="77777777" w:rsidR="008753D0" w:rsidRPr="008753D0" w:rsidRDefault="008753D0" w:rsidP="008753D0">
            <w:pPr>
              <w:jc w:val="both"/>
              <w:rPr>
                <w:rFonts w:ascii="Verdana" w:hAnsi="Verdana"/>
                <w:sz w:val="22"/>
                <w:szCs w:val="22"/>
              </w:rPr>
            </w:pPr>
            <w:r w:rsidRPr="008753D0">
              <w:rPr>
                <w:rFonts w:ascii="Verdana" w:hAnsi="Verdana"/>
                <w:b/>
                <w:bCs/>
                <w:sz w:val="22"/>
                <w:szCs w:val="22"/>
              </w:rPr>
              <w:t>Modalidad</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E05C1C"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3A81FB"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w:t>
            </w:r>
            <w:r w:rsidRPr="008753D0">
              <w:rPr>
                <w:rFonts w:ascii="Verdana" w:hAnsi="Verdana"/>
                <w:sz w:val="22"/>
                <w:szCs w:val="22"/>
              </w:rPr>
              <w:br/>
              <w:t>15</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992B90"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w:t>
            </w:r>
            <w:r w:rsidRPr="008753D0">
              <w:rPr>
                <w:rFonts w:ascii="Verdana" w:hAnsi="Verdana"/>
                <w:sz w:val="22"/>
                <w:szCs w:val="22"/>
              </w:rPr>
              <w:br/>
              <w:t>14</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2901AF"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w:t>
            </w:r>
            <w:r w:rsidRPr="008753D0">
              <w:rPr>
                <w:rFonts w:ascii="Verdana" w:hAnsi="Verdana"/>
                <w:sz w:val="22"/>
                <w:szCs w:val="22"/>
              </w:rPr>
              <w:br/>
              <w:t>13</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3296A0"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w:t>
            </w:r>
            <w:proofErr w:type="gramStart"/>
            <w:r w:rsidRPr="008753D0">
              <w:rPr>
                <w:rFonts w:ascii="Verdana" w:hAnsi="Verdana"/>
                <w:sz w:val="22"/>
                <w:szCs w:val="22"/>
              </w:rPr>
              <w:t>mes  12</w:t>
            </w:r>
            <w:proofErr w:type="gramEnd"/>
          </w:p>
        </w:tc>
      </w:tr>
      <w:tr w:rsidR="008753D0" w:rsidRPr="008753D0" w14:paraId="1E9860E8" w14:textId="77777777">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CCE636" w14:textId="77777777" w:rsidR="008753D0" w:rsidRPr="008753D0" w:rsidRDefault="008753D0" w:rsidP="008753D0">
            <w:pPr>
              <w:jc w:val="both"/>
              <w:rPr>
                <w:rFonts w:ascii="Verdana" w:hAnsi="Verdana"/>
                <w:sz w:val="22"/>
                <w:szCs w:val="22"/>
              </w:rPr>
            </w:pPr>
            <w:r w:rsidRPr="008753D0">
              <w:rPr>
                <w:rFonts w:ascii="Verdana" w:hAnsi="Verdana"/>
                <w:sz w:val="22"/>
                <w:szCs w:val="22"/>
              </w:rPr>
              <w:t>FAMI</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A86EF9" w14:textId="77777777" w:rsidR="008753D0" w:rsidRPr="008753D0" w:rsidRDefault="008753D0" w:rsidP="008753D0">
            <w:pPr>
              <w:jc w:val="both"/>
              <w:rPr>
                <w:rFonts w:ascii="Verdana" w:hAnsi="Verdana"/>
                <w:sz w:val="22"/>
                <w:szCs w:val="22"/>
              </w:rPr>
            </w:pPr>
            <w:r w:rsidRPr="008753D0">
              <w:rPr>
                <w:rFonts w:ascii="Verdana" w:hAnsi="Verdana"/>
                <w:sz w:val="22"/>
                <w:szCs w:val="22"/>
              </w:rPr>
              <w:t>15.383</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B619A0" w14:textId="77777777" w:rsidR="008753D0" w:rsidRPr="008753D0" w:rsidRDefault="008753D0" w:rsidP="008753D0">
            <w:pPr>
              <w:jc w:val="both"/>
              <w:rPr>
                <w:rFonts w:ascii="Verdana" w:hAnsi="Verdana"/>
                <w:sz w:val="22"/>
                <w:szCs w:val="22"/>
              </w:rPr>
            </w:pPr>
            <w:r w:rsidRPr="008753D0">
              <w:rPr>
                <w:rFonts w:ascii="Verdana" w:hAnsi="Verdana"/>
                <w:sz w:val="22"/>
                <w:szCs w:val="22"/>
              </w:rPr>
              <w:t>$   230.745</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0200CA" w14:textId="77777777" w:rsidR="008753D0" w:rsidRPr="008753D0" w:rsidRDefault="008753D0" w:rsidP="008753D0">
            <w:pPr>
              <w:jc w:val="both"/>
              <w:rPr>
                <w:rFonts w:ascii="Verdana" w:hAnsi="Verdana"/>
                <w:sz w:val="22"/>
                <w:szCs w:val="22"/>
              </w:rPr>
            </w:pPr>
            <w:r w:rsidRPr="008753D0">
              <w:rPr>
                <w:rFonts w:ascii="Verdana" w:hAnsi="Verdana"/>
                <w:sz w:val="22"/>
                <w:szCs w:val="22"/>
              </w:rPr>
              <w:t>$ 215.362</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E53447" w14:textId="77777777" w:rsidR="008753D0" w:rsidRPr="008753D0" w:rsidRDefault="008753D0" w:rsidP="008753D0">
            <w:pPr>
              <w:jc w:val="both"/>
              <w:rPr>
                <w:rFonts w:ascii="Verdana" w:hAnsi="Verdana"/>
                <w:sz w:val="22"/>
                <w:szCs w:val="22"/>
              </w:rPr>
            </w:pPr>
            <w:r w:rsidRPr="008753D0">
              <w:rPr>
                <w:rFonts w:ascii="Verdana" w:hAnsi="Verdana"/>
                <w:sz w:val="22"/>
                <w:szCs w:val="22"/>
              </w:rPr>
              <w:t>$ 199.979</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135B0A" w14:textId="77777777" w:rsidR="008753D0" w:rsidRPr="008753D0" w:rsidRDefault="008753D0" w:rsidP="008753D0">
            <w:pPr>
              <w:jc w:val="both"/>
              <w:rPr>
                <w:rFonts w:ascii="Verdana" w:hAnsi="Verdana"/>
                <w:sz w:val="22"/>
                <w:szCs w:val="22"/>
              </w:rPr>
            </w:pPr>
            <w:r w:rsidRPr="008753D0">
              <w:rPr>
                <w:rFonts w:ascii="Verdana" w:hAnsi="Verdana"/>
                <w:sz w:val="22"/>
                <w:szCs w:val="22"/>
              </w:rPr>
              <w:t>$ 184.596</w:t>
            </w:r>
          </w:p>
        </w:tc>
      </w:tr>
    </w:tbl>
    <w:p w14:paraId="47A2BF30" w14:textId="760263E4" w:rsidR="008753D0" w:rsidRPr="008753D0" w:rsidRDefault="008753D0" w:rsidP="004544C6">
      <w:pPr>
        <w:jc w:val="both"/>
        <w:rPr>
          <w:rFonts w:ascii="Verdana" w:hAnsi="Verdana"/>
          <w:sz w:val="22"/>
          <w:szCs w:val="22"/>
        </w:rPr>
      </w:pPr>
      <w:r w:rsidRPr="008753D0">
        <w:rPr>
          <w:rFonts w:ascii="Verdana" w:hAnsi="Verdana"/>
          <w:sz w:val="22"/>
          <w:szCs w:val="22"/>
        </w:rPr>
        <w:t xml:space="preserve">Fuente: Dirección de Planeación- </w:t>
      </w:r>
      <w:proofErr w:type="gramStart"/>
      <w:r w:rsidRPr="008753D0">
        <w:rPr>
          <w:rFonts w:ascii="Verdana" w:hAnsi="Verdana"/>
          <w:sz w:val="22"/>
          <w:szCs w:val="22"/>
        </w:rPr>
        <w:t>Abril</w:t>
      </w:r>
      <w:proofErr w:type="gramEnd"/>
      <w:r w:rsidRPr="008753D0">
        <w:rPr>
          <w:rFonts w:ascii="Verdana" w:hAnsi="Verdana"/>
          <w:sz w:val="22"/>
          <w:szCs w:val="22"/>
        </w:rPr>
        <w:t xml:space="preserve"> 18 de 2008</w:t>
      </w:r>
    </w:p>
    <w:p w14:paraId="5249D0B1" w14:textId="5FCF38CA" w:rsidR="004544C6" w:rsidRPr="008753D0" w:rsidRDefault="004544C6" w:rsidP="004544C6">
      <w:pPr>
        <w:jc w:val="both"/>
        <w:rPr>
          <w:rFonts w:ascii="Verdana" w:hAnsi="Verdana"/>
          <w:sz w:val="22"/>
          <w:szCs w:val="22"/>
        </w:rPr>
      </w:pPr>
      <w:r w:rsidRPr="008753D0">
        <w:rPr>
          <w:rFonts w:ascii="Verdana" w:hAnsi="Verdana"/>
          <w:sz w:val="22"/>
          <w:szCs w:val="22"/>
        </w:rPr>
        <w:t>Para el pago del retroactivo a enero de 2008, se debe ingresar por EL MÓDULO DE LIQUIDACIÓN Y LEGALIZACIÓN DE CUENTAS –OPCIÓN AJUSTES, asignar el valor a ajustar por unidad de servicio y realizar el proceso de liquidación establecido.</w:t>
      </w:r>
    </w:p>
    <w:p w14:paraId="74D7EDBD" w14:textId="77777777" w:rsidR="004544C6" w:rsidRPr="008753D0" w:rsidRDefault="004544C6" w:rsidP="004544C6">
      <w:pPr>
        <w:jc w:val="both"/>
        <w:rPr>
          <w:rFonts w:ascii="Verdana" w:hAnsi="Verdana"/>
          <w:b/>
          <w:bCs/>
          <w:sz w:val="22"/>
          <w:szCs w:val="22"/>
        </w:rPr>
      </w:pPr>
      <w:r w:rsidRPr="008753D0">
        <w:rPr>
          <w:rFonts w:ascii="Verdana" w:hAnsi="Verdana"/>
          <w:b/>
          <w:bCs/>
          <w:sz w:val="22"/>
          <w:szCs w:val="22"/>
        </w:rPr>
        <w:t>Tabla No. 2</w:t>
      </w:r>
    </w:p>
    <w:p w14:paraId="289C7CA8" w14:textId="77777777" w:rsidR="008753D0" w:rsidRPr="008753D0" w:rsidRDefault="008753D0" w:rsidP="008753D0">
      <w:pPr>
        <w:jc w:val="both"/>
        <w:rPr>
          <w:rFonts w:ascii="Verdana" w:hAnsi="Verdana"/>
          <w:sz w:val="22"/>
          <w:szCs w:val="22"/>
        </w:rPr>
      </w:pPr>
      <w:r w:rsidRPr="008753D0">
        <w:rPr>
          <w:rFonts w:ascii="Verdana" w:hAnsi="Verdana"/>
          <w:sz w:val="22"/>
          <w:szCs w:val="22"/>
        </w:rPr>
        <w:t>Mayor Valor Adición</w:t>
      </w: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116"/>
        <w:gridCol w:w="999"/>
        <w:gridCol w:w="1300"/>
        <w:gridCol w:w="1300"/>
        <w:gridCol w:w="1149"/>
        <w:gridCol w:w="1164"/>
      </w:tblGrid>
      <w:tr w:rsidR="008753D0" w:rsidRPr="008753D0" w14:paraId="0BA37D1E" w14:textId="77777777">
        <w:trPr>
          <w:tblCellSpacing w:w="15" w:type="dxa"/>
        </w:trPr>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6710B3" w14:textId="77777777" w:rsidR="008753D0" w:rsidRPr="008753D0" w:rsidRDefault="008753D0" w:rsidP="008753D0">
            <w:pPr>
              <w:jc w:val="both"/>
              <w:rPr>
                <w:rFonts w:ascii="Verdana" w:hAnsi="Verdana"/>
                <w:sz w:val="22"/>
                <w:szCs w:val="22"/>
              </w:rPr>
            </w:pPr>
            <w:r w:rsidRPr="008753D0">
              <w:rPr>
                <w:rFonts w:ascii="Verdana" w:hAnsi="Verdana"/>
                <w:b/>
                <w:bCs/>
                <w:sz w:val="22"/>
                <w:szCs w:val="22"/>
              </w:rPr>
              <w:lastRenderedPageBreak/>
              <w:t>Modalidad Tradicional</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F86A70" w14:textId="77777777" w:rsidR="008753D0" w:rsidRPr="008753D0" w:rsidRDefault="008753D0" w:rsidP="008753D0">
            <w:pPr>
              <w:jc w:val="both"/>
              <w:rPr>
                <w:rFonts w:ascii="Verdana" w:hAnsi="Verdana"/>
                <w:sz w:val="22"/>
                <w:szCs w:val="22"/>
              </w:rPr>
            </w:pPr>
            <w:r w:rsidRPr="008753D0">
              <w:rPr>
                <w:rFonts w:ascii="Verdana" w:hAnsi="Verdana"/>
                <w:sz w:val="22"/>
                <w:szCs w:val="22"/>
              </w:rPr>
              <w:t>Niño/día</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180222"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 con 14</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6BC13"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 con 13</w:t>
            </w:r>
          </w:p>
        </w:tc>
        <w:tc>
          <w:tcPr>
            <w:tcW w:w="1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3A0A21" w14:textId="77777777" w:rsidR="008753D0" w:rsidRPr="008753D0" w:rsidRDefault="008753D0" w:rsidP="008753D0">
            <w:pPr>
              <w:jc w:val="both"/>
              <w:rPr>
                <w:rFonts w:ascii="Verdana" w:hAnsi="Verdana"/>
                <w:sz w:val="22"/>
                <w:szCs w:val="22"/>
              </w:rPr>
            </w:pPr>
            <w:r w:rsidRPr="008753D0">
              <w:rPr>
                <w:rFonts w:ascii="Verdana" w:hAnsi="Verdana"/>
                <w:sz w:val="22"/>
                <w:szCs w:val="22"/>
              </w:rPr>
              <w:t>Madre/mes con 12</w:t>
            </w:r>
          </w:p>
        </w:tc>
      </w:tr>
      <w:tr w:rsidR="008753D0" w:rsidRPr="008753D0" w14:paraId="2BB22176" w14:textId="77777777">
        <w:trPr>
          <w:tblCellSpacing w:w="15" w:type="dxa"/>
        </w:trPr>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03954F" w14:textId="77777777" w:rsidR="008753D0" w:rsidRPr="008753D0" w:rsidRDefault="008753D0" w:rsidP="008753D0">
            <w:pPr>
              <w:jc w:val="both"/>
              <w:rPr>
                <w:rFonts w:ascii="Verdana" w:hAnsi="Verdana"/>
                <w:sz w:val="22"/>
                <w:szCs w:val="22"/>
              </w:rPr>
            </w:pPr>
            <w:r w:rsidRPr="008753D0">
              <w:rPr>
                <w:rFonts w:ascii="Verdana" w:hAnsi="Verdana"/>
                <w:sz w:val="22"/>
                <w:szCs w:val="22"/>
              </w:rPr>
              <w:t>Tiempo Completo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83AE06" w14:textId="77777777" w:rsidR="008753D0" w:rsidRPr="008753D0" w:rsidRDefault="008753D0" w:rsidP="008753D0">
            <w:pPr>
              <w:jc w:val="both"/>
              <w:rPr>
                <w:rFonts w:ascii="Verdana" w:hAnsi="Verdana"/>
                <w:sz w:val="22"/>
                <w:szCs w:val="22"/>
              </w:rPr>
            </w:pPr>
            <w:r w:rsidRPr="008753D0">
              <w:rPr>
                <w:rFonts w:ascii="Verdana" w:hAnsi="Verdana"/>
                <w:sz w:val="22"/>
                <w:szCs w:val="22"/>
              </w:rPr>
              <w:t>169</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B7EA1B"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70</w:t>
            </w:r>
            <w:proofErr w:type="gramEnd"/>
            <w:r w:rsidRPr="008753D0">
              <w:rPr>
                <w:rFonts w:ascii="Verdana" w:hAnsi="Verdana"/>
                <w:sz w:val="22"/>
                <w:szCs w:val="22"/>
              </w:rPr>
              <w:t>.980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9CE40D"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65</w:t>
            </w:r>
            <w:proofErr w:type="gramEnd"/>
            <w:r w:rsidRPr="008753D0">
              <w:rPr>
                <w:rFonts w:ascii="Verdana" w:hAnsi="Verdana"/>
                <w:sz w:val="22"/>
                <w:szCs w:val="22"/>
              </w:rPr>
              <w:t>.910</w:t>
            </w:r>
          </w:p>
        </w:tc>
        <w:tc>
          <w:tcPr>
            <w:tcW w:w="1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E5A32F"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60</w:t>
            </w:r>
            <w:proofErr w:type="gramEnd"/>
            <w:r w:rsidRPr="008753D0">
              <w:rPr>
                <w:rFonts w:ascii="Verdana" w:hAnsi="Verdana"/>
                <w:sz w:val="22"/>
                <w:szCs w:val="22"/>
              </w:rPr>
              <w:t>.840</w:t>
            </w:r>
          </w:p>
        </w:tc>
      </w:tr>
      <w:tr w:rsidR="008753D0" w:rsidRPr="008753D0" w14:paraId="36C3BDBB" w14:textId="77777777">
        <w:trPr>
          <w:tblCellSpacing w:w="15" w:type="dxa"/>
        </w:trPr>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A681B" w14:textId="77777777" w:rsidR="008753D0" w:rsidRPr="008753D0" w:rsidRDefault="008753D0" w:rsidP="008753D0">
            <w:pPr>
              <w:jc w:val="both"/>
              <w:rPr>
                <w:rFonts w:ascii="Verdana" w:hAnsi="Verdana"/>
                <w:sz w:val="22"/>
                <w:szCs w:val="22"/>
              </w:rPr>
            </w:pPr>
            <w:r w:rsidRPr="008753D0">
              <w:rPr>
                <w:rFonts w:ascii="Verdana" w:hAnsi="Verdana"/>
                <w:sz w:val="22"/>
                <w:szCs w:val="22"/>
              </w:rPr>
              <w:t>Medio Tiempo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38D582" w14:textId="77777777" w:rsidR="008753D0" w:rsidRPr="008753D0" w:rsidRDefault="008753D0" w:rsidP="008753D0">
            <w:pPr>
              <w:jc w:val="both"/>
              <w:rPr>
                <w:rFonts w:ascii="Verdana" w:hAnsi="Verdana"/>
                <w:sz w:val="22"/>
                <w:szCs w:val="22"/>
              </w:rPr>
            </w:pPr>
            <w:r w:rsidRPr="008753D0">
              <w:rPr>
                <w:rFonts w:ascii="Verdana" w:hAnsi="Verdana"/>
                <w:sz w:val="22"/>
                <w:szCs w:val="22"/>
              </w:rPr>
              <w:t>50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63C640"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21</w:t>
            </w:r>
            <w:proofErr w:type="gramEnd"/>
            <w:r w:rsidRPr="008753D0">
              <w:rPr>
                <w:rFonts w:ascii="Verdana" w:hAnsi="Verdana"/>
                <w:sz w:val="22"/>
                <w:szCs w:val="22"/>
              </w:rPr>
              <w:t>.000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B95FEA"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19</w:t>
            </w:r>
            <w:proofErr w:type="gramEnd"/>
            <w:r w:rsidRPr="008753D0">
              <w:rPr>
                <w:rFonts w:ascii="Verdana" w:hAnsi="Verdana"/>
                <w:sz w:val="22"/>
                <w:szCs w:val="22"/>
              </w:rPr>
              <w:t>.500</w:t>
            </w:r>
          </w:p>
        </w:tc>
        <w:tc>
          <w:tcPr>
            <w:tcW w:w="1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A1659A" w14:textId="77777777" w:rsidR="008753D0" w:rsidRPr="008753D0" w:rsidRDefault="008753D0" w:rsidP="008753D0">
            <w:pPr>
              <w:jc w:val="both"/>
              <w:rPr>
                <w:rFonts w:ascii="Verdana" w:hAnsi="Verdana"/>
                <w:sz w:val="22"/>
                <w:szCs w:val="22"/>
              </w:rPr>
            </w:pPr>
            <w:proofErr w:type="gramStart"/>
            <w:r w:rsidRPr="008753D0">
              <w:rPr>
                <w:rFonts w:ascii="Verdana" w:hAnsi="Verdana"/>
                <w:sz w:val="22"/>
                <w:szCs w:val="22"/>
              </w:rPr>
              <w:t>$  18</w:t>
            </w:r>
            <w:proofErr w:type="gramEnd"/>
            <w:r w:rsidRPr="008753D0">
              <w:rPr>
                <w:rFonts w:ascii="Verdana" w:hAnsi="Verdana"/>
                <w:sz w:val="22"/>
                <w:szCs w:val="22"/>
              </w:rPr>
              <w:t>.000</w:t>
            </w:r>
          </w:p>
        </w:tc>
      </w:tr>
      <w:tr w:rsidR="008753D0" w:rsidRPr="008753D0" w14:paraId="63C63449" w14:textId="77777777">
        <w:trPr>
          <w:tblCellSpacing w:w="15" w:type="dxa"/>
        </w:trPr>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528148" w14:textId="77777777" w:rsidR="008753D0" w:rsidRPr="008753D0" w:rsidRDefault="008753D0" w:rsidP="008753D0">
            <w:pPr>
              <w:jc w:val="both"/>
              <w:rPr>
                <w:rFonts w:ascii="Verdana" w:hAnsi="Verdana"/>
                <w:sz w:val="22"/>
                <w:szCs w:val="22"/>
              </w:rPr>
            </w:pPr>
            <w:r w:rsidRPr="008753D0">
              <w:rPr>
                <w:rFonts w:ascii="Verdana" w:hAnsi="Verdana"/>
                <w:b/>
                <w:bCs/>
                <w:sz w:val="22"/>
                <w:szCs w:val="22"/>
              </w:rPr>
              <w:t>Modalidad</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36728A"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D4C144"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 con 15</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074331"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 con 14</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A98172"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 con 13</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D7D9AB" w14:textId="77777777" w:rsidR="008753D0" w:rsidRPr="008753D0" w:rsidRDefault="008753D0" w:rsidP="008753D0">
            <w:pPr>
              <w:jc w:val="both"/>
              <w:rPr>
                <w:rFonts w:ascii="Verdana" w:hAnsi="Verdana"/>
                <w:sz w:val="22"/>
                <w:szCs w:val="22"/>
              </w:rPr>
            </w:pPr>
            <w:proofErr w:type="spellStart"/>
            <w:r w:rsidRPr="008753D0">
              <w:rPr>
                <w:rFonts w:ascii="Verdana" w:hAnsi="Verdana"/>
                <w:sz w:val="22"/>
                <w:szCs w:val="22"/>
              </w:rPr>
              <w:t>Flia</w:t>
            </w:r>
            <w:proofErr w:type="spellEnd"/>
            <w:r w:rsidRPr="008753D0">
              <w:rPr>
                <w:rFonts w:ascii="Verdana" w:hAnsi="Verdana"/>
                <w:sz w:val="22"/>
                <w:szCs w:val="22"/>
              </w:rPr>
              <w:t>/mes con 12</w:t>
            </w:r>
          </w:p>
        </w:tc>
      </w:tr>
      <w:tr w:rsidR="008753D0" w:rsidRPr="008753D0" w14:paraId="3AC618F6" w14:textId="77777777">
        <w:trPr>
          <w:tblCellSpacing w:w="15" w:type="dxa"/>
        </w:trPr>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D0B314" w14:textId="77777777" w:rsidR="008753D0" w:rsidRPr="008753D0" w:rsidRDefault="008753D0" w:rsidP="008753D0">
            <w:pPr>
              <w:jc w:val="both"/>
              <w:rPr>
                <w:rFonts w:ascii="Verdana" w:hAnsi="Verdana"/>
                <w:sz w:val="22"/>
                <w:szCs w:val="22"/>
              </w:rPr>
            </w:pPr>
            <w:r w:rsidRPr="008753D0">
              <w:rPr>
                <w:rFonts w:ascii="Verdana" w:hAnsi="Verdana"/>
                <w:sz w:val="22"/>
                <w:szCs w:val="22"/>
              </w:rPr>
              <w:t>FAMI</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2E8F2" w14:textId="77777777" w:rsidR="008753D0" w:rsidRPr="008753D0" w:rsidRDefault="008753D0" w:rsidP="008753D0">
            <w:pPr>
              <w:jc w:val="both"/>
              <w:rPr>
                <w:rFonts w:ascii="Verdana" w:hAnsi="Verdana"/>
                <w:sz w:val="22"/>
                <w:szCs w:val="22"/>
              </w:rPr>
            </w:pPr>
            <w:r w:rsidRPr="008753D0">
              <w:rPr>
                <w:rFonts w:ascii="Verdana" w:hAnsi="Verdana"/>
                <w:sz w:val="22"/>
                <w:szCs w:val="22"/>
              </w:rPr>
              <w:t>427</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5F6E38" w14:textId="77777777" w:rsidR="008753D0" w:rsidRPr="008753D0" w:rsidRDefault="008753D0" w:rsidP="008753D0">
            <w:pPr>
              <w:jc w:val="both"/>
              <w:rPr>
                <w:rFonts w:ascii="Verdana" w:hAnsi="Verdana"/>
                <w:sz w:val="22"/>
                <w:szCs w:val="22"/>
              </w:rPr>
            </w:pPr>
            <w:r w:rsidRPr="008753D0">
              <w:rPr>
                <w:rFonts w:ascii="Verdana" w:hAnsi="Verdana"/>
                <w:sz w:val="22"/>
                <w:szCs w:val="22"/>
              </w:rPr>
              <w:t>$    6.405</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14402D" w14:textId="77777777" w:rsidR="008753D0" w:rsidRPr="008753D0" w:rsidRDefault="008753D0" w:rsidP="008753D0">
            <w:pPr>
              <w:jc w:val="both"/>
              <w:rPr>
                <w:rFonts w:ascii="Verdana" w:hAnsi="Verdana"/>
                <w:sz w:val="22"/>
                <w:szCs w:val="22"/>
              </w:rPr>
            </w:pPr>
            <w:r w:rsidRPr="008753D0">
              <w:rPr>
                <w:rFonts w:ascii="Verdana" w:hAnsi="Verdana"/>
                <w:sz w:val="22"/>
                <w:szCs w:val="22"/>
              </w:rPr>
              <w:t>$    5.978</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EEAC0E" w14:textId="77777777" w:rsidR="008753D0" w:rsidRPr="008753D0" w:rsidRDefault="008753D0" w:rsidP="008753D0">
            <w:pPr>
              <w:jc w:val="both"/>
              <w:rPr>
                <w:rFonts w:ascii="Verdana" w:hAnsi="Verdana"/>
                <w:sz w:val="22"/>
                <w:szCs w:val="22"/>
              </w:rPr>
            </w:pPr>
            <w:r w:rsidRPr="008753D0">
              <w:rPr>
                <w:rFonts w:ascii="Verdana" w:hAnsi="Verdana"/>
                <w:sz w:val="22"/>
                <w:szCs w:val="22"/>
              </w:rPr>
              <w:t>$    5.551</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4B6748" w14:textId="77777777" w:rsidR="008753D0" w:rsidRPr="008753D0" w:rsidRDefault="008753D0" w:rsidP="008753D0">
            <w:pPr>
              <w:jc w:val="both"/>
              <w:rPr>
                <w:rFonts w:ascii="Verdana" w:hAnsi="Verdana"/>
                <w:sz w:val="22"/>
                <w:szCs w:val="22"/>
              </w:rPr>
            </w:pPr>
            <w:r w:rsidRPr="008753D0">
              <w:rPr>
                <w:rFonts w:ascii="Verdana" w:hAnsi="Verdana"/>
                <w:sz w:val="22"/>
                <w:szCs w:val="22"/>
              </w:rPr>
              <w:t>$    5.124</w:t>
            </w:r>
          </w:p>
        </w:tc>
      </w:tr>
    </w:tbl>
    <w:p w14:paraId="229D4745" w14:textId="0719EFBD" w:rsidR="004544C6" w:rsidRPr="008753D0" w:rsidRDefault="008753D0" w:rsidP="004544C6">
      <w:pPr>
        <w:jc w:val="both"/>
        <w:rPr>
          <w:rFonts w:ascii="Verdana" w:hAnsi="Verdana"/>
          <w:sz w:val="22"/>
          <w:szCs w:val="22"/>
        </w:rPr>
      </w:pPr>
      <w:r w:rsidRPr="008753D0">
        <w:rPr>
          <w:rFonts w:ascii="Verdana" w:hAnsi="Verdana"/>
          <w:sz w:val="22"/>
          <w:szCs w:val="22"/>
        </w:rPr>
        <w:t xml:space="preserve">Fuente: Dirección de Planeación- </w:t>
      </w:r>
      <w:proofErr w:type="gramStart"/>
      <w:r w:rsidRPr="008753D0">
        <w:rPr>
          <w:rFonts w:ascii="Verdana" w:hAnsi="Verdana"/>
          <w:sz w:val="22"/>
          <w:szCs w:val="22"/>
        </w:rPr>
        <w:t>Abril</w:t>
      </w:r>
      <w:proofErr w:type="gramEnd"/>
      <w:r w:rsidRPr="008753D0">
        <w:rPr>
          <w:rFonts w:ascii="Verdana" w:hAnsi="Verdana"/>
          <w:sz w:val="22"/>
          <w:szCs w:val="22"/>
        </w:rPr>
        <w:t xml:space="preserve"> 18 de 2008</w:t>
      </w:r>
    </w:p>
    <w:p w14:paraId="24EC9517" w14:textId="1E88EA93" w:rsidR="004544C6" w:rsidRPr="008753D0" w:rsidRDefault="004544C6" w:rsidP="004544C6">
      <w:pPr>
        <w:pStyle w:val="Prrafodelista"/>
        <w:numPr>
          <w:ilvl w:val="0"/>
          <w:numId w:val="3"/>
        </w:numPr>
        <w:jc w:val="both"/>
        <w:rPr>
          <w:rFonts w:ascii="Verdana" w:hAnsi="Verdana"/>
          <w:sz w:val="22"/>
          <w:szCs w:val="22"/>
        </w:rPr>
      </w:pPr>
      <w:r w:rsidRPr="008753D0">
        <w:rPr>
          <w:rFonts w:ascii="Verdana" w:hAnsi="Verdana"/>
          <w:sz w:val="22"/>
          <w:szCs w:val="22"/>
        </w:rPr>
        <w:t>Adición de los Contratos: Cada Regional deberá tramitar simultáneamente con el reconocimiento del incremento las adiciones a los contratos de aporte a que haya lugar, sin que esto afecte las fechas de pago definidas en el párrafo anterior, es decir a más tardar el mes mayo de 2008.</w:t>
      </w:r>
    </w:p>
    <w:p w14:paraId="28DFA454" w14:textId="46D1658F" w:rsidR="004544C6" w:rsidRPr="008753D0" w:rsidRDefault="004544C6" w:rsidP="004544C6">
      <w:pPr>
        <w:pStyle w:val="Prrafodelista"/>
        <w:numPr>
          <w:ilvl w:val="0"/>
          <w:numId w:val="3"/>
        </w:numPr>
        <w:jc w:val="both"/>
        <w:rPr>
          <w:rFonts w:ascii="Verdana" w:hAnsi="Verdana"/>
          <w:sz w:val="22"/>
          <w:szCs w:val="22"/>
        </w:rPr>
      </w:pPr>
      <w:r w:rsidRPr="008753D0">
        <w:rPr>
          <w:rFonts w:ascii="Verdana" w:hAnsi="Verdana"/>
          <w:sz w:val="22"/>
          <w:szCs w:val="22"/>
        </w:rPr>
        <w:t>Aplicativo de Servicios: El lunes, 21 de abril de 2008, en las horas de la mañana se envió a todas la Regionales la actualización al sistema de información de servicios, el cual permite el pago del retroactivo de los meses de enero, febrero y marzo de 2008, así como el incremento de la bonificación del 70% a partir del mes de abril, inclusive.</w:t>
      </w:r>
    </w:p>
    <w:p w14:paraId="4634504E" w14:textId="77A07125" w:rsidR="004544C6" w:rsidRPr="008753D0" w:rsidRDefault="004544C6" w:rsidP="004544C6">
      <w:pPr>
        <w:jc w:val="both"/>
        <w:rPr>
          <w:rFonts w:ascii="Verdana" w:hAnsi="Verdana"/>
          <w:sz w:val="22"/>
          <w:szCs w:val="22"/>
        </w:rPr>
      </w:pPr>
      <w:r w:rsidRPr="008753D0">
        <w:rPr>
          <w:rFonts w:ascii="Verdana" w:hAnsi="Verdana"/>
          <w:sz w:val="22"/>
          <w:szCs w:val="22"/>
        </w:rPr>
        <w:t>Es de anotar que el sistema de información deberá estar adecuado esta misma semana con el fin de que los pagos correspondientes al mes de abril no presenten demoras o atrasos, y que el pago correspondiente al mes de marzo debe encontrarse al día antes de subir la actualización del sistema de información Cualquier duda o inconveniente se podrán comunicar con la Ingeniera Ingrid Ferrer Buitrago –lnqrid.ferrer@icbf.qov.co.</w:t>
      </w:r>
    </w:p>
    <w:p w14:paraId="5FF994C7" w14:textId="77777777" w:rsidR="004544C6" w:rsidRPr="008753D0" w:rsidRDefault="004544C6" w:rsidP="004544C6">
      <w:pPr>
        <w:jc w:val="both"/>
        <w:rPr>
          <w:rFonts w:ascii="Verdana" w:hAnsi="Verdana"/>
          <w:sz w:val="22"/>
          <w:szCs w:val="22"/>
        </w:rPr>
      </w:pPr>
      <w:r w:rsidRPr="008753D0">
        <w:rPr>
          <w:rFonts w:ascii="Verdana" w:hAnsi="Verdana"/>
          <w:sz w:val="22"/>
          <w:szCs w:val="22"/>
        </w:rPr>
        <w:t>Finalmente, es necesario que cada Regional diseñe e implemente un plan de contingencia que contemple:</w:t>
      </w:r>
    </w:p>
    <w:p w14:paraId="04CD8B56" w14:textId="77777777" w:rsidR="004544C6" w:rsidRPr="008753D0" w:rsidRDefault="004544C6" w:rsidP="004544C6">
      <w:pPr>
        <w:jc w:val="both"/>
        <w:rPr>
          <w:rFonts w:ascii="Verdana" w:hAnsi="Verdana"/>
          <w:sz w:val="22"/>
          <w:szCs w:val="22"/>
        </w:rPr>
      </w:pPr>
    </w:p>
    <w:p w14:paraId="7820D7E0" w14:textId="75F2E76B" w:rsidR="004544C6" w:rsidRPr="008753D0" w:rsidRDefault="004544C6" w:rsidP="004544C6">
      <w:pPr>
        <w:pStyle w:val="Prrafodelista"/>
        <w:numPr>
          <w:ilvl w:val="0"/>
          <w:numId w:val="2"/>
        </w:numPr>
        <w:jc w:val="both"/>
        <w:rPr>
          <w:rFonts w:ascii="Verdana" w:hAnsi="Verdana"/>
          <w:sz w:val="22"/>
          <w:szCs w:val="22"/>
        </w:rPr>
      </w:pPr>
      <w:proofErr w:type="gramStart"/>
      <w:r w:rsidRPr="008753D0">
        <w:rPr>
          <w:rFonts w:ascii="Verdana" w:hAnsi="Verdana"/>
          <w:sz w:val="22"/>
          <w:szCs w:val="22"/>
        </w:rPr>
        <w:t>Asegurar</w:t>
      </w:r>
      <w:proofErr w:type="gramEnd"/>
      <w:r w:rsidRPr="008753D0">
        <w:rPr>
          <w:rFonts w:ascii="Verdana" w:hAnsi="Verdana"/>
          <w:sz w:val="22"/>
          <w:szCs w:val="22"/>
        </w:rPr>
        <w:t xml:space="preserve"> que los recursos fueron situados el 23 de abril de 2008 por la Dirección Financiera del ICBF en el presupuesto de cada una de sus Regionales y que el valor situado corresponde a lo requerido para el pago de los valores mencionados.</w:t>
      </w:r>
    </w:p>
    <w:p w14:paraId="5F7BEB79" w14:textId="394B7815" w:rsidR="004544C6" w:rsidRPr="008753D0" w:rsidRDefault="004544C6" w:rsidP="004544C6">
      <w:pPr>
        <w:pStyle w:val="Prrafodelista"/>
        <w:numPr>
          <w:ilvl w:val="0"/>
          <w:numId w:val="2"/>
        </w:numPr>
        <w:jc w:val="both"/>
        <w:rPr>
          <w:rFonts w:ascii="Verdana" w:hAnsi="Verdana"/>
          <w:sz w:val="22"/>
          <w:szCs w:val="22"/>
        </w:rPr>
      </w:pPr>
      <w:r w:rsidRPr="008753D0">
        <w:rPr>
          <w:rFonts w:ascii="Verdana" w:hAnsi="Verdana"/>
          <w:sz w:val="22"/>
          <w:szCs w:val="22"/>
        </w:rPr>
        <w:t>Gestionar a más tardar el 25 de abril una solicitud extraordinaria de recursos a Tesorería para asegurar el traslado oportuno de los mismos.</w:t>
      </w:r>
    </w:p>
    <w:p w14:paraId="6131B16B" w14:textId="77777777" w:rsidR="004544C6" w:rsidRPr="008753D0" w:rsidRDefault="004544C6" w:rsidP="004544C6">
      <w:pPr>
        <w:pStyle w:val="Prrafodelista"/>
        <w:numPr>
          <w:ilvl w:val="0"/>
          <w:numId w:val="2"/>
        </w:numPr>
        <w:jc w:val="both"/>
        <w:rPr>
          <w:rFonts w:ascii="Verdana" w:hAnsi="Verdana"/>
          <w:sz w:val="22"/>
          <w:szCs w:val="22"/>
        </w:rPr>
      </w:pPr>
      <w:r w:rsidRPr="008753D0">
        <w:rPr>
          <w:rFonts w:ascii="Verdana" w:hAnsi="Verdana"/>
          <w:sz w:val="22"/>
          <w:szCs w:val="22"/>
        </w:rPr>
        <w:t>Ejecutar las adiciones respectivas a los contratos de aporte de acuerdo con el modelo de minuta que para el efecto envíe la Dirección Jurídica del ICBF.</w:t>
      </w:r>
    </w:p>
    <w:p w14:paraId="5C7A2E95" w14:textId="77777777" w:rsidR="004544C6" w:rsidRPr="008753D0" w:rsidRDefault="004544C6" w:rsidP="004544C6">
      <w:pPr>
        <w:pStyle w:val="Prrafodelista"/>
        <w:numPr>
          <w:ilvl w:val="0"/>
          <w:numId w:val="2"/>
        </w:numPr>
        <w:jc w:val="both"/>
        <w:rPr>
          <w:rFonts w:ascii="Verdana" w:hAnsi="Verdana"/>
          <w:sz w:val="22"/>
          <w:szCs w:val="22"/>
        </w:rPr>
      </w:pPr>
      <w:r w:rsidRPr="008753D0">
        <w:rPr>
          <w:rFonts w:ascii="Verdana" w:hAnsi="Verdana"/>
          <w:sz w:val="22"/>
          <w:szCs w:val="22"/>
        </w:rPr>
        <w:lastRenderedPageBreak/>
        <w:t>Verificar la realización del pago de la bonificación del mes de marzo de   2008.</w:t>
      </w:r>
    </w:p>
    <w:p w14:paraId="10DA91C3" w14:textId="77777777" w:rsidR="004544C6" w:rsidRPr="008753D0" w:rsidRDefault="004544C6" w:rsidP="004544C6">
      <w:pPr>
        <w:pStyle w:val="Prrafodelista"/>
        <w:numPr>
          <w:ilvl w:val="0"/>
          <w:numId w:val="2"/>
        </w:numPr>
        <w:jc w:val="both"/>
        <w:rPr>
          <w:rFonts w:ascii="Verdana" w:hAnsi="Verdana"/>
          <w:sz w:val="22"/>
          <w:szCs w:val="22"/>
        </w:rPr>
      </w:pPr>
      <w:r w:rsidRPr="008753D0">
        <w:rPr>
          <w:rFonts w:ascii="Verdana" w:hAnsi="Verdana"/>
          <w:sz w:val="22"/>
          <w:szCs w:val="22"/>
        </w:rPr>
        <w:t>Instalar la actualización del sistema de información de servicios en todos   los Centros Zonales de las respectivas Regionales.</w:t>
      </w:r>
    </w:p>
    <w:p w14:paraId="1662E91A" w14:textId="59078733" w:rsidR="004544C6" w:rsidRPr="008753D0" w:rsidRDefault="004544C6" w:rsidP="004544C6">
      <w:pPr>
        <w:pStyle w:val="Prrafodelista"/>
        <w:numPr>
          <w:ilvl w:val="0"/>
          <w:numId w:val="2"/>
        </w:numPr>
        <w:jc w:val="both"/>
        <w:rPr>
          <w:rFonts w:ascii="Verdana" w:hAnsi="Verdana"/>
          <w:sz w:val="22"/>
          <w:szCs w:val="22"/>
        </w:rPr>
      </w:pPr>
      <w:r w:rsidRPr="008753D0">
        <w:rPr>
          <w:rFonts w:ascii="Verdana" w:hAnsi="Verdana"/>
          <w:sz w:val="22"/>
          <w:szCs w:val="22"/>
        </w:rPr>
        <w:t xml:space="preserve">Proceder al pago del mes de abril con el incremento de la bonificación y   el retroactivo de los meses de enero, febrero y marzo de 2008. Es </w:t>
      </w:r>
      <w:proofErr w:type="gramStart"/>
      <w:r w:rsidRPr="008753D0">
        <w:rPr>
          <w:rFonts w:ascii="Verdana" w:hAnsi="Verdana"/>
          <w:sz w:val="22"/>
          <w:szCs w:val="22"/>
        </w:rPr>
        <w:t xml:space="preserve">decir,   </w:t>
      </w:r>
      <w:proofErr w:type="gramEnd"/>
      <w:r w:rsidRPr="008753D0">
        <w:rPr>
          <w:rFonts w:ascii="Verdana" w:hAnsi="Verdana"/>
          <w:sz w:val="22"/>
          <w:szCs w:val="22"/>
        </w:rPr>
        <w:t>que a partir del mes de abril los pagos por bonificación deberán hacerse   de acuerdo con la Ley 1187 de 2008 y su decreto reglamentario.</w:t>
      </w:r>
    </w:p>
    <w:p w14:paraId="5764192E" w14:textId="77777777" w:rsidR="004544C6" w:rsidRPr="008753D0" w:rsidRDefault="004544C6" w:rsidP="004544C6">
      <w:pPr>
        <w:jc w:val="both"/>
        <w:rPr>
          <w:rFonts w:ascii="Verdana" w:hAnsi="Verdana"/>
          <w:sz w:val="22"/>
          <w:szCs w:val="22"/>
        </w:rPr>
      </w:pPr>
      <w:r w:rsidRPr="008753D0">
        <w:rPr>
          <w:rFonts w:ascii="Verdana" w:hAnsi="Verdana"/>
          <w:sz w:val="22"/>
          <w:szCs w:val="22"/>
        </w:rPr>
        <w:t>Agradecemos de antemano su valiosa colaboración, Cordial saludo,</w:t>
      </w:r>
    </w:p>
    <w:p w14:paraId="2CD0C428" w14:textId="2820B142" w:rsidR="004544C6" w:rsidRPr="008753D0" w:rsidRDefault="004544C6" w:rsidP="004544C6">
      <w:pPr>
        <w:jc w:val="both"/>
        <w:rPr>
          <w:rFonts w:ascii="Verdana" w:hAnsi="Verdana"/>
          <w:sz w:val="22"/>
          <w:szCs w:val="22"/>
        </w:rPr>
      </w:pPr>
      <w:r w:rsidRPr="008753D0">
        <w:rPr>
          <w:rFonts w:ascii="Verdana" w:hAnsi="Verdana"/>
          <w:sz w:val="22"/>
          <w:szCs w:val="22"/>
        </w:rPr>
        <w:t>Cordial saludo,</w:t>
      </w:r>
    </w:p>
    <w:p w14:paraId="48D5535E" w14:textId="51B1497F" w:rsidR="004544C6" w:rsidRPr="008753D0" w:rsidRDefault="004544C6" w:rsidP="004544C6">
      <w:pPr>
        <w:jc w:val="center"/>
        <w:rPr>
          <w:rFonts w:ascii="Verdana" w:hAnsi="Verdana"/>
          <w:b/>
          <w:bCs/>
          <w:sz w:val="22"/>
          <w:szCs w:val="22"/>
        </w:rPr>
      </w:pPr>
      <w:r w:rsidRPr="008753D0">
        <w:rPr>
          <w:rFonts w:ascii="Verdana" w:hAnsi="Verdana"/>
          <w:b/>
          <w:bCs/>
          <w:sz w:val="22"/>
          <w:szCs w:val="22"/>
        </w:rPr>
        <w:t>ELVIRA FORERO HERNÁNDEZ</w:t>
      </w:r>
    </w:p>
    <w:p w14:paraId="6276B247" w14:textId="1893013B" w:rsidR="00A724C4" w:rsidRPr="008753D0" w:rsidRDefault="004544C6" w:rsidP="004544C6">
      <w:pPr>
        <w:jc w:val="center"/>
        <w:rPr>
          <w:rFonts w:ascii="Verdana" w:hAnsi="Verdana"/>
          <w:sz w:val="22"/>
          <w:szCs w:val="22"/>
        </w:rPr>
      </w:pPr>
      <w:r w:rsidRPr="008753D0">
        <w:rPr>
          <w:rFonts w:ascii="Verdana" w:hAnsi="Verdana"/>
          <w:sz w:val="22"/>
          <w:szCs w:val="22"/>
        </w:rPr>
        <w:t>DIRECTORA GENERAL</w:t>
      </w:r>
    </w:p>
    <w:sectPr w:rsidR="00A724C4" w:rsidRPr="008753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625"/>
    <w:multiLevelType w:val="hybridMultilevel"/>
    <w:tmpl w:val="7812C5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EB3566"/>
    <w:multiLevelType w:val="hybridMultilevel"/>
    <w:tmpl w:val="72D4A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C91829"/>
    <w:multiLevelType w:val="hybridMultilevel"/>
    <w:tmpl w:val="3EEEA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372C4E"/>
    <w:multiLevelType w:val="hybridMultilevel"/>
    <w:tmpl w:val="F418E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5A75B88"/>
    <w:multiLevelType w:val="hybridMultilevel"/>
    <w:tmpl w:val="E6C6E32C"/>
    <w:lvl w:ilvl="0" w:tplc="63F8963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0E35E2"/>
    <w:multiLevelType w:val="hybridMultilevel"/>
    <w:tmpl w:val="D0FE4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6C0768D"/>
    <w:multiLevelType w:val="hybridMultilevel"/>
    <w:tmpl w:val="B8DE9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670F5E"/>
    <w:multiLevelType w:val="hybridMultilevel"/>
    <w:tmpl w:val="81CA9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2077142">
    <w:abstractNumId w:val="0"/>
  </w:num>
  <w:num w:numId="2" w16cid:durableId="1849055332">
    <w:abstractNumId w:val="4"/>
  </w:num>
  <w:num w:numId="3" w16cid:durableId="1956598211">
    <w:abstractNumId w:val="5"/>
  </w:num>
  <w:num w:numId="4" w16cid:durableId="307593044">
    <w:abstractNumId w:val="7"/>
  </w:num>
  <w:num w:numId="5" w16cid:durableId="428045189">
    <w:abstractNumId w:val="6"/>
  </w:num>
  <w:num w:numId="6" w16cid:durableId="709379894">
    <w:abstractNumId w:val="2"/>
  </w:num>
  <w:num w:numId="7" w16cid:durableId="1526627231">
    <w:abstractNumId w:val="3"/>
  </w:num>
  <w:num w:numId="8" w16cid:durableId="160171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49"/>
    <w:rsid w:val="00243CB4"/>
    <w:rsid w:val="004544C6"/>
    <w:rsid w:val="007E34DA"/>
    <w:rsid w:val="008753D0"/>
    <w:rsid w:val="00A12E49"/>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52A6"/>
  <w15:chartTrackingRefBased/>
  <w15:docId w15:val="{DBA451C4-984F-4ED9-B808-C30B51B9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2E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2E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2E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2E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2E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2E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2E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2E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2E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2E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2E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2E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2E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2E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2E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2E49"/>
    <w:rPr>
      <w:rFonts w:eastAsiaTheme="majorEastAsia" w:cstheme="majorBidi"/>
      <w:color w:val="272727" w:themeColor="text1" w:themeTint="D8"/>
    </w:rPr>
  </w:style>
  <w:style w:type="paragraph" w:styleId="Ttulo">
    <w:name w:val="Title"/>
    <w:basedOn w:val="Normal"/>
    <w:next w:val="Normal"/>
    <w:link w:val="TtuloCar"/>
    <w:uiPriority w:val="10"/>
    <w:qFormat/>
    <w:rsid w:val="00A1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2E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2E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2E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2E49"/>
    <w:pPr>
      <w:spacing w:before="160"/>
      <w:jc w:val="center"/>
    </w:pPr>
    <w:rPr>
      <w:i/>
      <w:iCs/>
      <w:color w:val="404040" w:themeColor="text1" w:themeTint="BF"/>
    </w:rPr>
  </w:style>
  <w:style w:type="character" w:customStyle="1" w:styleId="CitaCar">
    <w:name w:val="Cita Car"/>
    <w:basedOn w:val="Fuentedeprrafopredeter"/>
    <w:link w:val="Cita"/>
    <w:uiPriority w:val="29"/>
    <w:rsid w:val="00A12E49"/>
    <w:rPr>
      <w:i/>
      <w:iCs/>
      <w:color w:val="404040" w:themeColor="text1" w:themeTint="BF"/>
    </w:rPr>
  </w:style>
  <w:style w:type="paragraph" w:styleId="Prrafodelista">
    <w:name w:val="List Paragraph"/>
    <w:basedOn w:val="Normal"/>
    <w:uiPriority w:val="34"/>
    <w:qFormat/>
    <w:rsid w:val="00A12E49"/>
    <w:pPr>
      <w:ind w:left="720"/>
      <w:contextualSpacing/>
    </w:pPr>
  </w:style>
  <w:style w:type="character" w:styleId="nfasisintenso">
    <w:name w:val="Intense Emphasis"/>
    <w:basedOn w:val="Fuentedeprrafopredeter"/>
    <w:uiPriority w:val="21"/>
    <w:qFormat/>
    <w:rsid w:val="00A12E49"/>
    <w:rPr>
      <w:i/>
      <w:iCs/>
      <w:color w:val="0F4761" w:themeColor="accent1" w:themeShade="BF"/>
    </w:rPr>
  </w:style>
  <w:style w:type="paragraph" w:styleId="Citadestacada">
    <w:name w:val="Intense Quote"/>
    <w:basedOn w:val="Normal"/>
    <w:next w:val="Normal"/>
    <w:link w:val="CitadestacadaCar"/>
    <w:uiPriority w:val="30"/>
    <w:qFormat/>
    <w:rsid w:val="00A1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2E49"/>
    <w:rPr>
      <w:i/>
      <w:iCs/>
      <w:color w:val="0F4761" w:themeColor="accent1" w:themeShade="BF"/>
    </w:rPr>
  </w:style>
  <w:style w:type="character" w:styleId="Referenciaintensa">
    <w:name w:val="Intense Reference"/>
    <w:basedOn w:val="Fuentedeprrafopredeter"/>
    <w:uiPriority w:val="32"/>
    <w:qFormat/>
    <w:rsid w:val="00A12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07136-4378-4DBC-913E-73D6F27B8386}"/>
</file>

<file path=customXml/itemProps2.xml><?xml version="1.0" encoding="utf-8"?>
<ds:datastoreItem xmlns:ds="http://schemas.openxmlformats.org/officeDocument/2006/customXml" ds:itemID="{2C341061-159D-4AA7-90EB-7545B3F87EC4}"/>
</file>

<file path=customXml/itemProps3.xml><?xml version="1.0" encoding="utf-8"?>
<ds:datastoreItem xmlns:ds="http://schemas.openxmlformats.org/officeDocument/2006/customXml" ds:itemID="{73AC9C3F-2068-4BEB-876D-BECEC437051A}"/>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5428</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2026-02-05T16:34:00Z</dcterms:created>
  <dcterms:modified xsi:type="dcterms:W3CDTF">2026-02-05T16:38:00Z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