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A774" w14:textId="77777777" w:rsidR="00791562" w:rsidRPr="00791562" w:rsidRDefault="00791562" w:rsidP="00791562">
      <w:pPr>
        <w:jc w:val="center"/>
        <w:rPr>
          <w:rFonts w:ascii="Verdana" w:hAnsi="Verdana"/>
          <w:sz w:val="22"/>
          <w:szCs w:val="22"/>
        </w:rPr>
      </w:pPr>
      <w:r w:rsidRPr="00791562">
        <w:rPr>
          <w:rFonts w:ascii="Verdana" w:hAnsi="Verdana"/>
          <w:b/>
          <w:bCs/>
          <w:sz w:val="22"/>
          <w:szCs w:val="22"/>
        </w:rPr>
        <w:t>CIRCULAR 8 DE 2004</w:t>
      </w:r>
    </w:p>
    <w:p w14:paraId="6A9B155C" w14:textId="77777777" w:rsidR="00791562" w:rsidRPr="00791562" w:rsidRDefault="00791562" w:rsidP="00791562">
      <w:pPr>
        <w:jc w:val="center"/>
        <w:rPr>
          <w:rFonts w:ascii="Verdana" w:hAnsi="Verdana"/>
          <w:sz w:val="22"/>
          <w:szCs w:val="22"/>
        </w:rPr>
      </w:pPr>
      <w:r w:rsidRPr="00791562">
        <w:rPr>
          <w:rFonts w:ascii="Verdana" w:hAnsi="Verdana"/>
          <w:sz w:val="22"/>
          <w:szCs w:val="22"/>
        </w:rPr>
        <w:t>(13 febrero)</w:t>
      </w:r>
    </w:p>
    <w:p w14:paraId="46880103" w14:textId="77777777" w:rsidR="00791562" w:rsidRPr="00791562" w:rsidRDefault="00791562" w:rsidP="00791562">
      <w:pPr>
        <w:jc w:val="center"/>
        <w:rPr>
          <w:rFonts w:ascii="Verdana" w:hAnsi="Verdana"/>
          <w:sz w:val="22"/>
          <w:szCs w:val="22"/>
        </w:rPr>
      </w:pPr>
      <w:r w:rsidRPr="00791562">
        <w:rPr>
          <w:rFonts w:ascii="Verdana" w:hAnsi="Verdana"/>
          <w:b/>
          <w:bCs/>
          <w:sz w:val="22"/>
          <w:szCs w:val="22"/>
        </w:rPr>
        <w:t>INSTITUTO COLOMBIANO DE BIENESTAR FAMILIAR</w:t>
      </w:r>
    </w:p>
    <w:p w14:paraId="6A9B97CB" w14:textId="77777777" w:rsidR="00791562" w:rsidRPr="00791562" w:rsidRDefault="00791562" w:rsidP="00791562">
      <w:pPr>
        <w:jc w:val="both"/>
        <w:rPr>
          <w:rFonts w:ascii="Verdana" w:hAnsi="Verdana"/>
          <w:sz w:val="22"/>
          <w:szCs w:val="22"/>
        </w:rPr>
      </w:pPr>
      <w:r w:rsidRPr="00791562">
        <w:rPr>
          <w:rFonts w:ascii="Verdana" w:hAnsi="Verdana"/>
          <w:sz w:val="22"/>
          <w:szCs w:val="22"/>
        </w:rPr>
        <w:t>Para: Directores regionales y seccionales de agencia</w:t>
      </w:r>
    </w:p>
    <w:p w14:paraId="6E1B406D" w14:textId="77777777" w:rsidR="00791562" w:rsidRPr="00791562" w:rsidRDefault="00791562" w:rsidP="00791562">
      <w:pPr>
        <w:jc w:val="both"/>
        <w:rPr>
          <w:rFonts w:ascii="Verdana" w:hAnsi="Verdana"/>
          <w:sz w:val="22"/>
          <w:szCs w:val="22"/>
        </w:rPr>
      </w:pPr>
      <w:r w:rsidRPr="00791562">
        <w:rPr>
          <w:rFonts w:ascii="Verdana" w:hAnsi="Verdana"/>
          <w:sz w:val="22"/>
          <w:szCs w:val="22"/>
        </w:rPr>
        <w:t>Asunto: Modalidad asistencia alimentaria al escolar y adolescente</w:t>
      </w:r>
    </w:p>
    <w:p w14:paraId="26839534" w14:textId="77777777" w:rsidR="00791562" w:rsidRPr="00791562" w:rsidRDefault="00791562" w:rsidP="00791562">
      <w:pPr>
        <w:jc w:val="both"/>
        <w:rPr>
          <w:rFonts w:ascii="Verdana" w:hAnsi="Verdana"/>
          <w:sz w:val="22"/>
          <w:szCs w:val="22"/>
        </w:rPr>
      </w:pPr>
      <w:r w:rsidRPr="00791562">
        <w:rPr>
          <w:rFonts w:ascii="Verdana" w:hAnsi="Verdana"/>
          <w:sz w:val="22"/>
          <w:szCs w:val="22"/>
        </w:rPr>
        <w:t>Con un cordial saludo, me permito informarles que de acuerdo con el análisis realizado de la modalidad de Asistencia Nutricional al Escolar y Adolescente, se vio la necesidad de cualificar la atención a los niños y jóvenes beneficiarios de la misma. Dado lo anterior los lineamientos técnicos y estándares alimentarios para el servicio de Restaurantes Escolares, han sido modificados en cuanto a su definición, objetivos y operación del servicio. A continuación me permito describir la línea técnica sobre el tema y las decisiones de carácter presupuestal que implica:</w:t>
      </w:r>
    </w:p>
    <w:p w14:paraId="20FFAC42" w14:textId="7D5E254F" w:rsidR="00791562" w:rsidRPr="00791562" w:rsidRDefault="00791562" w:rsidP="00791562">
      <w:pPr>
        <w:jc w:val="both"/>
        <w:rPr>
          <w:rFonts w:ascii="Verdana" w:hAnsi="Verdana"/>
          <w:sz w:val="22"/>
          <w:szCs w:val="22"/>
        </w:rPr>
      </w:pPr>
      <w:r w:rsidRPr="00791562">
        <w:rPr>
          <w:rFonts w:ascii="Verdana" w:hAnsi="Verdana"/>
          <w:sz w:val="22"/>
          <w:szCs w:val="22"/>
        </w:rPr>
        <w:t>Es claro que esta modalidad de atención va enfocada hacia la generación de medidas e incentivos que promuevan la permanencia de los niños en el sistema educativo, tanto así, que en la distribución del sistema general de participaciones definido mediante Ley </w:t>
      </w:r>
      <w:r w:rsidRPr="00134F2A">
        <w:rPr>
          <w:rFonts w:ascii="Verdana" w:hAnsi="Verdana"/>
          <w:sz w:val="22"/>
          <w:szCs w:val="22"/>
        </w:rPr>
        <w:t>715</w:t>
      </w:r>
      <w:r w:rsidRPr="00791562">
        <w:rPr>
          <w:rFonts w:ascii="Verdana" w:hAnsi="Verdana"/>
          <w:sz w:val="22"/>
          <w:szCs w:val="22"/>
        </w:rPr>
        <w:t> de 2001, se establece que el 0.5% del 4% del total de dichos recursos, se asignen con destinación específica para que los municipios y distritos desarrollen programas de alimentación al escolar.</w:t>
      </w:r>
    </w:p>
    <w:p w14:paraId="0B801494" w14:textId="77777777" w:rsidR="00791562" w:rsidRPr="00791562" w:rsidRDefault="00791562" w:rsidP="00791562">
      <w:pPr>
        <w:jc w:val="both"/>
        <w:rPr>
          <w:rFonts w:ascii="Verdana" w:hAnsi="Verdana"/>
          <w:sz w:val="22"/>
          <w:szCs w:val="22"/>
        </w:rPr>
      </w:pPr>
      <w:r w:rsidRPr="00791562">
        <w:rPr>
          <w:rFonts w:ascii="Verdana" w:hAnsi="Verdana"/>
          <w:sz w:val="22"/>
          <w:szCs w:val="22"/>
        </w:rPr>
        <w:t>Considerando que las acciones de alimentación y la nutrición de niños y adolescentes son materia de salud pública, compete al Ministerio de la Protección Social en conjunto con el Instituto Colombiano de Bienestar Familiar formular políticas y estrategias para su desarrollo.</w:t>
      </w:r>
    </w:p>
    <w:p w14:paraId="4BA238DF" w14:textId="77777777" w:rsidR="00791562" w:rsidRPr="00791562" w:rsidRDefault="00791562" w:rsidP="00791562">
      <w:pPr>
        <w:jc w:val="both"/>
        <w:rPr>
          <w:rFonts w:ascii="Verdana" w:hAnsi="Verdana"/>
          <w:sz w:val="22"/>
          <w:szCs w:val="22"/>
        </w:rPr>
      </w:pPr>
      <w:r w:rsidRPr="00791562">
        <w:rPr>
          <w:rFonts w:ascii="Verdana" w:hAnsi="Verdana"/>
          <w:sz w:val="22"/>
          <w:szCs w:val="22"/>
        </w:rPr>
        <w:t>Por lo anterior y con el objeto de establecer las reglas para la distribución, aplicación y ejecución de los recursos para los programas de alimentación al escolar asignados por la ley 715, que cumplan con los lineamientos técnicos del ICBF, el Nivel Nacional viene adelantando gestiones con el Ministerio de la Protección Social y con el Ministerio de Educación para la reglamentación de lo establecido en dicha Ley.</w:t>
      </w:r>
    </w:p>
    <w:p w14:paraId="296CAB50" w14:textId="77777777" w:rsidR="00791562" w:rsidRPr="00791562" w:rsidRDefault="00791562" w:rsidP="00791562">
      <w:pPr>
        <w:jc w:val="both"/>
        <w:rPr>
          <w:rFonts w:ascii="Verdana" w:hAnsi="Verdana"/>
          <w:sz w:val="22"/>
          <w:szCs w:val="22"/>
        </w:rPr>
      </w:pPr>
      <w:r w:rsidRPr="00791562">
        <w:rPr>
          <w:rFonts w:ascii="Verdana" w:hAnsi="Verdana"/>
          <w:sz w:val="22"/>
          <w:szCs w:val="22"/>
        </w:rPr>
        <w:t>En este sentido los lineamientos técnicos anexos para el programa tienen como objetivo disponer de una sola línea técnica que facilite la articulación, la cofinanciación y elaboración de convenios con los entes territoriales para la cualificación de la atención a la población escolar.</w:t>
      </w:r>
    </w:p>
    <w:p w14:paraId="48F4EFE8" w14:textId="77777777" w:rsidR="00791562" w:rsidRPr="00791562" w:rsidRDefault="00791562" w:rsidP="00791562">
      <w:pPr>
        <w:jc w:val="both"/>
        <w:rPr>
          <w:rFonts w:ascii="Verdana" w:hAnsi="Verdana"/>
          <w:sz w:val="22"/>
          <w:szCs w:val="22"/>
        </w:rPr>
      </w:pPr>
      <w:r w:rsidRPr="00791562">
        <w:rPr>
          <w:rFonts w:ascii="Verdana" w:hAnsi="Verdana"/>
          <w:sz w:val="22"/>
          <w:szCs w:val="22"/>
        </w:rPr>
        <w:t>Algunos de los aspectos más relevantes de estos lineamientos son:</w:t>
      </w:r>
    </w:p>
    <w:p w14:paraId="77A47AEF" w14:textId="77777777" w:rsidR="00791562" w:rsidRPr="00791562" w:rsidRDefault="00791562" w:rsidP="00791562">
      <w:pPr>
        <w:jc w:val="both"/>
        <w:rPr>
          <w:rFonts w:ascii="Verdana" w:hAnsi="Verdana"/>
          <w:sz w:val="22"/>
          <w:szCs w:val="22"/>
        </w:rPr>
      </w:pPr>
      <w:r w:rsidRPr="00791562">
        <w:rPr>
          <w:rFonts w:ascii="Verdana" w:hAnsi="Verdana"/>
          <w:sz w:val="22"/>
          <w:szCs w:val="22"/>
        </w:rPr>
        <w:lastRenderedPageBreak/>
        <w:t>Ø Se define como </w:t>
      </w:r>
      <w:r w:rsidRPr="00791562">
        <w:rPr>
          <w:rFonts w:ascii="Verdana" w:hAnsi="Verdana"/>
          <w:b/>
          <w:bCs/>
          <w:sz w:val="22"/>
          <w:szCs w:val="22"/>
        </w:rPr>
        <w:t>programa de alimentación</w:t>
      </w:r>
      <w:r w:rsidRPr="00791562">
        <w:rPr>
          <w:rFonts w:ascii="Verdana" w:hAnsi="Verdana"/>
          <w:sz w:val="22"/>
          <w:szCs w:val="22"/>
        </w:rPr>
        <w:t> </w:t>
      </w:r>
      <w:r w:rsidRPr="00791562">
        <w:rPr>
          <w:rFonts w:ascii="Verdana" w:hAnsi="Verdana"/>
          <w:b/>
          <w:bCs/>
          <w:sz w:val="22"/>
          <w:szCs w:val="22"/>
        </w:rPr>
        <w:t>escolar</w:t>
      </w:r>
      <w:r w:rsidRPr="00791562">
        <w:rPr>
          <w:rFonts w:ascii="Verdana" w:hAnsi="Verdana"/>
          <w:sz w:val="22"/>
          <w:szCs w:val="22"/>
        </w:rPr>
        <w:t> el suministro de un complemento alimentario durante la jornada escolar, el desarrollo de acciones de alimentación, salud y nutrición y la promoción de estilos de vida saludables, que contribuyan a mantener la asistencia regular, evitar la deserción y apoyar la función cognitiva de los niños, que se encuentran cursando sus estudios en establecimientos educativos y en condición de vulnerabilidad socioeconómica.</w:t>
      </w:r>
    </w:p>
    <w:p w14:paraId="7C0D12FD" w14:textId="77777777" w:rsidR="00791562" w:rsidRPr="00791562" w:rsidRDefault="00791562" w:rsidP="00791562">
      <w:pPr>
        <w:jc w:val="both"/>
        <w:rPr>
          <w:rFonts w:ascii="Verdana" w:hAnsi="Verdana"/>
          <w:sz w:val="22"/>
          <w:szCs w:val="22"/>
        </w:rPr>
      </w:pPr>
      <w:r w:rsidRPr="00791562">
        <w:rPr>
          <w:rFonts w:ascii="Verdana" w:hAnsi="Verdana"/>
          <w:sz w:val="22"/>
          <w:szCs w:val="22"/>
        </w:rPr>
        <w:t>Ø </w:t>
      </w:r>
      <w:r w:rsidRPr="00791562">
        <w:rPr>
          <w:rFonts w:ascii="Verdana" w:hAnsi="Verdana"/>
          <w:b/>
          <w:bCs/>
          <w:sz w:val="22"/>
          <w:szCs w:val="22"/>
        </w:rPr>
        <w:t>La selección de la población se realiza por centros educativos públicos</w:t>
      </w:r>
      <w:r w:rsidRPr="00791562">
        <w:rPr>
          <w:rFonts w:ascii="Verdana" w:hAnsi="Verdana"/>
          <w:sz w:val="22"/>
          <w:szCs w:val="22"/>
        </w:rPr>
        <w:t> que tienen preescolar hasta quinto grado de primaria, dando prelación a los establecimientos rurales, indígenas o que atiendan población desplazada, y en el área urbana a los establecimientos que tengan la mayor proporción de la población clasificada en los niveles 1 y 2 de la Encuesta SISBEN.</w:t>
      </w:r>
    </w:p>
    <w:p w14:paraId="1C9E70F8" w14:textId="77777777" w:rsidR="00791562" w:rsidRPr="00791562" w:rsidRDefault="00791562" w:rsidP="00791562">
      <w:pPr>
        <w:jc w:val="both"/>
        <w:rPr>
          <w:rFonts w:ascii="Verdana" w:hAnsi="Verdana"/>
          <w:sz w:val="22"/>
          <w:szCs w:val="22"/>
        </w:rPr>
      </w:pPr>
      <w:r w:rsidRPr="00791562">
        <w:rPr>
          <w:rFonts w:ascii="Verdana" w:hAnsi="Verdana"/>
          <w:sz w:val="22"/>
          <w:szCs w:val="22"/>
        </w:rPr>
        <w:t>Ø En cada uno de los centros educativos seleccionados se atenderá progresivamente con el programa de alimentación escolar, buscando cubrir el 100% de los alumnos matriculados en los grados establecidos, iniciando con el nivel preescolar, conforme a la disponibilidad de recursos. Se priorizarán los centros educativos con escolares de primaria, hasta cubrir el 100% de estos establecimientos educativos. Una vez se asegure el cubrimiento total de las instituciones educativas de primaria con población vulnerable, se podrá iniciar el programa en establecimientos educativos con escolares de grado sexto en adelante, en caso de contar con recursos adicionales.</w:t>
      </w:r>
    </w:p>
    <w:p w14:paraId="056093B8" w14:textId="77777777" w:rsidR="00791562" w:rsidRPr="00791562" w:rsidRDefault="00791562" w:rsidP="00791562">
      <w:pPr>
        <w:jc w:val="both"/>
        <w:rPr>
          <w:rFonts w:ascii="Verdana" w:hAnsi="Verdana"/>
          <w:sz w:val="22"/>
          <w:szCs w:val="22"/>
        </w:rPr>
      </w:pPr>
      <w:r w:rsidRPr="00791562">
        <w:rPr>
          <w:rFonts w:ascii="Verdana" w:hAnsi="Verdana"/>
          <w:sz w:val="22"/>
          <w:szCs w:val="22"/>
        </w:rPr>
        <w:t>Para lograr la atención total de niños matriculados en cada escuela pública se requiere una fuerte gestión del ICBF con los entes territoriales, gobernadores y alcaldes de los municipios que garanticen la concurrencia de recursos desde los diferentes sectores y niveles territoriales.</w:t>
      </w:r>
    </w:p>
    <w:p w14:paraId="650FA11B" w14:textId="2B96E2EB" w:rsidR="00791562" w:rsidRPr="00791562" w:rsidRDefault="00791562" w:rsidP="00791562">
      <w:pPr>
        <w:jc w:val="both"/>
        <w:rPr>
          <w:rFonts w:ascii="Verdana" w:hAnsi="Verdana"/>
          <w:sz w:val="22"/>
          <w:szCs w:val="22"/>
        </w:rPr>
      </w:pPr>
      <w:r w:rsidRPr="00791562">
        <w:rPr>
          <w:rFonts w:ascii="Verdana" w:hAnsi="Verdana"/>
          <w:sz w:val="22"/>
          <w:szCs w:val="22"/>
        </w:rPr>
        <w:t>El ICBF aporta en todo el país para la atención a la población escolar en asistencia nutricional la suma de $135.000.000.000 para la vigencia 2004. Los recursos asignados por Ley </w:t>
      </w:r>
      <w:r>
        <w:rPr>
          <w:rFonts w:ascii="Verdana" w:hAnsi="Verdana"/>
          <w:sz w:val="22"/>
          <w:szCs w:val="22"/>
        </w:rPr>
        <w:t>715</w:t>
      </w:r>
      <w:r w:rsidRPr="00791562">
        <w:rPr>
          <w:rFonts w:ascii="Verdana" w:hAnsi="Verdana"/>
          <w:sz w:val="22"/>
          <w:szCs w:val="22"/>
        </w:rPr>
        <w:t> a los municipios con destinación específica para alimentación escolar correspondientes al año 2004, corresponden a $64.846.585.682, de acuerdo con lo establecido en el CONPES 77, de distribución del SGP vigencia 2004.</w:t>
      </w:r>
    </w:p>
    <w:p w14:paraId="23A4698B" w14:textId="77777777" w:rsidR="00791562" w:rsidRPr="00791562" w:rsidRDefault="00791562" w:rsidP="00791562">
      <w:pPr>
        <w:jc w:val="both"/>
        <w:rPr>
          <w:rFonts w:ascii="Verdana" w:hAnsi="Verdana"/>
          <w:sz w:val="22"/>
          <w:szCs w:val="22"/>
        </w:rPr>
      </w:pPr>
      <w:r w:rsidRPr="00791562">
        <w:rPr>
          <w:rFonts w:ascii="Verdana" w:hAnsi="Verdana"/>
          <w:sz w:val="22"/>
          <w:szCs w:val="22"/>
        </w:rPr>
        <w:t>Así mismo, es posible la consecución de recursos provenientes de calidad de educación de participación para salud en atención a grupos vulnerables de resguardos indígenas, de propósito general o con recursos propios de los municipios o de los departamentos, que permitan cualificar el programa y ampliar la cobertura del programa al mayor número posible de niños.</w:t>
      </w:r>
    </w:p>
    <w:p w14:paraId="7571C013" w14:textId="77777777" w:rsidR="00791562" w:rsidRPr="00791562" w:rsidRDefault="00791562" w:rsidP="00791562">
      <w:pPr>
        <w:jc w:val="both"/>
        <w:rPr>
          <w:rFonts w:ascii="Verdana" w:hAnsi="Verdana"/>
          <w:sz w:val="22"/>
          <w:szCs w:val="22"/>
        </w:rPr>
      </w:pPr>
      <w:r w:rsidRPr="00791562">
        <w:rPr>
          <w:rFonts w:ascii="Verdana" w:hAnsi="Verdana"/>
          <w:sz w:val="22"/>
          <w:szCs w:val="22"/>
        </w:rPr>
        <w:t xml:space="preserve">De acuerdo con la revisión técnica realizada para la actualización de los lineamientos, que evidencian la importancia del desayuno frente al proceso de aprendizaje del niño y considerando los resultados de la investigación sobre la modalidad de desayunos escolares donde se encuentra que una de las </w:t>
      </w:r>
      <w:r w:rsidRPr="00791562">
        <w:rPr>
          <w:rFonts w:ascii="Verdana" w:hAnsi="Verdana"/>
          <w:sz w:val="22"/>
          <w:szCs w:val="22"/>
        </w:rPr>
        <w:lastRenderedPageBreak/>
        <w:t>principales barreras de acceso al servicio por parte de los niños más pobres es el pago de la cuota de participación, sumado a los estudios y análisis técnicos y financieros realizados, así como los factores de cobertura y cualificación del servicio, se ha tomado la decisión de incrementar el costo ración asignado para la modalidad que estaba programada como desayuno o como refrigerio escolar.</w:t>
      </w:r>
    </w:p>
    <w:p w14:paraId="27E29D27" w14:textId="77777777" w:rsidR="00791562" w:rsidRPr="00791562" w:rsidRDefault="00791562" w:rsidP="00791562">
      <w:pPr>
        <w:jc w:val="both"/>
        <w:rPr>
          <w:rFonts w:ascii="Verdana" w:hAnsi="Verdana"/>
          <w:sz w:val="22"/>
          <w:szCs w:val="22"/>
        </w:rPr>
      </w:pPr>
      <w:r w:rsidRPr="00791562">
        <w:rPr>
          <w:rFonts w:ascii="Verdana" w:hAnsi="Verdana"/>
          <w:sz w:val="22"/>
          <w:szCs w:val="22"/>
        </w:rPr>
        <w:t>Lo anterior implica establecer el reconocimiento </w:t>
      </w:r>
      <w:r w:rsidRPr="00791562">
        <w:rPr>
          <w:rFonts w:ascii="Verdana" w:hAnsi="Verdana"/>
          <w:b/>
          <w:bCs/>
          <w:sz w:val="22"/>
          <w:szCs w:val="22"/>
        </w:rPr>
        <w:t>de $455 ración niño día</w:t>
      </w:r>
      <w:r w:rsidRPr="00791562">
        <w:rPr>
          <w:rFonts w:ascii="Verdana" w:hAnsi="Verdana"/>
          <w:sz w:val="22"/>
          <w:szCs w:val="22"/>
        </w:rPr>
        <w:t>, con un </w:t>
      </w:r>
      <w:r w:rsidRPr="00791562">
        <w:rPr>
          <w:rFonts w:ascii="Verdana" w:hAnsi="Verdana"/>
          <w:b/>
          <w:bCs/>
          <w:sz w:val="22"/>
          <w:szCs w:val="22"/>
        </w:rPr>
        <w:t>aporte nutricional mínimo del 20%</w:t>
      </w:r>
      <w:r w:rsidRPr="00791562">
        <w:rPr>
          <w:rFonts w:ascii="Verdana" w:hAnsi="Verdana"/>
          <w:sz w:val="22"/>
          <w:szCs w:val="22"/>
        </w:rPr>
        <w:t> de las recomendaciones diarias de calorías y nutrientes para niños entre los 5 y 12 años de edad, establecidas por el Instituto Colombiano de Bienestar Familiar para la población Colombiana. Adicionalmente se debe garantizar que el 100% de los niños usuarios de la modalidad de </w:t>
      </w:r>
      <w:r w:rsidRPr="00791562">
        <w:rPr>
          <w:rFonts w:ascii="Verdana" w:hAnsi="Verdana"/>
          <w:b/>
          <w:bCs/>
          <w:sz w:val="22"/>
          <w:szCs w:val="22"/>
        </w:rPr>
        <w:t>desayunos escolares, no tengan que pagar la cuota de participación.</w:t>
      </w:r>
    </w:p>
    <w:p w14:paraId="3BB3AB93" w14:textId="77777777" w:rsidR="00791562" w:rsidRPr="00791562" w:rsidRDefault="00791562" w:rsidP="00791562">
      <w:pPr>
        <w:jc w:val="both"/>
        <w:rPr>
          <w:rFonts w:ascii="Verdana" w:hAnsi="Verdana"/>
          <w:sz w:val="22"/>
          <w:szCs w:val="22"/>
        </w:rPr>
      </w:pPr>
      <w:r w:rsidRPr="00791562">
        <w:rPr>
          <w:rFonts w:ascii="Verdana" w:hAnsi="Verdana"/>
          <w:sz w:val="22"/>
          <w:szCs w:val="22"/>
        </w:rPr>
        <w:t>Esta decisión de gran impacto en el proceso de cualificación del programa, busca avanzar en el ideal de garantizar la alimentación escolar sin costo para el total de niños matriculados en las escuelas públicas, convirtiéndose en un incentivo para la permanencia de los niños en la escuela.</w:t>
      </w:r>
    </w:p>
    <w:p w14:paraId="76C9E809" w14:textId="77777777" w:rsidR="00791562" w:rsidRPr="00791562" w:rsidRDefault="00791562" w:rsidP="00791562">
      <w:pPr>
        <w:jc w:val="both"/>
        <w:rPr>
          <w:rFonts w:ascii="Verdana" w:hAnsi="Verdana"/>
          <w:sz w:val="22"/>
          <w:szCs w:val="22"/>
        </w:rPr>
      </w:pPr>
      <w:r w:rsidRPr="00791562">
        <w:rPr>
          <w:rFonts w:ascii="Verdana" w:hAnsi="Verdana"/>
          <w:sz w:val="22"/>
          <w:szCs w:val="22"/>
        </w:rPr>
        <w:t>El esfuerzo del ICBF es importante en la destinación de recursos para facilitar el acceso del niño al restaurante escolar, es un adelanto como respuesta del Gobierno Nacional a la crítica situación de la deserción escolar, del ausentismo y es un aporte nutricional significativo en cuanto a la alimentación de los niños frente a la carencia de alimentos en muchos hogares.</w:t>
      </w:r>
    </w:p>
    <w:p w14:paraId="3AD7A5F8" w14:textId="77777777" w:rsidR="00791562" w:rsidRPr="00791562" w:rsidRDefault="00791562" w:rsidP="00791562">
      <w:pPr>
        <w:jc w:val="both"/>
        <w:rPr>
          <w:rFonts w:ascii="Verdana" w:hAnsi="Verdana"/>
          <w:sz w:val="22"/>
          <w:szCs w:val="22"/>
        </w:rPr>
      </w:pPr>
      <w:r w:rsidRPr="00791562">
        <w:rPr>
          <w:rFonts w:ascii="Verdana" w:hAnsi="Verdana"/>
          <w:sz w:val="22"/>
          <w:szCs w:val="22"/>
        </w:rPr>
        <w:t>Se requiere fortalecer la gestión de todos: directores regionales, coordinadores zonales y de todos los servidores públicos del ICBF para lograr la concurrencia de recursos de Municipios, Gobernaciones, Organizaciones Gubernamentales, Industria, Comunidades y Familias que permitan lograr la meta de garantizar que el 100% de niños escolares tengan la oportunidad de formar parte de las acciones integrales de la modalidad de asistencia alimentaria al escolar y adolescente.</w:t>
      </w:r>
    </w:p>
    <w:p w14:paraId="7E06E8F1" w14:textId="77777777" w:rsidR="00791562" w:rsidRPr="00791562" w:rsidRDefault="00791562" w:rsidP="00791562">
      <w:pPr>
        <w:jc w:val="both"/>
        <w:rPr>
          <w:rFonts w:ascii="Verdana" w:hAnsi="Verdana"/>
          <w:sz w:val="22"/>
          <w:szCs w:val="22"/>
        </w:rPr>
      </w:pPr>
      <w:r w:rsidRPr="00791562">
        <w:rPr>
          <w:rFonts w:ascii="Verdana" w:hAnsi="Verdana"/>
          <w:sz w:val="22"/>
          <w:szCs w:val="22"/>
        </w:rPr>
        <w:t>La participación y organización de las Asociaciones de Padres de Familia, de las Juntas Administradoras, de las ONG que administran los servicios es de suma importancia por cuanto en ellas también se encuentra la racionalización de costos. Es necesario promover la organización de los operadores del servicio de tal forma que se garantice que a una mayor compra de alimentos se logre mejor precio y mejor calidad de los alimentos.</w:t>
      </w:r>
    </w:p>
    <w:p w14:paraId="6A235B30" w14:textId="77777777" w:rsidR="00791562" w:rsidRPr="00791562" w:rsidRDefault="00791562" w:rsidP="00791562">
      <w:pPr>
        <w:jc w:val="both"/>
        <w:rPr>
          <w:rFonts w:ascii="Verdana" w:hAnsi="Verdana"/>
          <w:sz w:val="22"/>
          <w:szCs w:val="22"/>
        </w:rPr>
      </w:pPr>
      <w:r w:rsidRPr="00791562">
        <w:rPr>
          <w:rFonts w:ascii="Verdana" w:hAnsi="Verdana"/>
          <w:sz w:val="22"/>
          <w:szCs w:val="22"/>
        </w:rPr>
        <w:t>Los Consejos de Política Social Municipales y Departamentales, las Redes y las Alianzas deben ser canalizados con el fin de contribuir a lograr una mejor condición de la población escolar.</w:t>
      </w:r>
    </w:p>
    <w:p w14:paraId="696E212B" w14:textId="77777777" w:rsidR="00791562" w:rsidRPr="00791562" w:rsidRDefault="00791562" w:rsidP="00791562">
      <w:pPr>
        <w:jc w:val="both"/>
        <w:rPr>
          <w:rFonts w:ascii="Verdana" w:hAnsi="Verdana"/>
          <w:sz w:val="22"/>
          <w:szCs w:val="22"/>
        </w:rPr>
      </w:pPr>
      <w:r w:rsidRPr="00791562">
        <w:rPr>
          <w:rFonts w:ascii="Verdana" w:hAnsi="Verdana"/>
          <w:sz w:val="22"/>
          <w:szCs w:val="22"/>
        </w:rPr>
        <w:t>En cuanto a los niños que son beneficiarios de la modalidad en almuerzo que aporta un 30% de los requerimientos del mismo grupo de edad, es necesario gestionar a nivel local los recursos que permitan eliminar la cuota de participación o continuar con el aporte de la comunidad dado que a pesar de todo el esfuerzo financiero por parte del ICBF no logramos cubrir los niños atendidos con esta modalidad.</w:t>
      </w:r>
    </w:p>
    <w:p w14:paraId="40FB5B91" w14:textId="77777777" w:rsidR="00791562" w:rsidRPr="00791562" w:rsidRDefault="00791562" w:rsidP="00791562">
      <w:pPr>
        <w:jc w:val="both"/>
        <w:rPr>
          <w:rFonts w:ascii="Verdana" w:hAnsi="Verdana"/>
          <w:sz w:val="22"/>
          <w:szCs w:val="22"/>
        </w:rPr>
      </w:pPr>
      <w:r w:rsidRPr="00791562">
        <w:rPr>
          <w:rFonts w:ascii="Verdana" w:hAnsi="Verdana"/>
          <w:sz w:val="22"/>
          <w:szCs w:val="22"/>
        </w:rPr>
        <w:t>La programación realizada por las regionales en el mes de Diciembre de 2003, se mantiene en lo relacionado con número de usuarios y valores, asignados para la modalidad almuerzo. Todo lo programado como refrigerio se debe convertir a desayunos, para lo cual se adicionarán los recursos que permitan cubrir el mismo número de niños programados por desayuno y refrigerios, con el valor requerido por cada regional para lograr equiparar los $ 455 establecidos como costo ración niño día; el periodo de atención continúa financiado por ICBF para los 120 días definidos.</w:t>
      </w:r>
    </w:p>
    <w:p w14:paraId="05F4A791" w14:textId="77777777" w:rsidR="00791562" w:rsidRPr="00791562" w:rsidRDefault="00791562" w:rsidP="00791562">
      <w:pPr>
        <w:jc w:val="both"/>
        <w:rPr>
          <w:rFonts w:ascii="Verdana" w:hAnsi="Verdana"/>
          <w:sz w:val="22"/>
          <w:szCs w:val="22"/>
        </w:rPr>
      </w:pPr>
      <w:r w:rsidRPr="00791562">
        <w:rPr>
          <w:rFonts w:ascii="Verdana" w:hAnsi="Verdana"/>
          <w:sz w:val="22"/>
          <w:szCs w:val="22"/>
        </w:rPr>
        <w:t>Mediante resolución se adicionará lo correspondiente a cada regional, logrando la mayoría de regionales incrementos entre el 10% y 50% del costo ración históricamente asignado. </w:t>
      </w:r>
      <w:r w:rsidRPr="00791562">
        <w:rPr>
          <w:rFonts w:ascii="Verdana" w:hAnsi="Verdana"/>
          <w:b/>
          <w:bCs/>
          <w:sz w:val="22"/>
          <w:szCs w:val="22"/>
        </w:rPr>
        <w:t>En todo caso para desayunos debe garantizarse que los niños beneficiarios no paguen valor alguno por la prestación del servicio.</w:t>
      </w:r>
    </w:p>
    <w:p w14:paraId="15CD09A5" w14:textId="77777777" w:rsidR="00791562" w:rsidRPr="00791562" w:rsidRDefault="00791562" w:rsidP="00791562">
      <w:pPr>
        <w:jc w:val="both"/>
        <w:rPr>
          <w:rFonts w:ascii="Verdana" w:hAnsi="Verdana"/>
          <w:sz w:val="22"/>
          <w:szCs w:val="22"/>
        </w:rPr>
      </w:pPr>
      <w:r w:rsidRPr="00791562">
        <w:rPr>
          <w:rFonts w:ascii="Verdana" w:hAnsi="Verdana"/>
          <w:sz w:val="22"/>
          <w:szCs w:val="22"/>
        </w:rPr>
        <w:t>Señores Directores, es necesario que los programas de alimentación escolar formen parte de las propuestas integrales de seguridad alimentaria y nutricional de los municipios y de los departamentos. De igual manera es preciso fortalecer la concurrencia de todos los recursos para generar mejores condiciones a la población en edad escolar.</w:t>
      </w:r>
    </w:p>
    <w:p w14:paraId="75F7B99B" w14:textId="77777777" w:rsidR="00791562" w:rsidRPr="00791562" w:rsidRDefault="00791562" w:rsidP="00791562">
      <w:pPr>
        <w:jc w:val="both"/>
        <w:rPr>
          <w:rFonts w:ascii="Verdana" w:hAnsi="Verdana"/>
          <w:sz w:val="22"/>
          <w:szCs w:val="22"/>
        </w:rPr>
      </w:pPr>
      <w:r w:rsidRPr="00791562">
        <w:rPr>
          <w:rFonts w:ascii="Verdana" w:hAnsi="Verdana"/>
          <w:sz w:val="22"/>
          <w:szCs w:val="22"/>
        </w:rPr>
        <w:t>Atentamente,</w:t>
      </w:r>
    </w:p>
    <w:p w14:paraId="3B987821" w14:textId="77777777" w:rsidR="00791562" w:rsidRPr="00791562" w:rsidRDefault="00791562" w:rsidP="00791562">
      <w:pPr>
        <w:jc w:val="center"/>
        <w:rPr>
          <w:rFonts w:ascii="Verdana" w:hAnsi="Verdana"/>
          <w:sz w:val="22"/>
          <w:szCs w:val="22"/>
        </w:rPr>
      </w:pPr>
      <w:r w:rsidRPr="00791562">
        <w:rPr>
          <w:rFonts w:ascii="Verdana" w:hAnsi="Verdana"/>
          <w:b/>
          <w:bCs/>
          <w:sz w:val="22"/>
          <w:szCs w:val="22"/>
        </w:rPr>
        <w:t>BEATRÍZ LONDOÑO SOTO</w:t>
      </w:r>
    </w:p>
    <w:p w14:paraId="6345578A" w14:textId="77777777" w:rsidR="00791562" w:rsidRPr="00791562" w:rsidRDefault="00791562" w:rsidP="00791562">
      <w:pPr>
        <w:jc w:val="center"/>
        <w:rPr>
          <w:rFonts w:ascii="Verdana" w:hAnsi="Verdana"/>
          <w:sz w:val="22"/>
          <w:szCs w:val="22"/>
        </w:rPr>
      </w:pPr>
      <w:r w:rsidRPr="00791562">
        <w:rPr>
          <w:rFonts w:ascii="Verdana" w:hAnsi="Verdana"/>
          <w:sz w:val="22"/>
          <w:szCs w:val="22"/>
        </w:rPr>
        <w:t>Directora General</w:t>
      </w:r>
    </w:p>
    <w:p w14:paraId="220F70CF" w14:textId="77777777" w:rsidR="007E46F5" w:rsidRPr="00791562" w:rsidRDefault="007E46F5" w:rsidP="00791562">
      <w:pPr>
        <w:jc w:val="both"/>
      </w:pPr>
    </w:p>
    <w:sectPr w:rsidR="007E46F5" w:rsidRPr="007915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2"/>
    <w:rsid w:val="00050F65"/>
    <w:rsid w:val="000D1DB8"/>
    <w:rsid w:val="00134F2A"/>
    <w:rsid w:val="00483A32"/>
    <w:rsid w:val="00752FB3"/>
    <w:rsid w:val="00791562"/>
    <w:rsid w:val="007E46F5"/>
    <w:rsid w:val="00A4254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C9BF"/>
  <w15:chartTrackingRefBased/>
  <w15:docId w15:val="{6F75821F-8A3B-4546-BE05-24E4FD43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3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3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3A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3A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3A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3A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3A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3A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3A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3A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3A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3A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3A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3A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3A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3A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3A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3A32"/>
    <w:rPr>
      <w:rFonts w:eastAsiaTheme="majorEastAsia" w:cstheme="majorBidi"/>
      <w:color w:val="272727" w:themeColor="text1" w:themeTint="D8"/>
    </w:rPr>
  </w:style>
  <w:style w:type="paragraph" w:styleId="Ttulo">
    <w:name w:val="Title"/>
    <w:basedOn w:val="Normal"/>
    <w:next w:val="Normal"/>
    <w:link w:val="TtuloCar"/>
    <w:uiPriority w:val="10"/>
    <w:qFormat/>
    <w:rsid w:val="00483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83A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3A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3A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3A32"/>
    <w:pPr>
      <w:spacing w:before="160"/>
      <w:jc w:val="center"/>
    </w:pPr>
    <w:rPr>
      <w:i/>
      <w:iCs/>
      <w:color w:val="404040" w:themeColor="text1" w:themeTint="BF"/>
    </w:rPr>
  </w:style>
  <w:style w:type="character" w:customStyle="1" w:styleId="CitaCar">
    <w:name w:val="Cita Car"/>
    <w:basedOn w:val="Fuentedeprrafopredeter"/>
    <w:link w:val="Cita"/>
    <w:uiPriority w:val="29"/>
    <w:rsid w:val="00483A32"/>
    <w:rPr>
      <w:i/>
      <w:iCs/>
      <w:color w:val="404040" w:themeColor="text1" w:themeTint="BF"/>
    </w:rPr>
  </w:style>
  <w:style w:type="paragraph" w:styleId="Prrafodelista">
    <w:name w:val="List Paragraph"/>
    <w:basedOn w:val="Normal"/>
    <w:uiPriority w:val="34"/>
    <w:qFormat/>
    <w:rsid w:val="00483A32"/>
    <w:pPr>
      <w:ind w:left="720"/>
      <w:contextualSpacing/>
    </w:pPr>
  </w:style>
  <w:style w:type="character" w:styleId="nfasisintenso">
    <w:name w:val="Intense Emphasis"/>
    <w:basedOn w:val="Fuentedeprrafopredeter"/>
    <w:uiPriority w:val="21"/>
    <w:qFormat/>
    <w:rsid w:val="00483A32"/>
    <w:rPr>
      <w:i/>
      <w:iCs/>
      <w:color w:val="0F4761" w:themeColor="accent1" w:themeShade="BF"/>
    </w:rPr>
  </w:style>
  <w:style w:type="paragraph" w:styleId="Citadestacada">
    <w:name w:val="Intense Quote"/>
    <w:basedOn w:val="Normal"/>
    <w:next w:val="Normal"/>
    <w:link w:val="CitadestacadaCar"/>
    <w:uiPriority w:val="30"/>
    <w:qFormat/>
    <w:rsid w:val="00483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3A32"/>
    <w:rPr>
      <w:i/>
      <w:iCs/>
      <w:color w:val="0F4761" w:themeColor="accent1" w:themeShade="BF"/>
    </w:rPr>
  </w:style>
  <w:style w:type="character" w:styleId="Referenciaintensa">
    <w:name w:val="Intense Reference"/>
    <w:basedOn w:val="Fuentedeprrafopredeter"/>
    <w:uiPriority w:val="32"/>
    <w:qFormat/>
    <w:rsid w:val="00483A32"/>
    <w:rPr>
      <w:b/>
      <w:bCs/>
      <w:smallCaps/>
      <w:color w:val="0F4761" w:themeColor="accent1" w:themeShade="BF"/>
      <w:spacing w:val="5"/>
    </w:rPr>
  </w:style>
  <w:style w:type="character" w:styleId="Hipervnculo">
    <w:name w:val="Hyperlink"/>
    <w:basedOn w:val="Fuentedeprrafopredeter"/>
    <w:uiPriority w:val="99"/>
    <w:unhideWhenUsed/>
    <w:rsid w:val="00791562"/>
    <w:rPr>
      <w:color w:val="467886" w:themeColor="hyperlink"/>
      <w:u w:val="single"/>
    </w:rPr>
  </w:style>
  <w:style w:type="character" w:styleId="Mencinsinresolver">
    <w:name w:val="Unresolved Mention"/>
    <w:basedOn w:val="Fuentedeprrafopredeter"/>
    <w:uiPriority w:val="99"/>
    <w:semiHidden/>
    <w:unhideWhenUsed/>
    <w:rsid w:val="0079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35FDE-D2CB-4EEC-94E3-60F78F2F60C0}"/>
</file>

<file path=customXml/itemProps2.xml><?xml version="1.0" encoding="utf-8"?>
<ds:datastoreItem xmlns:ds="http://schemas.openxmlformats.org/officeDocument/2006/customXml" ds:itemID="{BED2A266-3526-4B79-8A11-411846EFFA98}"/>
</file>

<file path=customXml/itemProps3.xml><?xml version="1.0" encoding="utf-8"?>
<ds:datastoreItem xmlns:ds="http://schemas.openxmlformats.org/officeDocument/2006/customXml" ds:itemID="{362B633B-EB65-4D44-8F83-686C9CC46861}"/>
</file>

<file path=docProps/app.xml><?xml version="1.0" encoding="utf-8"?>
<Properties xmlns="http://schemas.openxmlformats.org/officeDocument/2006/extended-properties" xmlns:vt="http://schemas.openxmlformats.org/officeDocument/2006/docPropsVTypes">
  <Template>Normal</Template>
  <TotalTime>2</TotalTime>
  <Pages>3</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2</cp:revision>
  <dcterms:created xsi:type="dcterms:W3CDTF">2026-01-05T20:52:00Z</dcterms:created>
  <dcterms:modified xsi:type="dcterms:W3CDTF">2026-04-22T10:32:00Z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